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DELTAX REPOSITORY REVIEW</w:t>
        <w:br/>
      </w:r>
      <w:r>
        <w:rPr>
          <w:sz w:val="30"/>
        </w:rPr>
        <w:t>What works, what should improve, and what AURA should reuse</w:t>
      </w:r>
    </w:p>
    <w:p>
      <w:pPr>
        <w:jc w:val="center"/>
      </w:pPr>
      <w:r>
        <w:rPr>
          <w:i/>
        </w:rPr>
        <w:t>Consolidated with competition-team findings — 3 September 2026</w:t>
      </w:r>
    </w:p>
    <w:p>
      <w:pPr>
        <w:pStyle w:val="Heading1"/>
      </w:pPr>
      <w:r>
        <w:t>1. Executive Assessment</w:t>
      </w:r>
    </w:p>
    <w:p>
      <w:r>
        <w:t>The DELTAX repositories are valuable primarily as engineering and research-governance sources, not as strategies to copy wholesale. The classic implementation exposes strong deterministic gates, refusal logging, permission state, execution barriers and research discipline. DELTAX_v2 adds a more complete operational system: PostgreSQL persistence, autonomous-cycle orchestration, news/context processing, direction routing, stock/options intent builders, broker reconciliation, portfolio risk monitoring and a dashboard.</w:t>
      </w:r>
    </w:p>
    <w:p>
      <w:r>
        <w:t>Recommendation: keep AURA's deterministic execution architecture authoritative, absorb the strongest DELTAX patterns into shared AURA components, and selectively adapt DELTAX_v2's operational capabilities.</w:t>
      </w:r>
    </w:p>
    <w:p>
      <w:pPr>
        <w:pStyle w:val="Heading1"/>
      </w:pPr>
      <w:r>
        <w:t>2. Repository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Key value</w:t>
            </w:r>
          </w:p>
        </w:tc>
      </w:tr>
      <w:tr>
        <w:tc>
          <w:tcPr>
            <w:tcW w:type="dxa" w:w="3408"/>
          </w:tcPr>
          <w:p>
            <w:r>
              <w:t>mpoubot/DELTAX</w:t>
            </w:r>
          </w:p>
        </w:tc>
        <w:tc>
          <w:tcPr>
            <w:tcW w:type="dxa" w:w="3408"/>
          </w:tcPr>
          <w:p>
            <w:r>
              <w:t>Strong engineering/reference implementation</w:t>
            </w:r>
          </w:p>
        </w:tc>
        <w:tc>
          <w:tcPr>
            <w:tcW w:type="dxa" w:w="3408"/>
          </w:tcPr>
          <w:p>
            <w:r>
              <w:t>Pure gates, ledger, permission state, execution barriers, research discipline and options risk.</w:t>
            </w:r>
          </w:p>
        </w:tc>
      </w:tr>
      <w:tr>
        <w:tc>
          <w:tcPr>
            <w:tcW w:type="dxa" w:w="3408"/>
          </w:tcPr>
          <w:p>
            <w:r>
              <w:t>pautax007/DELTAX</w:t>
            </w:r>
          </w:p>
        </w:tc>
        <w:tc>
          <w:tcPr>
            <w:tcW w:type="dxa" w:w="3408"/>
          </w:tcPr>
          <w:p>
            <w:r>
              <w:t>Upstream/public implementation</w:t>
            </w:r>
          </w:p>
        </w:tc>
        <w:tc>
          <w:tcPr>
            <w:tcW w:type="dxa" w:w="3408"/>
          </w:tcPr>
          <w:p>
            <w:r>
              <w:t>Same core DELTAX architecture; useful as upstream reference.</w:t>
            </w:r>
          </w:p>
        </w:tc>
      </w:tr>
      <w:tr>
        <w:tc>
          <w:tcPr>
            <w:tcW w:type="dxa" w:w="3408"/>
          </w:tcPr>
          <w:p>
            <w:r>
              <w:t>mpoubot/DELTAX_v2</w:t>
            </w:r>
          </w:p>
        </w:tc>
        <w:tc>
          <w:tcPr>
            <w:tcW w:type="dxa" w:w="3408"/>
          </w:tcPr>
          <w:p>
            <w:r>
              <w:t>Strongest operational expansion</w:t>
            </w:r>
          </w:p>
        </w:tc>
        <w:tc>
          <w:tcPr>
            <w:tcW w:type="dxa" w:w="3408"/>
          </w:tcPr>
          <w:p>
            <w:r>
              <w:t>Agent cycle, PostgreSQL state, news, direction routing, stock/options intents, reconciliation, portfolio risk, dashboard.</w:t>
            </w:r>
          </w:p>
        </w:tc>
      </w:tr>
      <w:tr>
        <w:tc>
          <w:tcPr>
            <w:tcW w:type="dxa" w:w="3408"/>
          </w:tcPr>
          <w:p>
            <w:r>
              <w:t>mpoubot/aura-alpaca-crypto-research</w:t>
            </w:r>
          </w:p>
        </w:tc>
        <w:tc>
          <w:tcPr>
            <w:tcW w:type="dxa" w:w="3408"/>
          </w:tcPr>
          <w:p>
            <w:r>
              <w:t>Focused research repository</w:t>
            </w:r>
          </w:p>
        </w:tc>
        <w:tc>
          <w:tcPr>
            <w:tcW w:type="dxa" w:w="3408"/>
          </w:tcPr>
          <w:p>
            <w:r>
              <w:t>Frozen strategy + backtest/paper comparison and Alpaca crypto data discipline.</w:t>
            </w:r>
          </w:p>
        </w:tc>
      </w:tr>
      <w:tr>
        <w:tc>
          <w:tcPr>
            <w:tcW w:type="dxa" w:w="3408"/>
          </w:tcPr>
          <w:p>
            <w:r>
              <w:t>mpoubot/aura-autonomous-trading-agent</w:t>
            </w:r>
          </w:p>
        </w:tc>
        <w:tc>
          <w:tcPr>
            <w:tcW w:type="dxa" w:w="3408"/>
          </w:tcPr>
          <w:p>
            <w:r>
              <w:t>AURA foundation</w:t>
            </w:r>
          </w:p>
        </w:tc>
        <w:tc>
          <w:tcPr>
            <w:tcW w:type="dxa" w:w="3408"/>
          </w:tcPr>
          <w:p>
            <w:r>
              <w:t>Deterministic .12–.22 chain, safety architecture and competition path.</w:t>
            </w:r>
          </w:p>
        </w:tc>
      </w:tr>
      <w:tr>
        <w:tc>
          <w:tcPr>
            <w:tcW w:type="dxa" w:w="3408"/>
          </w:tcPr>
          <w:p>
            <w:r>
              <w:t>mpoubot/CAURAv0.5.2</w:t>
            </w:r>
          </w:p>
        </w:tc>
        <w:tc>
          <w:tcPr>
            <w:tcW w:type="dxa" w:w="3408"/>
          </w:tcPr>
          <w:p>
            <w:r>
              <w:t>Not assessable</w:t>
            </w:r>
          </w:p>
        </w:tc>
        <w:tc>
          <w:tcPr>
            <w:tcW w:type="dxa" w:w="3408"/>
          </w:tcPr>
          <w:p>
            <w:r>
              <w:t>GitHub currently reports the repository as empty.</w:t>
            </w:r>
          </w:p>
        </w:tc>
      </w:tr>
    </w:tbl>
    <w:p>
      <w:pPr>
        <w:pStyle w:val="Heading1"/>
      </w:pPr>
      <w:r>
        <w:t>3. What DELTAX Does Particularly Well</w:t>
      </w:r>
    </w:p>
    <w:p>
      <w:pPr>
        <w:pStyle w:val="ListBullet"/>
      </w:pPr>
      <w:r>
        <w:t>Pure deterministic gates with no network/clock/global dependencies.</w:t>
      </w:r>
    </w:p>
    <w:p>
      <w:pPr>
        <w:pStyle w:val="ListBullet"/>
      </w:pPr>
      <w:r>
        <w:t>Clear separation between candidate nomination and authorization.</w:t>
      </w:r>
    </w:p>
    <w:p>
      <w:pPr>
        <w:pStyle w:val="ListBullet"/>
      </w:pPr>
      <w:r>
        <w:t>First-class REFUSE decisions with reasons.</w:t>
      </w:r>
    </w:p>
    <w:p>
      <w:pPr>
        <w:pStyle w:val="ListBullet"/>
      </w:pPr>
      <w:r>
        <w:t>Decision provenance and policy/config identity.</w:t>
      </w:r>
    </w:p>
    <w:p>
      <w:pPr>
        <w:pStyle w:val="ListBullet"/>
      </w:pPr>
      <w:r>
        <w:t>Dry-run/paper defaults and execution barriers.</w:t>
      </w:r>
    </w:p>
    <w:p>
      <w:pPr>
        <w:pStyle w:val="ListBullet"/>
      </w:pPr>
      <w:r>
        <w:t>Permission/supervisor state that can restrict but never create a trade.</w:t>
      </w:r>
    </w:p>
    <w:p>
      <w:pPr>
        <w:pStyle w:val="ListBullet"/>
      </w:pPr>
      <w:r>
        <w:t>Base-rate, walk-forward, permutation and pre-registration research discipline.</w:t>
      </w:r>
    </w:p>
    <w:p>
      <w:pPr>
        <w:pStyle w:val="ListBullet"/>
      </w:pPr>
      <w:r>
        <w:t>DELTAX_v2 portfolio-level account/position synchronization and loss controls.</w:t>
      </w:r>
    </w:p>
    <w:p>
      <w:pPr>
        <w:pStyle w:val="ListBullet"/>
      </w:pPr>
      <w:r>
        <w:t>A concrete autonomous cycle coordinating ingestion, analysis, signal routing, intents and paper execution.</w:t>
      </w:r>
    </w:p>
    <w:p>
      <w:pPr>
        <w:pStyle w:val="ListBullet"/>
      </w:pPr>
      <w:r>
        <w:t>News ingestion, clustering and AI analysis separated into stages.</w:t>
      </w:r>
    </w:p>
    <w:p>
      <w:pPr>
        <w:pStyle w:val="ListBullet"/>
      </w:pPr>
      <w:r>
        <w:t>Options lifecycle and stock/options intent builders.</w:t>
      </w:r>
    </w:p>
    <w:p>
      <w:pPr>
        <w:pStyle w:val="ListBullet"/>
      </w:pPr>
      <w:r>
        <w:t>Operational dashboard and persistent database state.</w:t>
      </w:r>
    </w:p>
    <w:p>
      <w:pPr>
        <w:pStyle w:val="Heading1"/>
      </w:pPr>
      <w:r>
        <w:t>4. What Should Be Improved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Issue / 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3408"/>
          </w:tcPr>
          <w:p>
            <w:r>
              <w:t>Policy/config</w:t>
            </w:r>
          </w:p>
        </w:tc>
        <w:tc>
          <w:tcPr>
            <w:tcW w:type="dxa" w:w="3408"/>
          </w:tcPr>
          <w:p>
            <w:r>
              <w:t>Thresholds and historical changes appear in code/comments.</w:t>
            </w:r>
          </w:p>
        </w:tc>
        <w:tc>
          <w:tcPr>
            <w:tcW w:type="dxa" w:w="3408"/>
          </w:tcPr>
          <w:p>
            <w:r>
              <w:t>Move active policy to versioned immutable mandate/config; fingerprint it in the ledger.</w:t>
            </w:r>
          </w:p>
        </w:tc>
      </w:tr>
      <w:tr>
        <w:tc>
          <w:tcPr>
            <w:tcW w:type="dxa" w:w="3408"/>
          </w:tcPr>
          <w:p>
            <w:r>
              <w:t>Config drift</w:t>
            </w:r>
          </w:p>
        </w:tc>
        <w:tc>
          <w:tcPr>
            <w:tcW w:type="dxa" w:w="3408"/>
          </w:tcPr>
          <w:p>
            <w:r>
              <w:t>Historical comments can conflict with active constants.</w:t>
            </w:r>
          </w:p>
        </w:tc>
        <w:tc>
          <w:tcPr>
            <w:tcW w:type="dxa" w:w="3408"/>
          </w:tcPr>
          <w:p>
            <w:r>
              <w:t>Separate current policy from decision history; test the active policy automatically.</w:t>
            </w:r>
          </w:p>
        </w:tc>
      </w:tr>
      <w:tr>
        <w:tc>
          <w:tcPr>
            <w:tcW w:type="dxa" w:w="3408"/>
          </w:tcPr>
          <w:p>
            <w:r>
              <w:t>Portfolio risk</w:t>
            </w:r>
          </w:p>
        </w:tc>
        <w:tc>
          <w:tcPr>
            <w:tcW w:type="dxa" w:w="3408"/>
          </w:tcPr>
          <w:p>
            <w:r>
              <w:t>Daily loss controls are strong, but combined concentration/correlation/heat can be richer.</w:t>
            </w:r>
          </w:p>
        </w:tc>
        <w:tc>
          <w:tcPr>
            <w:tcW w:type="dxa" w:w="3408"/>
          </w:tcPr>
          <w:p>
            <w:r>
              <w:t>Add gross/net exposure, correlation, sector/underlying concentration and projected portfolio heat.</w:t>
            </w:r>
          </w:p>
        </w:tc>
      </w:tr>
      <w:tr>
        <w:tc>
          <w:tcPr>
            <w:tcW w:type="dxa" w:w="3408"/>
          </w:tcPr>
          <w:p>
            <w:r>
              <w:t>Execution uncertainty</w:t>
            </w:r>
          </w:p>
        </w:tc>
        <w:tc>
          <w:tcPr>
            <w:tcW w:type="dxa" w:w="3408"/>
          </w:tcPr>
          <w:p>
            <w:r>
              <w:t>Timeout/ambiguous broker outcomes need explicit lifecycle treatment.</w:t>
            </w:r>
          </w:p>
        </w:tc>
        <w:tc>
          <w:tcPr>
            <w:tcW w:type="dxa" w:w="3408"/>
          </w:tcPr>
          <w:p>
            <w:r>
              <w:t>Add EXECUTION_UNCERTAIN, idempotent client order IDs and broker lookup before retry.</w:t>
            </w:r>
          </w:p>
        </w:tc>
      </w:tr>
      <w:tr>
        <w:tc>
          <w:tcPr>
            <w:tcW w:type="dxa" w:w="3408"/>
          </w:tcPr>
          <w:p>
            <w:r>
              <w:t>Position lifecycle</w:t>
            </w:r>
          </w:p>
        </w:tc>
        <w:tc>
          <w:tcPr>
            <w:tcW w:type="dxa" w:w="3408"/>
          </w:tcPr>
          <w:p>
            <w:r>
              <w:t>Options and stocks have different mechanics.</w:t>
            </w:r>
          </w:p>
        </w:tc>
        <w:tc>
          <w:tcPr>
            <w:tcW w:type="dxa" w:w="3408"/>
          </w:tcPr>
          <w:p>
            <w:r>
              <w:t>Use one asset-neutral Position State contract with asset-specific extensions.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AI/news values need explicit distinction from observed values.</w:t>
            </w:r>
          </w:p>
        </w:tc>
        <w:tc>
          <w:tcPr>
            <w:tcW w:type="dxa" w:w="3408"/>
          </w:tcPr>
          <w:p>
            <w:r>
              <w:t>Persist raw, normalized, derived and effective evidence with provenance.</w:t>
            </w:r>
          </w:p>
        </w:tc>
      </w:tr>
      <w:tr>
        <w:tc>
          <w:tcPr>
            <w:tcW w:type="dxa" w:w="3408"/>
          </w:tcPr>
          <w:p>
            <w:r>
              <w:t>AI authority</w:t>
            </w:r>
          </w:p>
        </w:tc>
        <w:tc>
          <w:tcPr>
            <w:tcW w:type="dxa" w:w="3408"/>
          </w:tcPr>
          <w:p>
            <w:r>
              <w:t>AI can influence direction/context.</w:t>
            </w:r>
          </w:p>
        </w:tc>
        <w:tc>
          <w:tcPr>
            <w:tcW w:type="dxa" w:w="3408"/>
          </w:tcPr>
          <w:p>
            <w:r>
              <w:t>Enforce a formal AI Capability Contract; AI cannot provide authoritative size/risk/order parameters.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Good tests exist, but safety testing can be more adversarial.</w:t>
            </w:r>
          </w:p>
        </w:tc>
        <w:tc>
          <w:tcPr>
            <w:tcW w:type="dxa" w:w="3408"/>
          </w:tcPr>
          <w:p>
            <w:r>
              <w:t>Add mutation/red-team tests for every safety boundary.</w:t>
            </w:r>
          </w:p>
        </w:tc>
      </w:tr>
      <w:tr>
        <w:tc>
          <w:tcPr>
            <w:tcW w:type="dxa" w:w="3408"/>
          </w:tcPr>
          <w:p>
            <w:r>
              <w:t>Research promotion</w:t>
            </w:r>
          </w:p>
        </w:tc>
        <w:tc>
          <w:tcPr>
            <w:tcW w:type="dxa" w:w="3408"/>
          </w:tcPr>
          <w:p>
            <w:r>
              <w:t>Passing runtime gates does not prove strategy quality.</w:t>
            </w:r>
          </w:p>
        </w:tc>
        <w:tc>
          <w:tcPr>
            <w:tcW w:type="dxa" w:w="3408"/>
          </w:tcPr>
          <w:p>
            <w:r>
              <w:t>Add a separate Research Promotion Gate.</w:t>
            </w:r>
          </w:p>
        </w:tc>
      </w:tr>
      <w:tr>
        <w:tc>
          <w:tcPr>
            <w:tcW w:type="dxa" w:w="3408"/>
          </w:tcPr>
          <w:p>
            <w:r>
              <w:t>Code organization</w:t>
            </w:r>
          </w:p>
        </w:tc>
        <w:tc>
          <w:tcPr>
            <w:tcW w:type="dxa" w:w="3408"/>
          </w:tcPr>
          <w:p>
            <w:r>
              <w:t>Many backup/runtime files and large scripts exist.</w:t>
            </w:r>
          </w:p>
        </w:tc>
        <w:tc>
          <w:tcPr>
            <w:tcW w:type="dxa" w:w="3408"/>
          </w:tcPr>
          <w:p>
            <w:r>
              <w:t>Refactor by domain and quarantine backups from production imports.</w:t>
            </w:r>
          </w:p>
        </w:tc>
      </w:tr>
      <w:tr>
        <w:tc>
          <w:tcPr>
            <w:tcW w:type="dxa" w:w="3408"/>
          </w:tcPr>
          <w:p>
            <w:r>
              <w:t>Persistence</w:t>
            </w:r>
          </w:p>
        </w:tc>
        <w:tc>
          <w:tcPr>
            <w:tcW w:type="dxa" w:w="3408"/>
          </w:tcPr>
          <w:p>
            <w:r>
              <w:t>v2 is strongly coupled to PostgreSQL.</w:t>
            </w:r>
          </w:p>
        </w:tc>
        <w:tc>
          <w:tcPr>
            <w:tcW w:type="dxa" w:w="3408"/>
          </w:tcPr>
          <w:p>
            <w:r>
              <w:t>Hide persistence behind interfaces so core contracts remain testable.</w:t>
            </w:r>
          </w:p>
        </w:tc>
      </w:tr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Operational visibility is strong.</w:t>
            </w:r>
          </w:p>
        </w:tc>
        <w:tc>
          <w:tcPr>
            <w:tcW w:type="dxa" w:w="3408"/>
          </w:tcPr>
          <w:p>
            <w:r>
              <w:t>Keep dashboard strictly read-only against canonical state and ledger.</w:t>
            </w:r>
          </w:p>
        </w:tc>
      </w:tr>
    </w:tbl>
    <w:p>
      <w:pPr>
        <w:pStyle w:val="Heading1"/>
      </w:pPr>
      <w:r>
        <w:t>5. DELTAX_v2 Assets AURA Should Reuse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AURA use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Adaptation</w:t>
            </w:r>
          </w:p>
        </w:tc>
      </w:tr>
      <w:tr>
        <w:tc>
          <w:tcPr>
            <w:tcW w:type="dxa" w:w="3408"/>
          </w:tcPr>
          <w:p>
            <w:r>
              <w:t>agent_cycle.py</w:t>
            </w:r>
          </w:p>
        </w:tc>
        <w:tc>
          <w:tcPr>
            <w:tcW w:type="dxa" w:w="3408"/>
          </w:tcPr>
          <w:p>
            <w:r>
              <w:t>Autonomous orchestration</w:t>
            </w:r>
          </w:p>
        </w:tc>
        <w:tc>
          <w:tcPr>
            <w:tcW w:type="dxa" w:w="3408"/>
          </w:tcPr>
          <w:p>
            <w:r>
              <w:t>Run AURA canonical stages/contracts rather than subprocess assumptions.</w:t>
            </w:r>
          </w:p>
        </w:tc>
      </w:tr>
      <w:tr>
        <w:tc>
          <w:tcPr>
            <w:tcW w:type="dxa" w:w="3408"/>
          </w:tcPr>
          <w:p>
            <w:r>
              <w:t>broker_order_reconciler.py</w:t>
            </w:r>
          </w:p>
        </w:tc>
        <w:tc>
          <w:tcPr>
            <w:tcW w:type="dxa" w:w="3408"/>
          </w:tcPr>
          <w:p>
            <w:r>
              <w:t>Venue truth</w:t>
            </w:r>
          </w:p>
        </w:tc>
        <w:tc>
          <w:tcPr>
            <w:tcW w:type="dxa" w:w="3408"/>
          </w:tcPr>
          <w:p>
            <w:r>
              <w:t>Make broker/exchange state authoritative for reconciliation.</w:t>
            </w:r>
          </w:p>
        </w:tc>
      </w:tr>
      <w:tr>
        <w:tc>
          <w:tcPr>
            <w:tcW w:type="dxa" w:w="3408"/>
          </w:tcPr>
          <w:p>
            <w:r>
              <w:t>decision_persistence.py</w:t>
            </w:r>
          </w:p>
        </w:tc>
        <w:tc>
          <w:tcPr>
            <w:tcW w:type="dxa" w:w="3408"/>
          </w:tcPr>
          <w:p>
            <w:r>
              <w:t>Decision persistence</w:t>
            </w:r>
          </w:p>
        </w:tc>
        <w:tc>
          <w:tcPr>
            <w:tcW w:type="dxa" w:w="3408"/>
          </w:tcPr>
          <w:p>
            <w:r>
              <w:t>Merge with AURA's hash/provenance ledger.</w:t>
            </w:r>
          </w:p>
        </w:tc>
      </w:tr>
      <w:tr>
        <w:tc>
          <w:tcPr>
            <w:tcW w:type="dxa" w:w="3408"/>
          </w:tcPr>
          <w:p>
            <w:r>
              <w:t>direction_router.py</w:t>
            </w:r>
          </w:p>
        </w:tc>
        <w:tc>
          <w:tcPr>
            <w:tcW w:type="dxa" w:w="3408"/>
          </w:tcPr>
          <w:p>
            <w:r>
              <w:t>Explicit direction routing</w:t>
            </w:r>
          </w:p>
        </w:tc>
        <w:tc>
          <w:tcPr>
            <w:tcW w:type="dxa" w:w="3408"/>
          </w:tcPr>
          <w:p>
            <w:r>
              <w:t>Use as a model; never infer execution from generic labels.</w:t>
            </w:r>
          </w:p>
        </w:tc>
      </w:tr>
      <w:tr>
        <w:tc>
          <w:tcPr>
            <w:tcW w:type="dxa" w:w="3408"/>
          </w:tcPr>
          <w:p>
            <w:r>
              <w:t>exit_intent_builder.py</w:t>
            </w:r>
          </w:p>
        </w:tc>
        <w:tc>
          <w:tcPr>
            <w:tcW w:type="dxa" w:w="3408"/>
          </w:tcPr>
          <w:p>
            <w:r>
              <w:t>Exit lifecycle</w:t>
            </w:r>
          </w:p>
        </w:tc>
        <w:tc>
          <w:tcPr>
            <w:tcW w:type="dxa" w:w="3408"/>
          </w:tcPr>
          <w:p>
            <w:r>
              <w:t>Use same safety chain for exits.</w:t>
            </w:r>
          </w:p>
        </w:tc>
      </w:tr>
      <w:tr>
        <w:tc>
          <w:tcPr>
            <w:tcW w:type="dxa" w:w="3408"/>
          </w:tcPr>
          <w:p>
            <w:r>
              <w:t>market/company news ingestion</w:t>
            </w:r>
          </w:p>
        </w:tc>
        <w:tc>
          <w:tcPr>
            <w:tcW w:type="dxa" w:w="3408"/>
          </w:tcPr>
          <w:p>
            <w:r>
              <w:t>Evidence acquisition</w:t>
            </w:r>
          </w:p>
        </w:tc>
        <w:tc>
          <w:tcPr>
            <w:tcW w:type="dxa" w:w="3408"/>
          </w:tcPr>
          <w:p>
            <w:r>
              <w:t>Normalize into AURA Evidence objects.</w:t>
            </w:r>
          </w:p>
        </w:tc>
      </w:tr>
      <w:tr>
        <w:tc>
          <w:tcPr>
            <w:tcW w:type="dxa" w:w="3408"/>
          </w:tcPr>
          <w:p>
            <w:r>
              <w:t>event clustering / AI processors</w:t>
            </w:r>
          </w:p>
        </w:tc>
        <w:tc>
          <w:tcPr>
            <w:tcW w:type="dxa" w:w="3408"/>
          </w:tcPr>
          <w:p>
            <w:r>
              <w:t>Context intelligence</w:t>
            </w:r>
          </w:p>
        </w:tc>
        <w:tc>
          <w:tcPr>
            <w:tcW w:type="dxa" w:w="3408"/>
          </w:tcPr>
          <w:p>
            <w:r>
              <w:t>Keep advisory; never authorization.</w:t>
            </w:r>
          </w:p>
        </w:tc>
      </w:tr>
      <w:tr>
        <w:tc>
          <w:tcPr>
            <w:tcW w:type="dxa" w:w="3408"/>
          </w:tcPr>
          <w:p>
            <w:r>
              <w:t>options_spread_intent_builder.py</w:t>
            </w:r>
          </w:p>
        </w:tc>
        <w:tc>
          <w:tcPr>
            <w:tcW w:type="dxa" w:w="3408"/>
          </w:tcPr>
          <w:p>
            <w:r>
              <w:t>Options candidate generation</w:t>
            </w:r>
          </w:p>
        </w:tc>
        <w:tc>
          <w:tcPr>
            <w:tcW w:type="dxa" w:w="3408"/>
          </w:tcPr>
          <w:p>
            <w:r>
              <w:t>Reuse structure-validation patterns; revalidate parameters.</w:t>
            </w:r>
          </w:p>
        </w:tc>
      </w:tr>
      <w:tr>
        <w:tc>
          <w:tcPr>
            <w:tcW w:type="dxa" w:w="3408"/>
          </w:tcPr>
          <w:p>
            <w:r>
              <w:t>paper_executor.py</w:t>
            </w:r>
          </w:p>
        </w:tc>
        <w:tc>
          <w:tcPr>
            <w:tcW w:type="dxa" w:w="3408"/>
          </w:tcPr>
          <w:p>
            <w:r>
              <w:t>Paper execution lifecycle</w:t>
            </w:r>
          </w:p>
        </w:tc>
        <w:tc>
          <w:tcPr>
            <w:tcW w:type="dxa" w:w="3408"/>
          </w:tcPr>
          <w:p>
            <w:r>
              <w:t>Place behind AURA Execution Specification + Preflight.</w:t>
            </w:r>
          </w:p>
        </w:tc>
      </w:tr>
      <w:tr>
        <w:tc>
          <w:tcPr>
            <w:tcW w:type="dxa" w:w="3408"/>
          </w:tcPr>
          <w:p>
            <w:r>
              <w:t>portfolio_risk_monitor.py</w:t>
            </w:r>
          </w:p>
        </w:tc>
        <w:tc>
          <w:tcPr>
            <w:tcW w:type="dxa" w:w="3408"/>
          </w:tcPr>
          <w:p>
            <w:r>
              <w:t>Portfolio risk</w:t>
            </w:r>
          </w:p>
        </w:tc>
        <w:tc>
          <w:tcPr>
            <w:tcW w:type="dxa" w:w="3408"/>
          </w:tcPr>
          <w:p>
            <w:r>
              <w:t>Use as a base; extend to concentration/correlation/heat.</w:t>
            </w:r>
          </w:p>
        </w:tc>
      </w:tr>
      <w:tr>
        <w:tc>
          <w:tcPr>
            <w:tcW w:type="dxa" w:w="3408"/>
          </w:tcPr>
          <w:p>
            <w:r>
              <w:t>scan_cycle.py / technical_scanner.py</w:t>
            </w:r>
          </w:p>
        </w:tc>
        <w:tc>
          <w:tcPr>
            <w:tcW w:type="dxa" w:w="3408"/>
          </w:tcPr>
          <w:p>
            <w:r>
              <w:t>Candidate generation</w:t>
            </w:r>
          </w:p>
        </w:tc>
        <w:tc>
          <w:tcPr>
            <w:tcW w:type="dxa" w:w="3408"/>
          </w:tcPr>
          <w:p>
            <w:r>
              <w:t>Keep above Signal Decision.</w:t>
            </w:r>
          </w:p>
        </w:tc>
      </w:tr>
      <w:tr>
        <w:tc>
          <w:tcPr>
            <w:tcW w:type="dxa" w:w="3408"/>
          </w:tcPr>
          <w:p>
            <w:r>
              <w:t>dashboard/app.py</w:t>
            </w:r>
          </w:p>
        </w:tc>
        <w:tc>
          <w:tcPr>
            <w:tcW w:type="dxa" w:w="3408"/>
          </w:tcPr>
          <w:p>
            <w:r>
              <w:t>Operations UI</w:t>
            </w:r>
          </w:p>
        </w:tc>
        <w:tc>
          <w:tcPr>
            <w:tcW w:type="dxa" w:w="3408"/>
          </w:tcPr>
          <w:p>
            <w:r>
              <w:t>Project canonical AURA state; no authorization authority.</w:t>
            </w:r>
          </w:p>
        </w:tc>
      </w:tr>
    </w:tbl>
    <w:p>
      <w:pPr>
        <w:pStyle w:val="Heading1"/>
      </w:pPr>
      <w:r>
        <w:t>6. Competition-Team Findings to Incorporate</w:t>
      </w:r>
    </w:p>
    <w:p>
      <w:pPr>
        <w:pStyle w:val="ListBullet"/>
      </w:pPr>
      <w:r>
        <w:t>Vetoed: constrain the AI's action space; it cannot build a trade, choose size or send an order.</w:t>
      </w:r>
    </w:p>
    <w:p>
      <w:pPr>
        <w:pStyle w:val="ListBullet"/>
      </w:pPr>
      <w:r>
        <w:t>Aegis: verify AI claims independently; use claimed/observed/derived/effective values and mutation testing.</w:t>
      </w:r>
    </w:p>
    <w:p>
      <w:pPr>
        <w:pStyle w:val="ListBullet"/>
      </w:pPr>
      <w:r>
        <w:t>Vermilion: refuse by default and persist every decision, including refusals.</w:t>
      </w:r>
    </w:p>
    <w:p>
      <w:pPr>
        <w:pStyle w:val="ListBullet"/>
      </w:pPr>
      <w:r>
        <w:t>BABIL: make execution a privileged capability structurally inaccessible to the research plane.</w:t>
      </w:r>
    </w:p>
    <w:p>
      <w:pPr>
        <w:pStyle w:val="ListBullet"/>
      </w:pPr>
      <w:r>
        <w:t>NewsFlow Trader: expose the event loop and accepted/rejected decisions clearly.</w:t>
      </w:r>
    </w:p>
    <w:p>
      <w:pPr>
        <w:pStyle w:val="ListBullet"/>
      </w:pPr>
      <w:r>
        <w:t>AlphaPilot: duplicate prevention, continuous position monitoring, exits and performance analysis.</w:t>
      </w:r>
    </w:p>
    <w:p>
      <w:pPr>
        <w:pStyle w:val="ListBullet"/>
      </w:pPr>
      <w:r>
        <w:t>VRP Engine: independent market observation and portfolio-risk thinking.</w:t>
      </w:r>
    </w:p>
    <w:p>
      <w:pPr>
        <w:pStyle w:val="Heading1"/>
      </w:pPr>
      <w:r>
        <w:t>7. Critical Lessons</w:t>
      </w:r>
    </w:p>
    <w:p>
      <w:pPr>
        <w:pStyle w:val="ListBullet"/>
      </w:pPr>
      <w:r>
        <w:t>Documentation is not enforcement; code must enforce every consequential rule.</w:t>
      </w:r>
    </w:p>
    <w:p>
      <w:pPr>
        <w:pStyle w:val="ListBullet"/>
      </w:pPr>
      <w:r>
        <w:t>Backtest prices must be economically realizable.</w:t>
      </w:r>
    </w:p>
    <w:p>
      <w:pPr>
        <w:pStyle w:val="ListBullet"/>
      </w:pPr>
      <w:r>
        <w:t>Refusal should identify the first failed condition.</w:t>
      </w:r>
    </w:p>
    <w:p>
      <w:pPr>
        <w:pStyle w:val="ListBullet"/>
      </w:pPr>
      <w:r>
        <w:t>Exits need the same governance discipline as entries.</w:t>
      </w:r>
    </w:p>
    <w:p>
      <w:pPr>
        <w:pStyle w:val="ListBullet"/>
      </w:pPr>
      <w:r>
        <w:t>Human approval is governance, not a replacement for deterministic risk.</w:t>
      </w:r>
    </w:p>
    <w:p>
      <w:pPr>
        <w:pStyle w:val="ListBullet"/>
      </w:pPr>
      <w:r>
        <w:t>AI-derived numbers are claims until verified.</w:t>
      </w:r>
    </w:p>
    <w:p>
      <w:pPr>
        <w:pStyle w:val="ListBullet"/>
      </w:pPr>
      <w:r>
        <w:t>Paper execution demonstrates plumbing, not alpha.</w:t>
      </w:r>
    </w:p>
    <w:p>
      <w:pPr>
        <w:pStyle w:val="ListBullet"/>
      </w:pPr>
      <w:r>
        <w:t>Tamper-evident logs benefit from independent verification/anchoring.</w:t>
      </w:r>
    </w:p>
    <w:p>
      <w:pPr>
        <w:pStyle w:val="ListBullet"/>
      </w:pPr>
      <w:r>
        <w:t>Operational readiness and strategy validity are separate dimensions.</w:t>
      </w:r>
    </w:p>
    <w:p>
      <w:pPr>
        <w:pStyle w:val="Heading1"/>
      </w:pPr>
      <w:r>
        <w:t>8. What NOT to Copy</w:t>
      </w:r>
    </w:p>
    <w:p>
      <w:pPr>
        <w:pStyle w:val="ListBullet"/>
      </w:pPr>
      <w:r>
        <w:t>Specific DELTAX strategy thresholds without revalidation.</w:t>
      </w:r>
    </w:p>
    <w:p>
      <w:pPr>
        <w:pStyle w:val="ListBullet"/>
      </w:pPr>
      <w:r>
        <w:t>Unvalidated crypto candidates as production alpha.</w:t>
      </w:r>
    </w:p>
    <w:p>
      <w:pPr>
        <w:pStyle w:val="ListBullet"/>
      </w:pPr>
      <w:r>
        <w:t>Alpaca-specific code inside the MEXC adapter.</w:t>
      </w:r>
    </w:p>
    <w:p>
      <w:pPr>
        <w:pStyle w:val="ListBullet"/>
      </w:pPr>
      <w:r>
        <w:t>Equity-session assumptions in 24/7 crypto.</w:t>
      </w:r>
    </w:p>
    <w:p>
      <w:pPr>
        <w:pStyle w:val="ListBullet"/>
      </w:pPr>
      <w:r>
        <w:t>LLM direction/confidence as authorization.</w:t>
      </w:r>
    </w:p>
    <w:p>
      <w:pPr>
        <w:pStyle w:val="ListBullet"/>
      </w:pPr>
      <w:r>
        <w:t>Uncontrolled dashboard-editable execution policy.</w:t>
      </w:r>
    </w:p>
    <w:p>
      <w:pPr>
        <w:pStyle w:val="ListBullet"/>
      </w:pPr>
      <w:r>
        <w:t>Paper fills as proof of profitability.</w:t>
      </w:r>
    </w:p>
    <w:p>
      <w:pPr>
        <w:pStyle w:val="ListBullet"/>
      </w:pPr>
      <w:r>
        <w:t>Historical backup modules in the active import path.</w:t>
      </w:r>
    </w:p>
    <w:p>
      <w:pPr>
        <w:pStyle w:val="Heading1"/>
      </w:pPr>
      <w:r>
        <w:t>9. Refactoring Sequence</w:t>
      </w:r>
    </w:p>
    <w:p>
      <w:r>
        <w:t>1. Create shared contracts: Candidate, Evidence, GateResult, RiskDecision, PositionState, ExecutionSpec, ExecutionResult.</w:t>
      </w:r>
    </w:p>
    <w:p>
      <w:r>
        <w:t>2. Move policy values into versioned mandate/config and fingerprint them.</w:t>
      </w:r>
    </w:p>
    <w:p>
      <w:r>
        <w:t>3. Replace ambiguous booleans with explicit result objects and reason codes.</w:t>
      </w:r>
    </w:p>
    <w:p>
      <w:r>
        <w:t>4. Create an asset-neutral Position State machine.</w:t>
      </w:r>
    </w:p>
    <w:p>
      <w:r>
        <w:t>5. Implement EXECUTION_UNCERTAIN and idempotent order identity.</w:t>
      </w:r>
    </w:p>
    <w:p>
      <w:r>
        <w:t>6. Separate evidence ingestion, AI interpretation and deterministic authorization.</w:t>
      </w:r>
    </w:p>
    <w:p>
      <w:r>
        <w:t>7. Make portfolio risk first-class.</w:t>
      </w:r>
    </w:p>
    <w:p>
      <w:r>
        <w:t>8. Add mutation testing to CI.</w:t>
      </w:r>
    </w:p>
    <w:p>
      <w:r>
        <w:t>9. Refactor/quarantine backup files.</w:t>
      </w:r>
    </w:p>
    <w:p>
      <w:r>
        <w:t>10. Add Research Promotion Gate.</w:t>
      </w:r>
    </w:p>
    <w:p>
      <w:pPr>
        <w:pStyle w:val="Heading1"/>
      </w:pPr>
      <w:r>
        <w:t>10. Bottom Line</w:t>
      </w:r>
    </w:p>
    <w:p>
      <w:r>
        <w:t>DELTAX should not replace AURA. Its strongest contribution is mature engineering and research governance. DELTAX_v2 is especially useful for operational orchestration, news/context, reconciliation, portfolio risk and lifecycle handling. AURA remains the deterministic authority.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DELTAX Repository Improvement Review — AURA Consolidation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