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34" w:rsidRPr="00AD6CA5" w:rsidRDefault="00A90134" w:rsidP="00A90134">
      <w:pPr>
        <w:pStyle w:val="OPM-conclusion"/>
      </w:pPr>
      <w:r w:rsidRPr="00AD6CA5">
        <w:t xml:space="preserve">the person is a resident alien </w:t>
      </w:r>
      <w:r w:rsidRPr="00AD6CA5">
        <w:t xml:space="preserve">for 2018 </w:t>
      </w:r>
      <w:r w:rsidRPr="00AD6CA5">
        <w:t>if</w:t>
      </w:r>
    </w:p>
    <w:p w:rsidR="00A90134" w:rsidRPr="00AD6CA5" w:rsidRDefault="00A90134" w:rsidP="00A90134">
      <w:pPr>
        <w:pStyle w:val="OPM-level1"/>
      </w:pPr>
      <w:r w:rsidRPr="00AD6CA5">
        <w:t>the person meets the green card test for 2018</w:t>
      </w:r>
      <w:r w:rsidRPr="00AD6CA5">
        <w:t xml:space="preserve"> or</w:t>
      </w:r>
    </w:p>
    <w:p w:rsidR="00A90134" w:rsidRPr="00AD6CA5" w:rsidRDefault="00A90134" w:rsidP="00A90134">
      <w:pPr>
        <w:pStyle w:val="OPM-level1"/>
      </w:pPr>
      <w:r w:rsidRPr="00AD6CA5">
        <w:t>the person meets the substantial presence test for 2018</w:t>
      </w:r>
    </w:p>
    <w:p w:rsidR="00A90134" w:rsidRPr="00A90134" w:rsidRDefault="00A90134" w:rsidP="00A90134">
      <w:pPr>
        <w:pStyle w:val="OPM-blankline"/>
      </w:pPr>
    </w:p>
    <w:p w:rsidR="005C71E1" w:rsidRPr="002921F7" w:rsidRDefault="005C71E1" w:rsidP="005C71E1">
      <w:pPr>
        <w:shd w:val="clear" w:color="auto" w:fill="FFFFFF"/>
        <w:spacing w:before="150" w:after="150"/>
        <w:rPr>
          <w:rFonts w:asciiTheme="minorHAnsi" w:hAnsiTheme="minorHAnsi"/>
          <w:color w:val="333333"/>
          <w:sz w:val="24"/>
          <w:szCs w:val="24"/>
        </w:rPr>
      </w:pPr>
      <w:r w:rsidRPr="002921F7">
        <w:rPr>
          <w:rFonts w:asciiTheme="minorHAnsi" w:hAnsiTheme="minorHAnsi"/>
          <w:b/>
          <w:bCs/>
          <w:color w:val="333333"/>
          <w:sz w:val="24"/>
          <w:szCs w:val="24"/>
        </w:rPr>
        <w:t>(b)</w:t>
      </w:r>
      <w:r w:rsidRPr="002921F7">
        <w:rPr>
          <w:rFonts w:asciiTheme="minorHAnsi" w:hAnsiTheme="minorHAnsi"/>
          <w:b/>
          <w:bCs/>
          <w:i/>
          <w:iCs/>
          <w:color w:val="333333"/>
          <w:sz w:val="24"/>
          <w:szCs w:val="24"/>
        </w:rPr>
        <w:t>Lawful permanent resident</w:t>
      </w:r>
      <w:r w:rsidRPr="002921F7">
        <w:rPr>
          <w:rFonts w:asciiTheme="minorHAnsi" w:hAnsiTheme="minorHAnsi"/>
          <w:color w:val="333333"/>
          <w:sz w:val="24"/>
          <w:szCs w:val="24"/>
        </w:rPr>
        <w:t> -</w:t>
      </w:r>
    </w:p>
    <w:p w:rsidR="00626FBD" w:rsidRDefault="005C71E1" w:rsidP="005C71E1">
      <w:pPr>
        <w:rPr>
          <w:rFonts w:asciiTheme="minorHAnsi" w:hAnsiTheme="minorHAnsi"/>
          <w:color w:val="333333"/>
          <w:sz w:val="24"/>
          <w:szCs w:val="24"/>
        </w:rPr>
      </w:pPr>
      <w:r w:rsidRPr="005C71E1">
        <w:rPr>
          <w:rFonts w:asciiTheme="minorHAnsi" w:hAnsiTheme="minorHAnsi"/>
          <w:b/>
          <w:bCs/>
          <w:color w:val="333333"/>
          <w:sz w:val="24"/>
          <w:szCs w:val="24"/>
        </w:rPr>
        <w:t>(1)</w:t>
      </w:r>
      <w:r w:rsidRPr="005C71E1">
        <w:rPr>
          <w:rFonts w:asciiTheme="minorHAnsi" w:hAnsiTheme="minorHAnsi"/>
          <w:b/>
          <w:bCs/>
          <w:i/>
          <w:iCs/>
          <w:color w:val="333333"/>
          <w:sz w:val="24"/>
          <w:szCs w:val="24"/>
        </w:rPr>
        <w:t>Green card test.</w:t>
      </w:r>
      <w:r w:rsidRPr="002921F7">
        <w:rPr>
          <w:rFonts w:asciiTheme="minorHAnsi" w:hAnsiTheme="minorHAnsi"/>
          <w:color w:val="333333"/>
          <w:sz w:val="24"/>
          <w:szCs w:val="24"/>
        </w:rPr>
        <w:t> An alien is a resident alien with respect to a calendar year if the individual is a </w:t>
      </w:r>
      <w:hyperlink r:id="rId9" w:tooltip="lawful permanent resident" w:history="1">
        <w:r w:rsidRPr="005C71E1">
          <w:rPr>
            <w:rFonts w:asciiTheme="minorHAnsi" w:hAnsiTheme="minorHAnsi"/>
            <w:color w:val="005C72"/>
            <w:sz w:val="24"/>
            <w:szCs w:val="24"/>
          </w:rPr>
          <w:t>lawful permanent resident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at any time during the calendar year.</w:t>
      </w:r>
    </w:p>
    <w:p w:rsidR="005C71E1" w:rsidRDefault="005C71E1" w:rsidP="005C71E1">
      <w:pPr>
        <w:rPr>
          <w:rFonts w:asciiTheme="minorHAnsi" w:hAnsiTheme="minorHAnsi"/>
          <w:color w:val="333333"/>
          <w:sz w:val="24"/>
          <w:szCs w:val="24"/>
        </w:rPr>
      </w:pPr>
    </w:p>
    <w:p w:rsidR="005C71E1" w:rsidRPr="00AD6CA5" w:rsidRDefault="005C71E1" w:rsidP="005C71E1">
      <w:pPr>
        <w:pStyle w:val="OPM-conclusion"/>
      </w:pPr>
      <w:r w:rsidRPr="00AD6CA5">
        <w:t>the person meets the green card test for 2018 if</w:t>
      </w:r>
    </w:p>
    <w:p w:rsidR="005C71E1" w:rsidRPr="00AD6CA5" w:rsidRDefault="005C71E1" w:rsidP="005C71E1">
      <w:pPr>
        <w:pStyle w:val="OPM-level1"/>
      </w:pPr>
      <w:r w:rsidRPr="00AD6CA5">
        <w:t xml:space="preserve">IntervalSometimes(2018-01-01, 2018-12-31, </w:t>
      </w:r>
      <w:r w:rsidRPr="00AD6CA5">
        <w:rPr>
          <w:u w:val="single" w:color="666699"/>
        </w:rPr>
        <w:t>the person is a lawful permanent resident</w:t>
      </w:r>
      <w:r w:rsidRPr="00AD6CA5">
        <w:t>)</w:t>
      </w:r>
    </w:p>
    <w:p w:rsidR="005C71E1" w:rsidRDefault="005C71E1" w:rsidP="005C71E1">
      <w:pPr>
        <w:pStyle w:val="OPM-blankline"/>
      </w:pPr>
    </w:p>
    <w:p w:rsidR="001F2C40" w:rsidRDefault="001F2C40" w:rsidP="005C71E1">
      <w:pPr>
        <w:pStyle w:val="OPM-blankline"/>
      </w:pPr>
      <w:r w:rsidRPr="002921F7">
        <w:rPr>
          <w:rFonts w:asciiTheme="minorHAnsi" w:hAnsiTheme="minorHAnsi"/>
          <w:color w:val="333333"/>
          <w:sz w:val="24"/>
          <w:szCs w:val="24"/>
        </w:rPr>
        <w:t>A </w:t>
      </w:r>
      <w:hyperlink r:id="rId10" w:tooltip="lawful permanent resident" w:history="1">
        <w:r w:rsidRPr="001F2C40">
          <w:rPr>
            <w:rFonts w:asciiTheme="minorHAnsi" w:hAnsiTheme="minorHAnsi"/>
            <w:color w:val="005C72"/>
            <w:sz w:val="24"/>
            <w:szCs w:val="24"/>
          </w:rPr>
          <w:t>lawful permanent resident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is an individual who has been lawfully granted the privilege of residing permanently in the United </w:t>
      </w:r>
      <w:hyperlink r:id="rId11" w:tooltip="States" w:history="1">
        <w:r w:rsidRPr="001F2C40">
          <w:rPr>
            <w:rFonts w:asciiTheme="minorHAnsi" w:hAnsiTheme="minorHAnsi"/>
            <w:color w:val="005C72"/>
            <w:sz w:val="24"/>
            <w:szCs w:val="24"/>
          </w:rPr>
          <w:t>States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as an immigrant in accordance with the immigration laws. Resident status is deemed to continue unless it is rescinded or administratively or judicially determined to have been abandoned.</w:t>
      </w:r>
    </w:p>
    <w:p w:rsidR="001F2C40" w:rsidRDefault="001F2C40" w:rsidP="005C71E1">
      <w:pPr>
        <w:pStyle w:val="OPM-blankline"/>
      </w:pPr>
    </w:p>
    <w:p w:rsidR="005C71E1" w:rsidRPr="00AD6CA5" w:rsidRDefault="005C71E1" w:rsidP="001F2C40">
      <w:pPr>
        <w:pStyle w:val="OPM-conclusion"/>
      </w:pPr>
      <w:r w:rsidRPr="00AD6CA5">
        <w:t>the person is a lawful permanent resident</w:t>
      </w:r>
      <w:r w:rsidR="001F2C40" w:rsidRPr="00AD6CA5">
        <w:t xml:space="preserve"> if</w:t>
      </w:r>
    </w:p>
    <w:p w:rsidR="001F2C40" w:rsidRPr="00AD6CA5" w:rsidRDefault="001F2C40" w:rsidP="001F2C40">
      <w:pPr>
        <w:pStyle w:val="OPM-level1"/>
      </w:pPr>
      <w:r w:rsidRPr="00AD6CA5">
        <w:t>the person has been lawfully granted the privilege of residing permanently in the United States as an immigrant and</w:t>
      </w:r>
    </w:p>
    <w:p w:rsidR="001F2C40" w:rsidRPr="00AD6CA5" w:rsidRDefault="001F2C40" w:rsidP="001F2C40">
      <w:pPr>
        <w:pStyle w:val="OPM-level1"/>
      </w:pPr>
      <w:r w:rsidRPr="00AD6CA5">
        <w:t>the person’s lawful permanent resident status has not been rescinded or abandoned</w:t>
      </w:r>
    </w:p>
    <w:p w:rsidR="00A90134" w:rsidRDefault="00A90134" w:rsidP="00A90134">
      <w:pPr>
        <w:pStyle w:val="OPM-blankline"/>
      </w:pPr>
    </w:p>
    <w:p w:rsidR="00A90134" w:rsidRPr="002921F7" w:rsidRDefault="00A90134" w:rsidP="00A90134">
      <w:pPr>
        <w:shd w:val="clear" w:color="auto" w:fill="FFFFFF"/>
        <w:spacing w:before="150" w:after="150"/>
        <w:rPr>
          <w:rFonts w:asciiTheme="minorHAnsi" w:hAnsiTheme="minorHAnsi"/>
          <w:color w:val="333333"/>
          <w:sz w:val="24"/>
          <w:szCs w:val="24"/>
        </w:rPr>
      </w:pPr>
      <w:r w:rsidRPr="00A90134">
        <w:rPr>
          <w:rFonts w:asciiTheme="minorHAnsi" w:hAnsiTheme="minorHAnsi"/>
          <w:b/>
          <w:bCs/>
          <w:color w:val="333333"/>
          <w:sz w:val="24"/>
          <w:szCs w:val="24"/>
        </w:rPr>
        <w:t>(c)</w:t>
      </w:r>
      <w:r w:rsidRPr="00A90134">
        <w:rPr>
          <w:rFonts w:asciiTheme="minorHAnsi" w:hAnsiTheme="minorHAnsi"/>
          <w:b/>
          <w:bCs/>
          <w:i/>
          <w:iCs/>
          <w:color w:val="333333"/>
          <w:sz w:val="24"/>
          <w:szCs w:val="24"/>
        </w:rPr>
        <w:t>Substantial presence test</w:t>
      </w:r>
      <w:r w:rsidRPr="002921F7">
        <w:rPr>
          <w:rFonts w:asciiTheme="minorHAnsi" w:hAnsiTheme="minorHAnsi"/>
          <w:color w:val="333333"/>
          <w:sz w:val="24"/>
          <w:szCs w:val="24"/>
        </w:rPr>
        <w:t> -</w:t>
      </w:r>
    </w:p>
    <w:p w:rsidR="00A90134" w:rsidRDefault="00A90134" w:rsidP="00A90134">
      <w:pPr>
        <w:shd w:val="clear" w:color="auto" w:fill="FFFFFF"/>
        <w:spacing w:after="150"/>
        <w:ind w:left="240"/>
        <w:rPr>
          <w:rFonts w:asciiTheme="minorHAnsi" w:hAnsiTheme="minorHAnsi"/>
          <w:color w:val="333333"/>
          <w:sz w:val="24"/>
          <w:szCs w:val="24"/>
        </w:rPr>
      </w:pPr>
      <w:r w:rsidRPr="00A90134">
        <w:rPr>
          <w:rFonts w:asciiTheme="minorHAnsi" w:hAnsiTheme="minorHAnsi"/>
          <w:b/>
          <w:bCs/>
          <w:color w:val="333333"/>
          <w:sz w:val="24"/>
          <w:szCs w:val="24"/>
        </w:rPr>
        <w:t>(1)</w:t>
      </w:r>
      <w:r w:rsidRPr="00A90134">
        <w:rPr>
          <w:rFonts w:asciiTheme="minorHAnsi" w:hAnsiTheme="minorHAnsi"/>
          <w:b/>
          <w:bCs/>
          <w:i/>
          <w:iCs/>
          <w:color w:val="333333"/>
          <w:sz w:val="24"/>
          <w:szCs w:val="24"/>
        </w:rPr>
        <w:t>In general.</w:t>
      </w:r>
      <w:r w:rsidRPr="002921F7">
        <w:rPr>
          <w:rFonts w:asciiTheme="minorHAnsi" w:hAnsiTheme="minorHAnsi"/>
          <w:color w:val="333333"/>
          <w:sz w:val="24"/>
          <w:szCs w:val="24"/>
        </w:rPr>
        <w:t> An alien individual is a resident alien if the individual meets the substantial presence test. An individual satisfies this test if he or she has been present in the United </w:t>
      </w:r>
      <w:hyperlink r:id="rId12" w:tooltip="States" w:history="1">
        <w:r w:rsidRPr="00A90134">
          <w:rPr>
            <w:rFonts w:asciiTheme="minorHAnsi" w:hAnsiTheme="minorHAnsi"/>
            <w:color w:val="005C72"/>
            <w:sz w:val="24"/>
            <w:szCs w:val="24"/>
          </w:rPr>
          <w:t>States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on at least 183 days during a three year period that includes the current year. For </w:t>
      </w:r>
      <w:hyperlink r:id="rId13" w:tooltip="purposes" w:history="1">
        <w:r w:rsidRPr="00A90134">
          <w:rPr>
            <w:rFonts w:asciiTheme="minorHAnsi" w:hAnsiTheme="minorHAnsi"/>
            <w:color w:val="005C72"/>
            <w:sz w:val="24"/>
            <w:szCs w:val="24"/>
          </w:rPr>
          <w:t>purposes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of this test, each day of presence in the current year is counted as a full day. Each day of presence in the first preceding year is counted as one-third of a day and each day of presence in the second preceding year is counted as one-sixth of a day. For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hyperlink r:id="rId14" w:tooltip="purposes" w:history="1">
        <w:r w:rsidRPr="00A90134">
          <w:rPr>
            <w:rFonts w:asciiTheme="minorHAnsi" w:hAnsiTheme="minorHAnsi"/>
            <w:color w:val="005C72"/>
            <w:sz w:val="24"/>
            <w:szCs w:val="24"/>
          </w:rPr>
          <w:t>purposes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of this paragraph, any fractional days </w:t>
      </w:r>
      <w:hyperlink r:id="rId15" w:tooltip="resulting" w:history="1">
        <w:r w:rsidRPr="00A90134">
          <w:rPr>
            <w:rFonts w:asciiTheme="minorHAnsi" w:hAnsiTheme="minorHAnsi"/>
            <w:color w:val="005C72"/>
            <w:sz w:val="24"/>
            <w:szCs w:val="24"/>
          </w:rPr>
          <w:t>resulting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from the above calculations will not be rounded to the nearest whole number. (See </w:t>
      </w:r>
      <w:hyperlink r:id="rId16" w:anchor="b_-9_b_2" w:tooltip="§ 301.7701(b)-9(b)(2)" w:history="1">
        <w:r w:rsidRPr="00A90134">
          <w:rPr>
            <w:rFonts w:asciiTheme="minorHAnsi" w:hAnsiTheme="minorHAnsi"/>
            <w:color w:val="005C72"/>
            <w:sz w:val="24"/>
            <w:szCs w:val="24"/>
          </w:rPr>
          <w:t>§ 301.7701(b)-9(b)(2)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for </w:t>
      </w:r>
      <w:hyperlink r:id="rId17" w:tooltip="transitional rules" w:history="1">
        <w:r w:rsidRPr="00A90134">
          <w:rPr>
            <w:rFonts w:asciiTheme="minorHAnsi" w:hAnsiTheme="minorHAnsi"/>
            <w:color w:val="005C72"/>
            <w:sz w:val="24"/>
            <w:szCs w:val="24"/>
          </w:rPr>
          <w:t>transitional rules</w:t>
        </w:r>
      </w:hyperlink>
      <w:r w:rsidRPr="002921F7">
        <w:rPr>
          <w:rFonts w:asciiTheme="minorHAnsi" w:hAnsiTheme="minorHAnsi"/>
          <w:color w:val="333333"/>
          <w:sz w:val="24"/>
          <w:szCs w:val="24"/>
        </w:rPr>
        <w:t> for calendar years 1985 and 1986.)</w:t>
      </w:r>
    </w:p>
    <w:p w:rsidR="00A90134" w:rsidRDefault="00A90134" w:rsidP="00A90134">
      <w:pPr>
        <w:pStyle w:val="OPM-blankline"/>
      </w:pPr>
    </w:p>
    <w:p w:rsidR="00A90134" w:rsidRPr="00AD6CA5" w:rsidRDefault="00A90134" w:rsidP="00A90134">
      <w:pPr>
        <w:pStyle w:val="OPM-conclusion"/>
      </w:pPr>
      <w:r w:rsidRPr="00AD6CA5">
        <w:t>the person meets the substantial presence test for 2018 if</w:t>
      </w:r>
    </w:p>
    <w:p w:rsidR="00A90134" w:rsidRPr="00AD6CA5" w:rsidRDefault="00A90134" w:rsidP="00A90134">
      <w:pPr>
        <w:pStyle w:val="OPM-level1"/>
      </w:pPr>
      <w:r w:rsidRPr="00AD6CA5">
        <w:rPr>
          <w:u w:val="single" w:color="666699"/>
        </w:rPr>
        <w:t>the number of days present in the U.S. from 2016 to 2018</w:t>
      </w:r>
      <w:r w:rsidRPr="00AD6CA5">
        <w:t xml:space="preserve"> &gt;= 183</w:t>
      </w:r>
    </w:p>
    <w:p w:rsidR="00A90134" w:rsidRDefault="00A90134" w:rsidP="00A90134">
      <w:pPr>
        <w:pStyle w:val="OPM-blankline"/>
      </w:pPr>
    </w:p>
    <w:p w:rsidR="00A90134" w:rsidRPr="00AD6CA5" w:rsidRDefault="00A90134" w:rsidP="00A90134">
      <w:pPr>
        <w:pStyle w:val="OPM-conclusion"/>
      </w:pPr>
      <w:r w:rsidRPr="00AD6CA5">
        <w:rPr>
          <w:u w:val="single" w:color="666699"/>
        </w:rPr>
        <w:t>the number of days present in the U.S. from 2016 to 2018</w:t>
      </w:r>
      <w:r w:rsidRPr="00AD6CA5">
        <w:t xml:space="preserve"> = </w:t>
      </w:r>
      <w:r w:rsidRPr="00AD6CA5">
        <w:rPr>
          <w:u w:val="single" w:color="666699"/>
        </w:rPr>
        <w:br/>
        <w:t>the number of days present in the U.S. in 2016</w:t>
      </w:r>
      <w:r w:rsidRPr="00AD6CA5">
        <w:t xml:space="preserve"> / 6 + </w:t>
      </w:r>
      <w:r w:rsidRPr="00AD6CA5">
        <w:rPr>
          <w:u w:val="single" w:color="666699"/>
        </w:rPr>
        <w:br/>
        <w:t>the number of days present in the U.S. in 2017</w:t>
      </w:r>
      <w:r w:rsidRPr="00AD6CA5">
        <w:t xml:space="preserve"> / 3 + </w:t>
      </w:r>
      <w:r w:rsidRPr="00AD6CA5">
        <w:rPr>
          <w:u w:val="single" w:color="666699"/>
        </w:rPr>
        <w:br/>
        <w:t>the number of days present in the U.S. in 2018</w:t>
      </w:r>
    </w:p>
    <w:p w:rsidR="00A90134" w:rsidRDefault="00A90134" w:rsidP="00A90134">
      <w:pPr>
        <w:pStyle w:val="OPM-blankline"/>
      </w:pPr>
    </w:p>
    <w:p w:rsidR="00332AD3" w:rsidRPr="00AD6CA5" w:rsidRDefault="00332AD3" w:rsidP="00332AD3">
      <w:pPr>
        <w:pStyle w:val="OPM-conclusion"/>
      </w:pPr>
      <w:r w:rsidRPr="00AD6CA5">
        <w:rPr>
          <w:u w:val="single" w:color="666699"/>
        </w:rPr>
        <w:t>the number of days present in the U.S. in 2016</w:t>
      </w:r>
      <w:r w:rsidRPr="00AD6CA5">
        <w:t xml:space="preserve"> = IntervalDailySumIf(2016-01-01, </w:t>
      </w:r>
      <w:r w:rsidR="00AD6CA5" w:rsidRPr="00AD6CA5">
        <w:t>2017-01-01</w:t>
      </w:r>
      <w:r w:rsidRPr="00AD6CA5">
        <w:t xml:space="preserve">, 1, </w:t>
      </w:r>
      <w:r w:rsidRPr="00AD6CA5">
        <w:rPr>
          <w:u w:val="single" w:color="666699"/>
        </w:rPr>
        <w:t>the person was present in the U.S.</w:t>
      </w:r>
      <w:r w:rsidRPr="00AD6CA5">
        <w:t>)</w:t>
      </w:r>
    </w:p>
    <w:p w:rsidR="00332AD3" w:rsidRDefault="00332AD3" w:rsidP="00A90134">
      <w:pPr>
        <w:pStyle w:val="OPM-blankline"/>
        <w:rPr>
          <w:u w:val="single" w:color="666699"/>
        </w:rPr>
      </w:pPr>
    </w:p>
    <w:p w:rsidR="00CA1686" w:rsidRPr="00AD6CA5" w:rsidRDefault="00CA1686" w:rsidP="00CA1686">
      <w:pPr>
        <w:pStyle w:val="OPM-conclusion"/>
      </w:pPr>
      <w:r w:rsidRPr="00AD6CA5">
        <w:rPr>
          <w:u w:val="single" w:color="666699"/>
        </w:rPr>
        <w:t>the number of days present in the U.S. in 201</w:t>
      </w:r>
      <w:r w:rsidRPr="00AD6CA5">
        <w:rPr>
          <w:u w:val="single" w:color="666699"/>
        </w:rPr>
        <w:t>7</w:t>
      </w:r>
      <w:r w:rsidRPr="00AD6CA5">
        <w:t xml:space="preserve"> = IntervalDailySumIf(201</w:t>
      </w:r>
      <w:r w:rsidRPr="00AD6CA5">
        <w:t>7</w:t>
      </w:r>
      <w:r w:rsidRPr="00AD6CA5">
        <w:t xml:space="preserve">-01-01, </w:t>
      </w:r>
      <w:r w:rsidR="00AD6CA5" w:rsidRPr="00AD6CA5">
        <w:t>201</w:t>
      </w:r>
      <w:r w:rsidR="00AD6CA5" w:rsidRPr="00AD6CA5">
        <w:t>8</w:t>
      </w:r>
      <w:r w:rsidR="00AD6CA5" w:rsidRPr="00AD6CA5">
        <w:t>-01-01</w:t>
      </w:r>
      <w:r w:rsidRPr="00AD6CA5">
        <w:t xml:space="preserve">, 1, </w:t>
      </w:r>
      <w:r w:rsidRPr="00AD6CA5">
        <w:rPr>
          <w:u w:val="single" w:color="666699"/>
        </w:rPr>
        <w:t>the person was present in the U.S.</w:t>
      </w:r>
      <w:r w:rsidRPr="00AD6CA5">
        <w:t>)</w:t>
      </w:r>
    </w:p>
    <w:p w:rsidR="00332AD3" w:rsidRDefault="00332AD3" w:rsidP="00CA1686">
      <w:pPr>
        <w:pStyle w:val="OPM-blankline"/>
      </w:pPr>
    </w:p>
    <w:p w:rsidR="00CA1686" w:rsidRPr="00AD6CA5" w:rsidRDefault="00CA1686" w:rsidP="00CA1686">
      <w:pPr>
        <w:pStyle w:val="OPM-conclusion"/>
      </w:pPr>
      <w:r w:rsidRPr="00AD6CA5">
        <w:rPr>
          <w:u w:val="single" w:color="666699"/>
        </w:rPr>
        <w:t>the number of days present in the U.S. in 201</w:t>
      </w:r>
      <w:r w:rsidRPr="00AD6CA5">
        <w:rPr>
          <w:u w:val="single" w:color="666699"/>
        </w:rPr>
        <w:t>8</w:t>
      </w:r>
      <w:r w:rsidRPr="00AD6CA5">
        <w:t xml:space="preserve"> = IntervalDailySumIf(201</w:t>
      </w:r>
      <w:r w:rsidRPr="00AD6CA5">
        <w:t>8</w:t>
      </w:r>
      <w:r w:rsidRPr="00AD6CA5">
        <w:t xml:space="preserve">-01-01, </w:t>
      </w:r>
      <w:r w:rsidR="00AD6CA5" w:rsidRPr="00AD6CA5">
        <w:t>201</w:t>
      </w:r>
      <w:r w:rsidR="00AD6CA5" w:rsidRPr="00AD6CA5">
        <w:t>9</w:t>
      </w:r>
      <w:bookmarkStart w:id="0" w:name="_GoBack"/>
      <w:bookmarkEnd w:id="0"/>
      <w:r w:rsidR="00AD6CA5" w:rsidRPr="00AD6CA5">
        <w:t>-01-01</w:t>
      </w:r>
      <w:r w:rsidRPr="00AD6CA5">
        <w:t xml:space="preserve">, 1, </w:t>
      </w:r>
      <w:r w:rsidRPr="00AD6CA5">
        <w:rPr>
          <w:u w:val="single" w:color="666699"/>
        </w:rPr>
        <w:t>the person was present in the U.S.</w:t>
      </w:r>
      <w:r w:rsidRPr="00AD6CA5">
        <w:t>)</w:t>
      </w:r>
    </w:p>
    <w:p w:rsidR="00CA1686" w:rsidRPr="001F2C40" w:rsidRDefault="00CA1686" w:rsidP="00CA1686">
      <w:pPr>
        <w:pStyle w:val="OPM-blankline"/>
      </w:pPr>
    </w:p>
    <w:sectPr w:rsidR="00CA1686" w:rsidRPr="001F2C40" w:rsidSect="004D4A82"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0E12A0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FB31D7" w:rsidRDefault="000E12A0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D26DD9">
      <w:rPr>
        <w:noProof/>
      </w:rPr>
      <w:t>23/01/2013 2:02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0E12A0"/>
    <w:rsid w:val="00182F26"/>
    <w:rsid w:val="001B09CF"/>
    <w:rsid w:val="001D27CE"/>
    <w:rsid w:val="001D3460"/>
    <w:rsid w:val="001E0CD2"/>
    <w:rsid w:val="001F2C40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32AD3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C71E1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96539"/>
    <w:rsid w:val="009521AD"/>
    <w:rsid w:val="009653FC"/>
    <w:rsid w:val="00987B90"/>
    <w:rsid w:val="009B3E4A"/>
    <w:rsid w:val="009D0171"/>
    <w:rsid w:val="009E5410"/>
    <w:rsid w:val="009F4D2F"/>
    <w:rsid w:val="00A10E5E"/>
    <w:rsid w:val="00A90134"/>
    <w:rsid w:val="00AD0B0C"/>
    <w:rsid w:val="00AD6CA5"/>
    <w:rsid w:val="00B23E59"/>
    <w:rsid w:val="00B6470C"/>
    <w:rsid w:val="00B97DA0"/>
    <w:rsid w:val="00BC4E8D"/>
    <w:rsid w:val="00C3534C"/>
    <w:rsid w:val="00C90129"/>
    <w:rsid w:val="00CA1686"/>
    <w:rsid w:val="00CB5917"/>
    <w:rsid w:val="00D26DD9"/>
    <w:rsid w:val="00D56395"/>
    <w:rsid w:val="00D61C07"/>
    <w:rsid w:val="00D941A4"/>
    <w:rsid w:val="00DB31A1"/>
    <w:rsid w:val="00E06407"/>
    <w:rsid w:val="00E34A87"/>
    <w:rsid w:val="00E47A3B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1E1"/>
    <w:rPr>
      <w:rFonts w:eastAsia="Times New Roman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D26DD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28"/>
      <w:szCs w:val="32"/>
      <w:lang w:val="en-AU"/>
    </w:rPr>
  </w:style>
  <w:style w:type="paragraph" w:styleId="Heading2">
    <w:name w:val="heading 2"/>
    <w:basedOn w:val="Normal"/>
    <w:next w:val="Normal"/>
    <w:qFormat/>
    <w:rsid w:val="00D26DD9"/>
    <w:pPr>
      <w:keepNext/>
      <w:spacing w:before="240" w:after="60"/>
      <w:outlineLvl w:val="1"/>
    </w:pPr>
    <w:rPr>
      <w:rFonts w:ascii="Arial" w:eastAsia="Batang" w:hAnsi="Arial" w:cs="Arial"/>
      <w:b/>
      <w:bCs/>
      <w:iCs/>
      <w:sz w:val="24"/>
      <w:szCs w:val="28"/>
      <w:lang w:val="en-AU"/>
    </w:rPr>
  </w:style>
  <w:style w:type="paragraph" w:styleId="Heading3">
    <w:name w:val="heading 3"/>
    <w:basedOn w:val="Normal"/>
    <w:next w:val="Normal"/>
    <w:qFormat/>
    <w:rsid w:val="00D26DD9"/>
    <w:pPr>
      <w:keepNext/>
      <w:spacing w:after="120"/>
      <w:outlineLvl w:val="2"/>
    </w:pPr>
    <w:rPr>
      <w:rFonts w:ascii="Arial" w:eastAsia="Batang" w:hAnsi="Arial" w:cs="Arial"/>
      <w:bCs/>
      <w:sz w:val="20"/>
      <w:szCs w:val="22"/>
      <w:lang w:val="en-AU"/>
    </w:rPr>
  </w:style>
  <w:style w:type="paragraph" w:styleId="Heading4">
    <w:name w:val="heading 4"/>
    <w:basedOn w:val="Normal"/>
    <w:next w:val="Normal"/>
    <w:qFormat/>
    <w:rsid w:val="00D26DD9"/>
    <w:pPr>
      <w:keepNext/>
      <w:spacing w:before="120" w:after="120"/>
      <w:outlineLvl w:val="3"/>
    </w:pPr>
    <w:rPr>
      <w:rFonts w:ascii="Arial" w:eastAsia="Batang" w:hAnsi="Arial"/>
      <w:b/>
      <w:bCs/>
      <w:i/>
      <w:sz w:val="20"/>
      <w:szCs w:val="28"/>
      <w:lang w:val="en-AU"/>
    </w:rPr>
  </w:style>
  <w:style w:type="paragraph" w:styleId="Heading5">
    <w:name w:val="heading 5"/>
    <w:basedOn w:val="Normal"/>
    <w:next w:val="Normal"/>
    <w:qFormat/>
    <w:rsid w:val="00D26DD9"/>
    <w:pPr>
      <w:keepNext/>
      <w:spacing w:after="120"/>
      <w:ind w:left="720"/>
      <w:outlineLvl w:val="4"/>
    </w:pPr>
    <w:rPr>
      <w:rFonts w:eastAsia="Batang"/>
      <w:b/>
      <w:bCs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  <w:rsid w:val="00D26D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26DD9"/>
  </w:style>
  <w:style w:type="paragraph" w:customStyle="1" w:styleId="Tablecontents">
    <w:name w:val="Table contents"/>
    <w:basedOn w:val="Normal"/>
    <w:rsid w:val="00D26DD9"/>
    <w:pPr>
      <w:spacing w:before="60" w:after="60"/>
      <w:ind w:left="284"/>
    </w:pPr>
    <w:rPr>
      <w:rFonts w:eastAsia="Batang"/>
      <w:szCs w:val="24"/>
      <w:lang w:val="en-AU"/>
    </w:rPr>
  </w:style>
  <w:style w:type="paragraph" w:styleId="Footer">
    <w:name w:val="footer"/>
    <w:basedOn w:val="Normal"/>
    <w:rsid w:val="00D26DD9"/>
    <w:pPr>
      <w:tabs>
        <w:tab w:val="center" w:pos="4320"/>
        <w:tab w:val="right" w:pos="8640"/>
      </w:tabs>
    </w:pPr>
    <w:rPr>
      <w:rFonts w:eastAsia="Batang"/>
      <w:szCs w:val="24"/>
      <w:lang w:val="en-AU"/>
    </w:rPr>
  </w:style>
  <w:style w:type="paragraph" w:styleId="Header">
    <w:name w:val="header"/>
    <w:basedOn w:val="Normal"/>
    <w:rsid w:val="00D26DD9"/>
    <w:pPr>
      <w:tabs>
        <w:tab w:val="center" w:pos="4320"/>
        <w:tab w:val="right" w:pos="8640"/>
      </w:tabs>
    </w:pPr>
    <w:rPr>
      <w:rFonts w:eastAsia="Batang"/>
      <w:szCs w:val="24"/>
      <w:lang w:val="en-AU"/>
    </w:rPr>
  </w:style>
  <w:style w:type="paragraph" w:customStyle="1" w:styleId="OPM-conclusion">
    <w:name w:val="OPM - conclusion"/>
    <w:basedOn w:val="BodyText"/>
    <w:next w:val="OPM-level1"/>
    <w:rsid w:val="00D26DD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D26DD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D26DD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D26DD9"/>
    <w:pPr>
      <w:spacing w:after="120"/>
    </w:pPr>
    <w:rPr>
      <w:rFonts w:eastAsia="Batang"/>
      <w:sz w:val="20"/>
      <w:lang w:val="en-AU"/>
    </w:rPr>
  </w:style>
  <w:style w:type="character" w:styleId="FootnoteReference">
    <w:name w:val="footnote reference"/>
    <w:basedOn w:val="DefaultParagraphFont"/>
    <w:semiHidden/>
    <w:rsid w:val="00D26DD9"/>
    <w:rPr>
      <w:vertAlign w:val="superscript"/>
    </w:rPr>
  </w:style>
  <w:style w:type="character" w:styleId="CommentReference">
    <w:name w:val="annotation reference"/>
    <w:basedOn w:val="DefaultParagraphFont"/>
    <w:semiHidden/>
    <w:rsid w:val="00D26DD9"/>
    <w:rPr>
      <w:sz w:val="16"/>
      <w:szCs w:val="16"/>
    </w:rPr>
  </w:style>
  <w:style w:type="paragraph" w:styleId="DocumentMap">
    <w:name w:val="Document Map"/>
    <w:basedOn w:val="Normal"/>
    <w:semiHidden/>
    <w:rsid w:val="00D26DD9"/>
    <w:pPr>
      <w:shd w:val="clear" w:color="auto" w:fill="000080"/>
    </w:pPr>
    <w:rPr>
      <w:rFonts w:ascii="Tahoma" w:hAnsi="Tahoma" w:cs="Tahoma"/>
      <w:sz w:val="20"/>
    </w:rPr>
  </w:style>
  <w:style w:type="paragraph" w:customStyle="1" w:styleId="Comment-Level1">
    <w:name w:val="Comment - Level 1"/>
    <w:basedOn w:val="Normal"/>
    <w:rsid w:val="00D26DD9"/>
    <w:pPr>
      <w:keepNext/>
      <w:shd w:val="clear" w:color="auto" w:fill="F3F0D9"/>
      <w:spacing w:before="6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D26DD9"/>
    <w:pPr>
      <w:keepNext/>
      <w:spacing w:before="12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D26DD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D26D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D26DD9"/>
    <w:rPr>
      <w:b/>
      <w:bCs/>
    </w:rPr>
  </w:style>
  <w:style w:type="paragraph" w:styleId="BalloonText">
    <w:name w:val="Balloon Text"/>
    <w:basedOn w:val="Normal"/>
    <w:semiHidden/>
    <w:rsid w:val="00D26DD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D26DD9"/>
    <w:pPr>
      <w:keepNext/>
      <w:shd w:val="clear" w:color="auto" w:fill="F6E6E6"/>
      <w:spacing w:before="6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D26DD9"/>
    <w:pPr>
      <w:keepNext/>
      <w:shd w:val="clear" w:color="auto" w:fill="E3E1F3"/>
      <w:spacing w:before="6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D26DD9"/>
    <w:pPr>
      <w:keepNext/>
      <w:shd w:val="clear" w:color="auto" w:fill="E4EDF4"/>
      <w:spacing w:before="6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D26DD9"/>
    <w:pPr>
      <w:keepNext/>
      <w:shd w:val="clear" w:color="auto" w:fill="EEF7ED"/>
      <w:spacing w:before="6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D26DD9"/>
    <w:pPr>
      <w:keepNext/>
      <w:shd w:val="clear" w:color="auto" w:fill="EEE2D6"/>
      <w:spacing w:before="6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D26DD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</w:rPr>
  </w:style>
  <w:style w:type="paragraph" w:customStyle="1" w:styleId="OPM-Alternativeconclusion">
    <w:name w:val="OPM - Alternative conclusion"/>
    <w:basedOn w:val="OPM-conclusion"/>
    <w:rsid w:val="00D26DD9"/>
  </w:style>
  <w:style w:type="paragraph" w:customStyle="1" w:styleId="OPM-blankline">
    <w:name w:val="OPM - blank line"/>
    <w:basedOn w:val="Normal"/>
    <w:rsid w:val="00D26DD9"/>
    <w:pPr>
      <w:spacing w:before="12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D26DD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D26DD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D26DD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D26DD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D26DD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D26DD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D26DD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D26DD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D26DD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D26DD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D26DD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D26DD9"/>
    <w:rPr>
      <w:b w:val="0"/>
      <w:i/>
      <w:sz w:val="16"/>
    </w:rPr>
  </w:style>
  <w:style w:type="paragraph" w:customStyle="1" w:styleId="OPM-ruletype">
    <w:name w:val="OPM - rule type"/>
    <w:basedOn w:val="OPM-Heading3"/>
    <w:rsid w:val="00D26DD9"/>
    <w:rPr>
      <w:i/>
    </w:rPr>
  </w:style>
  <w:style w:type="table" w:styleId="TableGrid">
    <w:name w:val="Table Grid"/>
    <w:basedOn w:val="TableNormal"/>
    <w:rsid w:val="00D26DD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26DD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D26DD9"/>
    <w:pPr>
      <w:spacing w:after="120"/>
    </w:pPr>
    <w:rPr>
      <w:rFonts w:eastAsia="Batang"/>
      <w:color w:val="808080" w:themeColor="background1" w:themeShade="8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aw.cornell.edu/definitions/index.php?width=840&amp;height=800&amp;iframe=true&amp;def_id=7336a9bece1f6a04e99414e7b0c782e7&amp;term_occur=6&amp;term_src=Title:26:Chapter:I:Subchapter:F:Part:301:Subpart:0:301.7701(b)-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aw.cornell.edu/definitions/index.php?width=840&amp;height=800&amp;iframe=true&amp;def_id=ce15809edeb1ba34ad35438ab4f8283a&amp;term_occur=9&amp;term_src=Title:26:Chapter:I:Subchapter:F:Part:301:Subpart:0:301.7701(b)-1" TargetMode="External"/><Relationship Id="rId17" Type="http://schemas.openxmlformats.org/officeDocument/2006/relationships/hyperlink" Target="https://www.law.cornell.edu/definitions/index.php?width=840&amp;height=800&amp;iframe=true&amp;def_id=23622418577300f98cdfd8e43cb1f345&amp;term_occur=1&amp;term_src=Title:26:Chapter:I:Subchapter:F:Part:301:Subpart:0:301.7701(b)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aw.cornell.edu/cfr/text/26/301.7701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ww.law.cornell.edu/definitions/index.php?width=840&amp;height=800&amp;iframe=true&amp;def_id=ce15809edeb1ba34ad35438ab4f8283a&amp;term_occur=8&amp;term_src=Title:26:Chapter:I:Subchapter:F:Part:301:Subpart:0:301.7701(b)-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aw.cornell.edu/definitions/index.php?width=840&amp;height=800&amp;iframe=true&amp;def_id=fe21e6e57c3298b181fb228ee53cccfd&amp;term_occur=1&amp;term_src=Title:26:Chapter:I:Subchapter:F:Part:301:Subpart:0:301.7701(b)-1" TargetMode="External"/><Relationship Id="rId10" Type="http://schemas.openxmlformats.org/officeDocument/2006/relationships/hyperlink" Target="https://www.law.cornell.edu/definitions/index.php?width=840&amp;height=800&amp;iframe=true&amp;def_id=33515141b7efad4195cc0cd49cb0e91a&amp;term_occur=3&amp;term_src=Title:26:Chapter:I:Subchapter:F:Part:301:Subpart:0:301.7701(b)-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aw.cornell.edu/definitions/index.php?width=840&amp;height=800&amp;iframe=true&amp;def_id=33515141b7efad4195cc0cd49cb0e91a&amp;term_occur=2&amp;term_src=Title:26:Chapter:I:Subchapter:F:Part:301:Subpart:0:301.7701(b)-1" TargetMode="External"/><Relationship Id="rId14" Type="http://schemas.openxmlformats.org/officeDocument/2006/relationships/hyperlink" Target="https://www.law.cornell.edu/definitions/index.php?width=840&amp;height=800&amp;iframe=true&amp;def_id=7336a9bece1f6a04e99414e7b0c782e7&amp;term_occur=7&amp;term_src=Title:26:Chapter:I:Subchapter:F:Part:301:Subpart:0:301.7701(b)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32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15</cp:revision>
  <dcterms:created xsi:type="dcterms:W3CDTF">2012-07-20T01:24:00Z</dcterms:created>
  <dcterms:modified xsi:type="dcterms:W3CDTF">2018-03-05T16:22:00Z</dcterms:modified>
</cp:coreProperties>
</file>