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5CD" w:rsidRDefault="007F75CD">
      <w:pPr>
        <w:pStyle w:val="Normal1"/>
        <w:widowControl w:val="0"/>
        <w:pBdr>
          <w:top w:val="nil"/>
          <w:left w:val="nil"/>
          <w:bottom w:val="nil"/>
          <w:right w:val="nil"/>
          <w:between w:val="nil"/>
        </w:pBdr>
        <w:spacing w:line="276" w:lineRule="auto"/>
        <w:ind w:left="-993"/>
        <w:rPr>
          <w:rFonts w:ascii="Arial" w:eastAsia="Arial" w:hAnsi="Arial" w:cs="Arial"/>
          <w:color w:val="000000"/>
          <w:sz w:val="22"/>
          <w:szCs w:val="22"/>
        </w:rPr>
      </w:pPr>
    </w:p>
    <w:tbl>
      <w:tblPr>
        <w:tblStyle w:val="a5"/>
        <w:tblW w:w="10497" w:type="dxa"/>
        <w:tblInd w:w="-108" w:type="dxa"/>
        <w:tblBorders>
          <w:top w:val="nil"/>
          <w:left w:val="nil"/>
          <w:bottom w:val="nil"/>
          <w:right w:val="nil"/>
          <w:insideH w:val="nil"/>
          <w:insideV w:val="nil"/>
        </w:tblBorders>
        <w:tblLayout w:type="fixed"/>
        <w:tblLook w:val="0400"/>
      </w:tblPr>
      <w:tblGrid>
        <w:gridCol w:w="2093"/>
        <w:gridCol w:w="6237"/>
        <w:gridCol w:w="2167"/>
      </w:tblGrid>
      <w:tr w:rsidR="007F75CD">
        <w:trPr>
          <w:cantSplit/>
          <w:trHeight w:val="1411"/>
          <w:tblHeader/>
        </w:trPr>
        <w:tc>
          <w:tcPr>
            <w:tcW w:w="2093" w:type="dxa"/>
            <w:tcBorders>
              <w:top w:val="nil"/>
              <w:left w:val="nil"/>
              <w:bottom w:val="nil"/>
              <w:right w:val="nil"/>
            </w:tcBorders>
            <w:shd w:val="clear" w:color="auto" w:fill="FFFFFF"/>
          </w:tcPr>
          <w:p w:rsidR="007F75CD" w:rsidRDefault="00F17F04">
            <w:pPr>
              <w:pStyle w:val="Normal1"/>
              <w:jc w:val="center"/>
            </w:pPr>
            <w:r>
              <w:rPr>
                <w:noProof/>
              </w:rPr>
              <w:drawing>
                <wp:inline distT="0" distB="0" distL="0" distR="0">
                  <wp:extent cx="1191895" cy="1264285"/>
                  <wp:effectExtent l="0" t="0" r="0" b="0"/>
                  <wp:docPr id="87091729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1895" cy="1264285"/>
                          </a:xfrm>
                          <a:prstGeom prst="rect">
                            <a:avLst/>
                          </a:prstGeom>
                          <a:ln/>
                        </pic:spPr>
                      </pic:pic>
                    </a:graphicData>
                  </a:graphic>
                </wp:inline>
              </w:drawing>
            </w:r>
          </w:p>
        </w:tc>
        <w:tc>
          <w:tcPr>
            <w:tcW w:w="6237" w:type="dxa"/>
            <w:tcBorders>
              <w:top w:val="nil"/>
              <w:left w:val="nil"/>
              <w:bottom w:val="nil"/>
              <w:right w:val="nil"/>
            </w:tcBorders>
            <w:shd w:val="clear" w:color="auto" w:fill="FFFFFF"/>
          </w:tcPr>
          <w:p w:rsidR="007F75CD" w:rsidRDefault="00F17F04">
            <w:pPr>
              <w:pStyle w:val="Normal1"/>
              <w:rPr>
                <w:b/>
                <w:sz w:val="28"/>
                <w:szCs w:val="28"/>
              </w:rPr>
            </w:pPr>
            <w:r>
              <w:rPr>
                <w:b/>
                <w:sz w:val="28"/>
                <w:szCs w:val="28"/>
              </w:rPr>
              <w:t xml:space="preserve">GUJARAT TECHNOLOGICAL UNIVERSITY </w:t>
            </w:r>
          </w:p>
          <w:p w:rsidR="007F75CD" w:rsidRDefault="00F17F04">
            <w:pPr>
              <w:pStyle w:val="Normal1"/>
              <w:jc w:val="center"/>
              <w:rPr>
                <w:b/>
                <w:sz w:val="28"/>
                <w:szCs w:val="28"/>
              </w:rPr>
            </w:pPr>
            <w:r>
              <w:rPr>
                <w:b/>
                <w:sz w:val="28"/>
                <w:szCs w:val="28"/>
              </w:rPr>
              <w:t xml:space="preserve">Chandkheda, Ahmedabad </w:t>
            </w:r>
          </w:p>
          <w:p w:rsidR="007F75CD" w:rsidRDefault="007F75CD">
            <w:pPr>
              <w:pStyle w:val="Normal1"/>
              <w:jc w:val="center"/>
              <w:rPr>
                <w:b/>
                <w:sz w:val="28"/>
                <w:szCs w:val="28"/>
              </w:rPr>
            </w:pPr>
          </w:p>
          <w:p w:rsidR="007F75CD" w:rsidRDefault="00F17F04">
            <w:pPr>
              <w:pStyle w:val="Normal1"/>
              <w:jc w:val="center"/>
              <w:rPr>
                <w:b/>
                <w:sz w:val="28"/>
                <w:szCs w:val="28"/>
              </w:rPr>
            </w:pPr>
            <w:r>
              <w:rPr>
                <w:b/>
                <w:sz w:val="28"/>
                <w:szCs w:val="28"/>
              </w:rPr>
              <w:t>Affiliated</w:t>
            </w:r>
          </w:p>
        </w:tc>
        <w:tc>
          <w:tcPr>
            <w:tcW w:w="2167" w:type="dxa"/>
            <w:tcBorders>
              <w:top w:val="nil"/>
              <w:left w:val="nil"/>
              <w:bottom w:val="nil"/>
              <w:right w:val="nil"/>
            </w:tcBorders>
            <w:shd w:val="clear" w:color="auto" w:fill="FFFFFF"/>
          </w:tcPr>
          <w:p w:rsidR="007F75CD" w:rsidRDefault="00F17F04">
            <w:pPr>
              <w:pStyle w:val="Normal1"/>
              <w:jc w:val="right"/>
            </w:pPr>
            <w:r>
              <w:rPr>
                <w:noProof/>
              </w:rPr>
              <w:drawing>
                <wp:inline distT="0" distB="0" distL="0" distR="0">
                  <wp:extent cx="1238250" cy="824865"/>
                  <wp:effectExtent l="0" t="0" r="0" b="0"/>
                  <wp:docPr id="870917299" name="image4.jpg" descr="D:\Janki\INTERNSHIP\SAL edu_LOGO.jpg"/>
                  <wp:cNvGraphicFramePr/>
                  <a:graphic xmlns:a="http://schemas.openxmlformats.org/drawingml/2006/main">
                    <a:graphicData uri="http://schemas.openxmlformats.org/drawingml/2006/picture">
                      <pic:pic xmlns:pic="http://schemas.openxmlformats.org/drawingml/2006/picture">
                        <pic:nvPicPr>
                          <pic:cNvPr id="0" name="image4.jpg" descr="D:\Janki\INTERNSHIP\SAL edu_LOGO.jpg"/>
                          <pic:cNvPicPr preferRelativeResize="0"/>
                        </pic:nvPicPr>
                        <pic:blipFill>
                          <a:blip r:embed="rId9" cstate="print"/>
                          <a:srcRect/>
                          <a:stretch>
                            <a:fillRect/>
                          </a:stretch>
                        </pic:blipFill>
                        <pic:spPr>
                          <a:xfrm>
                            <a:off x="0" y="0"/>
                            <a:ext cx="1238250" cy="824865"/>
                          </a:xfrm>
                          <a:prstGeom prst="rect">
                            <a:avLst/>
                          </a:prstGeom>
                          <a:ln/>
                        </pic:spPr>
                      </pic:pic>
                    </a:graphicData>
                  </a:graphic>
                </wp:inline>
              </w:drawing>
            </w:r>
          </w:p>
          <w:p w:rsidR="007F75CD" w:rsidRDefault="007F75CD">
            <w:pPr>
              <w:pStyle w:val="Normal1"/>
              <w:jc w:val="right"/>
            </w:pPr>
          </w:p>
        </w:tc>
      </w:tr>
    </w:tbl>
    <w:p w:rsidR="007F75CD" w:rsidRDefault="007F75CD">
      <w:pPr>
        <w:pStyle w:val="Normal1"/>
        <w:jc w:val="center"/>
        <w:rPr>
          <w:b/>
          <w:sz w:val="32"/>
          <w:szCs w:val="32"/>
        </w:rPr>
      </w:pPr>
    </w:p>
    <w:p w:rsidR="007F75CD" w:rsidRDefault="00F17F04">
      <w:pPr>
        <w:pStyle w:val="Normal1"/>
        <w:jc w:val="center"/>
        <w:rPr>
          <w:sz w:val="40"/>
          <w:szCs w:val="40"/>
        </w:rPr>
      </w:pPr>
      <w:r>
        <w:rPr>
          <w:sz w:val="40"/>
          <w:szCs w:val="40"/>
        </w:rPr>
        <w:t>SAL EDUCATION CAMPUS</w:t>
      </w:r>
    </w:p>
    <w:p w:rsidR="007F75CD" w:rsidRDefault="007F75CD">
      <w:pPr>
        <w:pStyle w:val="Normal1"/>
        <w:jc w:val="center"/>
        <w:rPr>
          <w:b/>
          <w:sz w:val="32"/>
          <w:szCs w:val="32"/>
        </w:rPr>
      </w:pPr>
    </w:p>
    <w:p w:rsidR="007F75CD" w:rsidRDefault="00F17F04">
      <w:pPr>
        <w:pStyle w:val="Normal1"/>
        <w:jc w:val="center"/>
        <w:rPr>
          <w:b/>
          <w:color w:val="215868"/>
          <w:sz w:val="40"/>
          <w:szCs w:val="40"/>
        </w:rPr>
      </w:pPr>
      <w:r>
        <w:rPr>
          <w:b/>
          <w:color w:val="215868"/>
          <w:sz w:val="40"/>
          <w:szCs w:val="40"/>
        </w:rPr>
        <w:t>SAL Engineering and Technical Institute</w:t>
      </w:r>
    </w:p>
    <w:p w:rsidR="007F75CD" w:rsidRDefault="007F75CD">
      <w:pPr>
        <w:pStyle w:val="Normal1"/>
        <w:jc w:val="center"/>
        <w:rPr>
          <w:b/>
          <w:sz w:val="26"/>
          <w:szCs w:val="26"/>
        </w:rPr>
      </w:pPr>
    </w:p>
    <w:p w:rsidR="007F75CD" w:rsidRDefault="007F75CD">
      <w:pPr>
        <w:pStyle w:val="Normal1"/>
        <w:jc w:val="center"/>
      </w:pPr>
    </w:p>
    <w:p w:rsidR="007F75CD" w:rsidRDefault="00F17F04">
      <w:pPr>
        <w:pStyle w:val="Normal1"/>
        <w:jc w:val="center"/>
        <w:rPr>
          <w:b/>
          <w:color w:val="215868"/>
          <w:sz w:val="54"/>
          <w:szCs w:val="54"/>
        </w:rPr>
      </w:pPr>
      <w:r>
        <w:rPr>
          <w:b/>
          <w:color w:val="215868"/>
          <w:sz w:val="40"/>
          <w:szCs w:val="40"/>
        </w:rPr>
        <w:t>“</w:t>
      </w:r>
      <w:r>
        <w:rPr>
          <w:b/>
          <w:color w:val="215868"/>
          <w:sz w:val="40"/>
          <w:szCs w:val="40"/>
        </w:rPr>
        <w:t>Pink Tax: A Data-Driven Analysis of Gender-Based Price Differences in Indian Online Retail</w:t>
      </w:r>
      <w:r>
        <w:rPr>
          <w:b/>
          <w:color w:val="215868"/>
          <w:sz w:val="40"/>
          <w:szCs w:val="40"/>
        </w:rPr>
        <w:t>”</w:t>
      </w:r>
    </w:p>
    <w:p w:rsidR="007F75CD" w:rsidRDefault="007F75CD">
      <w:pPr>
        <w:pStyle w:val="Normal1"/>
        <w:spacing w:line="360" w:lineRule="auto"/>
        <w:jc w:val="center"/>
        <w:rPr>
          <w:b/>
          <w:sz w:val="10"/>
          <w:szCs w:val="10"/>
        </w:rPr>
      </w:pPr>
    </w:p>
    <w:p w:rsidR="007F75CD" w:rsidRDefault="00F17F04">
      <w:pPr>
        <w:pStyle w:val="Normal1"/>
        <w:jc w:val="center"/>
        <w:rPr>
          <w:b/>
          <w:sz w:val="10"/>
          <w:szCs w:val="10"/>
        </w:rPr>
      </w:pPr>
      <w:r>
        <w:rPr>
          <w:b/>
          <w:sz w:val="26"/>
          <w:szCs w:val="26"/>
        </w:rPr>
        <w:t>A Report</w:t>
      </w:r>
    </w:p>
    <w:p w:rsidR="007F75CD" w:rsidRDefault="007F75CD">
      <w:pPr>
        <w:pStyle w:val="Normal1"/>
        <w:spacing w:line="360" w:lineRule="auto"/>
        <w:jc w:val="center"/>
        <w:rPr>
          <w:b/>
          <w:sz w:val="10"/>
          <w:szCs w:val="10"/>
        </w:rPr>
      </w:pPr>
    </w:p>
    <w:p w:rsidR="007F75CD" w:rsidRDefault="00F17F04">
      <w:pPr>
        <w:pStyle w:val="Normal1"/>
        <w:jc w:val="center"/>
        <w:rPr>
          <w:b/>
          <w:sz w:val="28"/>
          <w:szCs w:val="28"/>
        </w:rPr>
      </w:pPr>
      <w:r>
        <w:rPr>
          <w:b/>
          <w:sz w:val="28"/>
          <w:szCs w:val="28"/>
        </w:rPr>
        <w:t>Submitted By</w:t>
      </w:r>
    </w:p>
    <w:p w:rsidR="007F75CD" w:rsidRDefault="007F75CD">
      <w:pPr>
        <w:pStyle w:val="Normal1"/>
        <w:jc w:val="center"/>
        <w:rPr>
          <w:b/>
          <w:sz w:val="28"/>
          <w:szCs w:val="28"/>
        </w:rPr>
      </w:pPr>
    </w:p>
    <w:tbl>
      <w:tblPr>
        <w:tblStyle w:val="a6"/>
        <w:tblW w:w="7527" w:type="dxa"/>
        <w:jc w:val="center"/>
        <w:tblBorders>
          <w:top w:val="nil"/>
          <w:left w:val="nil"/>
          <w:bottom w:val="nil"/>
          <w:right w:val="nil"/>
          <w:insideH w:val="nil"/>
          <w:insideV w:val="nil"/>
        </w:tblBorders>
        <w:tblLayout w:type="fixed"/>
        <w:tblLook w:val="0400"/>
      </w:tblPr>
      <w:tblGrid>
        <w:gridCol w:w="5245"/>
        <w:gridCol w:w="2282"/>
      </w:tblGrid>
      <w:tr w:rsidR="007F75CD">
        <w:trPr>
          <w:cantSplit/>
          <w:tblHeader/>
          <w:jc w:val="center"/>
        </w:trPr>
        <w:tc>
          <w:tcPr>
            <w:tcW w:w="5245" w:type="dxa"/>
          </w:tcPr>
          <w:p w:rsidR="007F75CD" w:rsidRDefault="00F17F04">
            <w:pPr>
              <w:pStyle w:val="Normal1"/>
              <w:rPr>
                <w:b/>
                <w:color w:val="E36C0A"/>
                <w:sz w:val="26"/>
                <w:szCs w:val="26"/>
              </w:rPr>
            </w:pPr>
            <w:r>
              <w:rPr>
                <w:b/>
                <w:sz w:val="26"/>
                <w:szCs w:val="26"/>
                <w:color w:val="000000"/>
              </w:rPr>
              <w:t xml:space="preserve">Kanishka Shah</w:t>
            </w:r>
          </w:p>
        </w:tc>
        <w:tc>
          <w:tcPr>
            <w:tcW w:w="2282" w:type="dxa"/>
          </w:tcPr>
          <w:p w:rsidR="007F75CD" w:rsidRDefault="00F17F04">
            <w:pPr>
              <w:pStyle w:val="Normal1"/>
              <w:jc w:val="center"/>
              <w:rPr>
                <w:b/>
                <w:color w:val="E36C0A"/>
                <w:sz w:val="26"/>
                <w:szCs w:val="26"/>
              </w:rPr>
            </w:pPr>
            <w:r>
              <w:rPr>
                <w:b/>
                <w:sz w:val="26"/>
                <w:szCs w:val="26"/>
                <w:color w:val="000000"/>
              </w:rPr>
              <w:t xml:space="preserve">231260131051</w:t>
            </w:r>
          </w:p>
        </w:tc>
      </w:tr>
    </w:tbl>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F17F04">
      <w:pPr>
        <w:pStyle w:val="Normal1"/>
        <w:widowControl w:val="0"/>
        <w:ind w:left="3212" w:right="3218"/>
        <w:jc w:val="center"/>
        <w:rPr>
          <w:sz w:val="28"/>
          <w:szCs w:val="28"/>
        </w:rPr>
      </w:pPr>
      <w:r>
        <w:rPr>
          <w:b/>
          <w:sz w:val="28"/>
          <w:szCs w:val="28"/>
        </w:rPr>
        <w:t>Under Subject of</w:t>
      </w:r>
    </w:p>
    <w:p w:rsidR="007F75CD" w:rsidRDefault="007F75CD">
      <w:pPr>
        <w:pStyle w:val="Normal1"/>
        <w:widowControl w:val="0"/>
        <w:spacing w:line="200" w:lineRule="auto"/>
        <w:rPr>
          <w:sz w:val="20"/>
          <w:szCs w:val="20"/>
        </w:rPr>
      </w:pPr>
    </w:p>
    <w:p w:rsidR="007F75CD" w:rsidRDefault="007F75CD">
      <w:pPr>
        <w:pStyle w:val="Normal1"/>
        <w:widowControl w:val="0"/>
        <w:spacing w:before="3"/>
      </w:pPr>
    </w:p>
    <w:p w:rsidR="007F75CD" w:rsidRDefault="00F17F04">
      <w:pPr>
        <w:pStyle w:val="Normal1"/>
        <w:widowControl w:val="0"/>
        <w:ind w:left="2069" w:right="2072"/>
        <w:jc w:val="center"/>
        <w:rPr>
          <w:sz w:val="28"/>
          <w:szCs w:val="28"/>
        </w:rPr>
      </w:pPr>
      <w:r>
        <w:rPr>
          <w:b/>
          <w:sz w:val="28"/>
          <w:szCs w:val="28"/>
        </w:rPr>
        <w:t>SUMMER INTERNSHIP (3170001)</w:t>
      </w:r>
    </w:p>
    <w:p w:rsidR="007F75CD" w:rsidRDefault="007F75CD">
      <w:pPr>
        <w:pStyle w:val="Normal1"/>
        <w:widowControl w:val="0"/>
        <w:spacing w:before="3" w:line="160" w:lineRule="auto"/>
        <w:rPr>
          <w:sz w:val="16"/>
          <w:szCs w:val="16"/>
        </w:rPr>
      </w:pPr>
    </w:p>
    <w:p w:rsidR="007F75CD" w:rsidRDefault="00F17F04">
      <w:pPr>
        <w:pStyle w:val="Normal1"/>
        <w:widowControl w:val="0"/>
        <w:ind w:left="4085" w:right="4088"/>
        <w:jc w:val="center"/>
        <w:rPr>
          <w:sz w:val="28"/>
          <w:szCs w:val="28"/>
        </w:rPr>
      </w:pPr>
      <w:r>
        <w:rPr>
          <w:b/>
          <w:i/>
          <w:sz w:val="28"/>
          <w:szCs w:val="28"/>
        </w:rPr>
        <w:t>Of</w:t>
      </w:r>
    </w:p>
    <w:p w:rsidR="007F75CD" w:rsidRDefault="007F75CD">
      <w:pPr>
        <w:pStyle w:val="Normal1"/>
        <w:widowControl w:val="0"/>
        <w:spacing w:before="4" w:line="160" w:lineRule="auto"/>
        <w:rPr>
          <w:sz w:val="16"/>
          <w:szCs w:val="16"/>
        </w:rPr>
      </w:pPr>
    </w:p>
    <w:p w:rsidR="007F75CD" w:rsidRDefault="00F17F04">
      <w:pPr>
        <w:pStyle w:val="Normal1"/>
        <w:widowControl w:val="0"/>
        <w:ind w:left="1855" w:right="1848"/>
        <w:jc w:val="center"/>
        <w:rPr>
          <w:sz w:val="32"/>
          <w:szCs w:val="32"/>
        </w:rPr>
      </w:pPr>
      <w:r>
        <w:rPr>
          <w:b/>
          <w:sz w:val="32"/>
          <w:szCs w:val="32"/>
        </w:rPr>
        <w:t>BACHELOR OF ENGINEERING</w:t>
      </w:r>
    </w:p>
    <w:p w:rsidR="007F75CD" w:rsidRDefault="007F75CD">
      <w:pPr>
        <w:pStyle w:val="Normal1"/>
        <w:widowControl w:val="0"/>
        <w:spacing w:before="9" w:line="180" w:lineRule="auto"/>
        <w:rPr>
          <w:sz w:val="18"/>
          <w:szCs w:val="18"/>
        </w:rPr>
      </w:pPr>
    </w:p>
    <w:p w:rsidR="007F75CD" w:rsidRDefault="00F17F04">
      <w:pPr>
        <w:pStyle w:val="Normal1"/>
        <w:widowControl w:val="0"/>
        <w:ind w:left="4081" w:right="4075"/>
        <w:jc w:val="center"/>
        <w:rPr>
          <w:sz w:val="32"/>
          <w:szCs w:val="32"/>
        </w:rPr>
      </w:pPr>
      <w:r>
        <w:rPr>
          <w:b/>
          <w:i/>
          <w:sz w:val="32"/>
          <w:szCs w:val="32"/>
        </w:rPr>
        <w:t>In</w:t>
      </w:r>
    </w:p>
    <w:p w:rsidR="007F75CD" w:rsidRDefault="007F75CD">
      <w:pPr>
        <w:pStyle w:val="Normal1"/>
        <w:widowControl w:val="0"/>
        <w:spacing w:before="8" w:line="170" w:lineRule="auto"/>
        <w:rPr>
          <w:sz w:val="17"/>
          <w:szCs w:val="17"/>
        </w:rPr>
      </w:pPr>
    </w:p>
    <w:p w:rsidR="007F75CD" w:rsidRDefault="00F17F04">
      <w:pPr>
        <w:pStyle w:val="Normal1"/>
        <w:widowControl w:val="0"/>
        <w:ind w:left="2899" w:right="2906"/>
        <w:jc w:val="center"/>
        <w:rPr>
          <w:sz w:val="28"/>
          <w:szCs w:val="28"/>
        </w:rPr>
      </w:pPr>
      <w:r>
        <w:rPr>
          <w:b/>
          <w:i/>
          <w:sz w:val="28"/>
          <w:szCs w:val="28"/>
        </w:rPr>
        <w:t xml:space="preserve">Computer Science &amp; Engineering</w:t>
      </w:r>
    </w:p>
    <w:p w:rsidR="007F75CD" w:rsidRDefault="007F75CD">
      <w:pPr>
        <w:pStyle w:val="Normal1"/>
        <w:jc w:val="center"/>
        <w:rPr>
          <w:b/>
        </w:rPr>
      </w:pPr>
    </w:p>
    <w:p w:rsidR="007F75CD" w:rsidRDefault="007F75CD">
      <w:pPr>
        <w:pStyle w:val="Normal1"/>
        <w:jc w:val="center"/>
        <w:rPr>
          <w:b/>
        </w:rPr>
      </w:pPr>
    </w:p>
    <w:p w:rsidR="007F75CD" w:rsidRDefault="007F75CD">
      <w:pPr>
        <w:pStyle w:val="Normal1"/>
        <w:jc w:val="center"/>
        <w:rPr>
          <w:b/>
          <w:sz w:val="26"/>
          <w:szCs w:val="26"/>
        </w:rPr>
      </w:pPr>
    </w:p>
    <w:p w:rsidR="007F75CD" w:rsidRDefault="00F17F04">
      <w:pPr>
        <w:pStyle w:val="Normal1"/>
        <w:widowControl w:val="0"/>
        <w:ind w:left="2673" w:right="2671"/>
        <w:jc w:val="center"/>
        <w:rPr>
          <w:sz w:val="28"/>
          <w:szCs w:val="28"/>
        </w:rPr>
      </w:pPr>
      <w:r>
        <w:rPr>
          <w:i/>
          <w:sz w:val="28"/>
          <w:szCs w:val="28"/>
        </w:rPr>
        <w:t>Under the guidance of</w:t>
      </w:r>
    </w:p>
    <w:p w:rsidR="007F75CD" w:rsidRDefault="007F75CD">
      <w:pPr>
        <w:pStyle w:val="Normal1"/>
        <w:widowControl w:val="0"/>
        <w:spacing w:before="3" w:line="160" w:lineRule="auto"/>
        <w:rPr>
          <w:sz w:val="16"/>
          <w:szCs w:val="16"/>
        </w:rPr>
      </w:pPr>
    </w:p>
    <w:p w:rsidR="007F75CD" w:rsidRDefault="00F17F04">
      <w:pPr>
        <w:pStyle w:val="Normal1"/>
        <w:widowControl w:val="0"/>
        <w:ind w:right="55"/>
        <w:jc w:val="center"/>
        <w:rPr>
          <w:sz w:val="28"/>
          <w:szCs w:val="28"/>
        </w:rPr>
      </w:pPr>
      <w:r>
        <w:rPr>
          <w:b/>
          <w:sz w:val="26"/>
          <w:szCs w:val="26"/>
          <w:color w:val="000000"/>
        </w:rPr>
        <w:t xml:space="preserve">Prof. Himani Patel</w:t>
      </w:r>
    </w:p>
    <w:p w:rsidR="007F75CD" w:rsidRDefault="007F75CD">
      <w:pPr>
        <w:pStyle w:val="Normal1"/>
        <w:jc w:val="center"/>
        <w:rPr>
          <w:b/>
          <w:color w:val="000000"/>
        </w:rPr>
      </w:pPr>
    </w:p>
    <w:p w:rsidR="007F75CD" w:rsidRDefault="007F75CD">
      <w:pPr>
        <w:pStyle w:val="Normal1"/>
        <w:rPr>
          <w:b/>
          <w:color w:val="000000"/>
        </w:rPr>
      </w:pPr>
    </w:p>
    <w:p w:rsidR="007F75CD" w:rsidRDefault="007F75CD">
      <w:pPr>
        <w:pStyle w:val="Normal1"/>
        <w:jc w:val="center"/>
        <w:rPr>
          <w:b/>
          <w:sz w:val="28"/>
          <w:szCs w:val="28"/>
        </w:rPr>
      </w:pPr>
    </w:p>
    <w:p w:rsidR="007F75CD" w:rsidRDefault="00F17F04">
      <w:pPr>
        <w:pStyle w:val="Normal1"/>
        <w:jc w:val="center"/>
        <w:rPr>
          <w:b/>
          <w:sz w:val="28"/>
          <w:szCs w:val="28"/>
        </w:rPr>
      </w:pPr>
      <w:r>
        <w:rPr>
          <w:b/>
          <w:sz w:val="28"/>
          <w:szCs w:val="28"/>
        </w:rPr>
        <w:t>Academic Year</w:t>
      </w:r>
    </w:p>
    <w:p w:rsidR="007F75CD" w:rsidRDefault="00AA4535">
      <w:pPr>
        <w:pStyle w:val="Normal1"/>
        <w:jc w:val="center"/>
        <w:rPr>
          <w:b/>
          <w:sz w:val="28"/>
          <w:szCs w:val="28"/>
        </w:rPr>
      </w:pPr>
      <w:r>
        <w:rPr>
          <w:b/>
          <w:sz w:val="28"/>
          <w:szCs w:val="28"/>
        </w:rPr>
        <w:t>2026-27</w:t>
      </w:r>
    </w:p>
    <w:p w:rsidR="007F75CD" w:rsidRDefault="007F75CD">
      <w:pPr>
        <w:pStyle w:val="Normal1"/>
        <w:pBdr>
          <w:top w:val="nil"/>
          <w:left w:val="nil"/>
          <w:bottom w:val="nil"/>
          <w:right w:val="nil"/>
          <w:between w:val="nil"/>
        </w:pBdr>
        <w:tabs>
          <w:tab w:val="center" w:pos="4320"/>
          <w:tab w:val="right" w:pos="8640"/>
        </w:tabs>
      </w:pPr>
    </w:p>
    <w:p w:rsidR="007F75CD" w:rsidRDefault="00F17F04">
      <w:pPr>
        <w:pStyle w:val="Normal1"/>
        <w:rPr>
          <w:b/>
          <w:sz w:val="32"/>
          <w:szCs w:val="32"/>
        </w:rPr>
      </w:pPr>
      <w:r>
        <w:br w:type="page"/>
      </w: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F17F04">
      <w:pPr>
        <w:pStyle w:val="Normal1"/>
        <w:widowControl w:val="0"/>
        <w:spacing w:before="29"/>
        <w:ind w:left="239" w:right="133"/>
        <w:jc w:val="center"/>
      </w:pPr>
      <w:r>
        <w:t>ATTACH THE CERTIFICATE DOWNLOADED FROM PMMS</w:t>
      </w: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jc w:val="center"/>
        <w:rPr>
          <w:b/>
          <w:sz w:val="32"/>
          <w:szCs w:val="32"/>
        </w:rPr>
      </w:pPr>
    </w:p>
    <w:p w:rsidR="007F75CD" w:rsidRDefault="007F75CD">
      <w:pPr>
        <w:pStyle w:val="Normal1"/>
        <w:widowControl w:val="0"/>
        <w:spacing w:before="29"/>
        <w:ind w:left="239" w:right="133"/>
        <w:jc w:val="center"/>
      </w:pPr>
    </w:p>
    <w:p w:rsidR="007F75CD" w:rsidRDefault="007F75CD">
      <w:pPr>
        <w:pStyle w:val="Normal1"/>
        <w:widowControl w:val="0"/>
        <w:spacing w:before="29"/>
        <w:ind w:left="239" w:right="133"/>
        <w:jc w:val="center"/>
      </w:pPr>
    </w:p>
    <w:p w:rsidR="007F75CD" w:rsidRDefault="007F75CD">
      <w:pPr>
        <w:pStyle w:val="Normal1"/>
        <w:widowControl w:val="0"/>
        <w:spacing w:before="29"/>
        <w:ind w:left="239" w:right="133"/>
        <w:jc w:val="center"/>
      </w:pPr>
    </w:p>
    <w:p w:rsidR="007F75CD" w:rsidRDefault="007F75CD">
      <w:pPr>
        <w:pStyle w:val="Normal1"/>
        <w:widowControl w:val="0"/>
        <w:spacing w:before="29"/>
        <w:ind w:left="239" w:right="133"/>
        <w:jc w:val="center"/>
      </w:pPr>
    </w:p>
    <w:p w:rsidR="007F75CD" w:rsidRDefault="00F17F04">
      <w:pPr>
        <w:pStyle w:val="Normal1"/>
        <w:widowControl w:val="0"/>
        <w:spacing w:before="29"/>
        <w:ind w:left="239" w:right="133"/>
        <w:jc w:val="center"/>
      </w:pPr>
      <w:r>
        <w:t xml:space="preserve">ATTACH THE CERTIFICATE HERE FROM THE </w:t>
      </w:r>
      <w:r>
        <w:rPr>
          <w:b/>
        </w:rPr>
        <w:t xml:space="preserve">COMPANY/AGENCY </w:t>
      </w:r>
      <w:r>
        <w:t>(for the</w:t>
      </w:r>
    </w:p>
    <w:p w:rsidR="007F75CD" w:rsidRDefault="00F17F04">
      <w:pPr>
        <w:pStyle w:val="Normal1"/>
        <w:widowControl w:val="0"/>
        <w:spacing w:before="3"/>
        <w:ind w:left="2301" w:right="2202"/>
        <w:jc w:val="center"/>
        <w:sectPr w:rsidR="007F75CD">
          <w:pgSz w:w="11920" w:h="16840"/>
          <w:pgMar w:top="1559" w:right="437" w:bottom="278" w:left="992" w:header="720" w:footer="720" w:gutter="0"/>
          <w:pgNumType w:start="1"/>
          <w:cols w:space="720"/>
        </w:sectPr>
      </w:pPr>
      <w:r>
        <w:t>ONLINE/OFFLINE INTERNSHIP only)</w:t>
      </w:r>
    </w:p>
    <w:p w:rsidR="007F75CD" w:rsidRDefault="00815D5E">
      <w:pPr>
        <w:pStyle w:val="Normal1"/>
        <w:widowControl w:val="0"/>
        <w:spacing w:before="26" w:line="322" w:lineRule="auto"/>
        <w:ind w:left="854" w:right="878"/>
        <w:jc w:val="center"/>
        <w:rPr>
          <w:color w:val="FF0000"/>
        </w:rPr>
      </w:pPr>
      <w:r>
        <w:rPr>
          <w:b/>
          <w:noProof/>
          <w:sz w:val="28"/>
          <w:szCs w:val="28"/>
        </w:rPr>
        <w:lastRenderedPageBreak/>
        <w:drawing>
          <wp:anchor distT="0" distB="0" distL="0" distR="0" simplePos="0" relativeHeight="251658240" behindDoc="0" locked="0" layoutInCell="1" allowOverlap="1">
            <wp:simplePos x="0" y="0"/>
            <wp:positionH relativeFrom="column">
              <wp:posOffset>107315</wp:posOffset>
            </wp:positionH>
            <wp:positionV relativeFrom="paragraph">
              <wp:posOffset>161925</wp:posOffset>
            </wp:positionV>
            <wp:extent cx="1190625" cy="1266825"/>
            <wp:effectExtent l="19050" t="0" r="9525" b="0"/>
            <wp:wrapSquare wrapText="bothSides" distT="0" distB="0" distL="0" distR="0"/>
            <wp:docPr id="87091729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0625" cy="1266825"/>
                    </a:xfrm>
                    <a:prstGeom prst="rect">
                      <a:avLst/>
                    </a:prstGeom>
                    <a:ln/>
                  </pic:spPr>
                </pic:pic>
              </a:graphicData>
            </a:graphic>
          </wp:anchor>
        </w:drawing>
      </w:r>
      <w:r w:rsidR="00F17F04">
        <w:rPr>
          <w:b/>
          <w:sz w:val="28"/>
          <w:szCs w:val="28"/>
        </w:rPr>
        <w:t xml:space="preserve">SAL ENGINEERING AND TECHNICAL INSTITUTE </w:t>
      </w:r>
      <w:r w:rsidR="00F17F04">
        <w:rPr>
          <w:sz w:val="28"/>
          <w:szCs w:val="28"/>
          <w:color w:val="000000"/>
        </w:rPr>
        <w:br/>
        <w:t xml:space="preserve">COMPUTER SCIENCE &amp; ENGINEERING</w:t>
      </w:r>
      <w:r w:rsidR="00566865">
        <w:rPr>
          <w:sz w:val="28"/>
          <w:szCs w:val="28"/>
        </w:rPr>
        <w:t xml:space="preserve"/>
      </w:r>
      <w:r w:rsidR="00566865">
        <w:rPr>
          <w:color w:val="FF0000"/>
        </w:rPr>
        <w:t xml:space="preserve"/>
      </w:r>
      <w:r w:rsidR="00F17F04">
        <w:rPr>
          <w:color w:val="FF0000"/>
        </w:rPr>
        <w:t xml:space="preserve"/>
      </w:r>
      <w:r w:rsidR="00F17F04">
        <w:rPr>
          <w:noProof/>
        </w:rPr>
        <w:drawing>
          <wp:anchor distT="0" distB="0" distL="0" distR="0" simplePos="0" relativeHeight="251659264" behindDoc="0" locked="0" layoutInCell="1" allowOverlap="1">
            <wp:simplePos x="0" y="0"/>
            <wp:positionH relativeFrom="column">
              <wp:posOffset>5411795</wp:posOffset>
            </wp:positionH>
            <wp:positionV relativeFrom="paragraph">
              <wp:posOffset>0</wp:posOffset>
            </wp:positionV>
            <wp:extent cx="1238250" cy="824865"/>
            <wp:effectExtent l="0" t="0" r="0" b="0"/>
            <wp:wrapSquare wrapText="bothSides" distT="0" distB="0" distL="0" distR="0"/>
            <wp:docPr id="870917297" name="image4.jpg" descr="D:\Janki\INTERNSHIP\SAL edu_LOGO.jpg"/>
            <wp:cNvGraphicFramePr/>
            <a:graphic xmlns:a="http://schemas.openxmlformats.org/drawingml/2006/main">
              <a:graphicData uri="http://schemas.openxmlformats.org/drawingml/2006/picture">
                <pic:pic xmlns:pic="http://schemas.openxmlformats.org/drawingml/2006/picture">
                  <pic:nvPicPr>
                    <pic:cNvPr id="0" name="image4.jpg" descr="D:\Janki\INTERNSHIP\SAL edu_LOGO.jpg"/>
                    <pic:cNvPicPr preferRelativeResize="0"/>
                  </pic:nvPicPr>
                  <pic:blipFill>
                    <a:blip r:embed="rId9" cstate="print"/>
                    <a:srcRect/>
                    <a:stretch>
                      <a:fillRect/>
                    </a:stretch>
                  </pic:blipFill>
                  <pic:spPr>
                    <a:xfrm>
                      <a:off x="0" y="0"/>
                      <a:ext cx="1238250" cy="824865"/>
                    </a:xfrm>
                    <a:prstGeom prst="rect">
                      <a:avLst/>
                    </a:prstGeom>
                    <a:ln/>
                  </pic:spPr>
                </pic:pic>
              </a:graphicData>
            </a:graphic>
          </wp:anchor>
        </w:drawing>
      </w:r>
    </w:p>
    <w:p w:rsidR="007F75CD" w:rsidRDefault="00566865">
      <w:pPr>
        <w:pStyle w:val="Normal1"/>
        <w:widowControl w:val="0"/>
        <w:spacing w:before="38"/>
        <w:ind w:left="4295" w:right="4315"/>
        <w:jc w:val="center"/>
        <w:rPr>
          <w:sz w:val="28"/>
          <w:szCs w:val="28"/>
        </w:rPr>
      </w:pPr>
      <w:r>
        <w:rPr>
          <w:sz w:val="28"/>
          <w:szCs w:val="28"/>
        </w:rPr>
        <w:t>2026</w:t>
      </w:r>
    </w:p>
    <w:p w:rsidR="007F75CD" w:rsidRDefault="007F75CD">
      <w:pPr>
        <w:pStyle w:val="Normal1"/>
        <w:widowControl w:val="0"/>
        <w:spacing w:before="38"/>
        <w:ind w:left="4295" w:right="4315"/>
        <w:jc w:val="center"/>
        <w:rPr>
          <w:sz w:val="28"/>
          <w:szCs w:val="28"/>
        </w:rPr>
      </w:pPr>
    </w:p>
    <w:p w:rsidR="007F75CD" w:rsidRDefault="007F75CD">
      <w:pPr>
        <w:pStyle w:val="Normal1"/>
        <w:widowControl w:val="0"/>
        <w:spacing w:before="38"/>
        <w:ind w:left="4295" w:right="4315"/>
        <w:jc w:val="center"/>
        <w:rPr>
          <w:sz w:val="28"/>
          <w:szCs w:val="28"/>
        </w:rPr>
      </w:pPr>
    </w:p>
    <w:p w:rsidR="007F75CD" w:rsidRDefault="00F17F04">
      <w:pPr>
        <w:pStyle w:val="Normal1"/>
        <w:widowControl w:val="0"/>
        <w:ind w:left="3604" w:right="3618"/>
        <w:jc w:val="center"/>
        <w:rPr>
          <w:b/>
          <w:sz w:val="28"/>
          <w:szCs w:val="28"/>
        </w:rPr>
      </w:pPr>
      <w:r>
        <w:rPr>
          <w:b/>
          <w:sz w:val="28"/>
          <w:szCs w:val="28"/>
        </w:rPr>
        <w:t>CERTIFICATE</w:t>
      </w:r>
    </w:p>
    <w:p w:rsidR="007F75CD" w:rsidRDefault="007F75CD">
      <w:pPr>
        <w:pStyle w:val="Normal1"/>
        <w:widowControl w:val="0"/>
        <w:ind w:left="3604" w:right="3618"/>
        <w:jc w:val="center"/>
        <w:rPr>
          <w:sz w:val="28"/>
          <w:szCs w:val="28"/>
        </w:rPr>
      </w:pPr>
    </w:p>
    <w:p w:rsidR="007F75CD" w:rsidRDefault="007F75CD">
      <w:pPr>
        <w:pStyle w:val="Normal1"/>
        <w:widowControl w:val="0"/>
        <w:spacing w:before="8" w:line="190" w:lineRule="auto"/>
        <w:rPr>
          <w:sz w:val="19"/>
          <w:szCs w:val="19"/>
        </w:rPr>
      </w:pPr>
    </w:p>
    <w:p w:rsidR="007F75CD" w:rsidRDefault="007F75CD">
      <w:pPr>
        <w:pStyle w:val="Normal1"/>
        <w:widowControl w:val="0"/>
        <w:spacing w:line="200" w:lineRule="auto"/>
        <w:rPr>
          <w:sz w:val="20"/>
          <w:szCs w:val="20"/>
        </w:rPr>
      </w:pPr>
    </w:p>
    <w:p w:rsidR="007F75CD" w:rsidRDefault="00F17F04">
      <w:pPr>
        <w:pStyle w:val="Normal1"/>
        <w:widowControl w:val="0"/>
        <w:ind w:right="1677"/>
        <w:jc w:val="right"/>
        <w:rPr>
          <w:sz w:val="28"/>
          <w:szCs w:val="28"/>
        </w:rPr>
      </w:pPr>
      <w:r>
        <w:rPr>
          <w:sz w:val="28"/>
          <w:szCs w:val="28"/>
        </w:rPr>
        <w:t>Date:</w:t>
      </w:r>
    </w:p>
    <w:p w:rsidR="007F75CD" w:rsidRDefault="007F75CD">
      <w:pPr>
        <w:pStyle w:val="Normal1"/>
        <w:widowControl w:val="0"/>
        <w:spacing w:line="200" w:lineRule="auto"/>
        <w:rPr>
          <w:sz w:val="20"/>
          <w:szCs w:val="20"/>
        </w:rPr>
      </w:pPr>
    </w:p>
    <w:p w:rsidR="007F75CD" w:rsidRDefault="007F75CD">
      <w:pPr>
        <w:pStyle w:val="Normal1"/>
        <w:widowControl w:val="0"/>
        <w:spacing w:before="13" w:line="280" w:lineRule="auto"/>
        <w:rPr>
          <w:sz w:val="28"/>
          <w:szCs w:val="28"/>
        </w:rPr>
      </w:pPr>
    </w:p>
    <w:p w:rsidR="007F75CD" w:rsidRDefault="00F17F04" w:rsidP="00815D5E">
      <w:pPr>
        <w:pStyle w:val="Normal1"/>
        <w:widowControl w:val="0"/>
        <w:spacing w:line="276" w:lineRule="auto"/>
        <w:ind w:left="993" w:right="459"/>
        <w:jc w:val="both"/>
      </w:pPr>
      <w:r>
        <w:t>This is to certify that the “</w:t>
      </w:r>
      <w:r>
        <w:rPr>
          <w:b/>
        </w:rPr>
        <w:t>Pink Tax: A Data-Driven Analysis of Gender-Based Price Differences in Indian Online Retail</w:t>
      </w:r>
      <w:r>
        <w:t xml:space="preserve">” has been carried out by </w:t>
      </w:r>
      <w:r>
        <w:rPr>
          <w:b/>
        </w:rPr>
        <w:t xml:space="preserve">Kanishka Shah (231260131051) </w:t>
      </w:r>
      <w:r>
        <w:t xml:space="preserve">under my guidance in completion of Summer Internship in Computer Science &amp; Engineering Branch, 7</w:t>
      </w:r>
      <w:r>
        <w:rPr>
          <w:sz w:val="26"/>
          <w:szCs w:val="26"/>
          <w:vertAlign w:val="superscript"/>
        </w:rPr>
        <w:t xml:space="preserve">th </w:t>
      </w:r>
      <w:r>
        <w:t>Semester of Gujarat Technological University, Ahmedab</w:t>
      </w:r>
      <w:r w:rsidR="008C5AB3">
        <w:t>ad during the academic Year 2026-27</w:t>
      </w:r>
      <w:r>
        <w:t>.</w:t>
      </w:r>
    </w:p>
    <w:p w:rsidR="007F75CD" w:rsidRDefault="007F75CD" w:rsidP="00815D5E">
      <w:pPr>
        <w:pStyle w:val="Normal1"/>
        <w:spacing w:line="276" w:lineRule="auto"/>
        <w:ind w:left="993" w:right="459"/>
        <w:jc w:val="both"/>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7F75CD">
      <w:pPr>
        <w:pStyle w:val="Normal1"/>
      </w:pPr>
    </w:p>
    <w:p w:rsidR="007F75CD" w:rsidRDefault="005E1840">
      <w:pPr>
        <w:pStyle w:val="Normal1"/>
      </w:pPr>
      <w:r>
        <w:rPr>
          <w:noProof/>
        </w:rPr>
        <w:pict>
          <v:shape id="Freeform 870917295" o:spid="_x0000_s1026" style="position:absolute;margin-left:273.25pt;margin-top:5.9pt;width:209.15pt;height:3.9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63398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" path="m,l2633980,e" filled="f" strokeweight="1.75pt">
            <v:stroke startarrowwidth="narrow" startarrowlength="short" endarrowwidth="narrow" endarrowlength="short"/>
            <v:path arrowok="t" o:extrusionok="f"/>
            <w10:wrap type="square"/>
          </v:shape>
        </w:pict>
      </w:r>
      <w:r>
        <w:rPr>
          <w:noProof/>
        </w:rPr>
        <w:pict>
          <v:shape id="Freeform 870917294" o:spid="_x0000_s1027" style="position:absolute;margin-left:46.15pt;margin-top:5.15pt;width:118.7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485265,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" path="m,l1485265,e" filled="f" strokeweight="1.75pt">
            <v:stroke startarrowwidth="narrow" startarrowlength="short" endarrowwidth="narrow" endarrowlength="short"/>
            <v:path arrowok="t" o:extrusionok="f"/>
            <w10:wrap type="square"/>
          </v:shape>
        </w:pict>
      </w:r>
    </w:p>
    <w:p w:rsidR="007F75CD" w:rsidRDefault="007F75CD">
      <w:pPr>
        <w:pStyle w:val="Normal1"/>
      </w:pPr>
    </w:p>
    <w:tbl>
      <w:tblPr>
        <w:tblStyle w:val="a7"/>
        <w:tblW w:w="9639" w:type="dxa"/>
        <w:tblInd w:w="142" w:type="dxa"/>
        <w:tblLayout w:type="fixed"/>
        <w:tblLook w:val="0400"/>
      </w:tblPr>
      <w:tblGrid>
        <w:gridCol w:w="5812"/>
        <w:gridCol w:w="3827"/>
      </w:tblGrid>
      <w:tr w:rsidR="007F75CD">
        <w:trPr>
          <w:cantSplit/>
          <w:tblHeader/>
        </w:trPr>
        <w:tc>
          <w:tcPr>
            <w:tcW w:w="5812" w:type="dxa"/>
          </w:tcPr>
          <w:p w:rsidR="007F75CD" w:rsidRDefault="00F17F04">
            <w:pPr>
              <w:pStyle w:val="Normal1"/>
              <w:widowControl w:val="0"/>
              <w:spacing w:before="23" w:line="239" w:lineRule="auto"/>
              <w:ind w:right="67"/>
              <w:rPr>
                <w:b/>
              </w:rPr>
            </w:pPr>
            <w:r>
              <w:rPr>
                <w:b/>
                <w:color w:val="000000"/>
              </w:rPr>
              <w:t xml:space="preserve">Prof. Himani Patel</w:t>
            </w:r>
          </w:p>
        </w:tc>
        <w:tc>
          <w:tcPr>
            <w:tcW w:w="3827" w:type="dxa"/>
          </w:tcPr>
          <w:p w:rsidR="007F75CD" w:rsidRDefault="00C52395">
            <w:pPr>
              <w:pStyle w:val="Normal1"/>
              <w:widowControl w:val="0"/>
              <w:spacing w:before="23" w:line="239" w:lineRule="auto"/>
              <w:ind w:right="67"/>
            </w:pPr>
            <w:r>
              <w:t xml:space="preserve">Dr. </w:t>
            </w:r>
            <w:r w:rsidR="00F17F04">
              <w:t xml:space="preserve">Madhuri Parekh</w:t>
            </w:r>
            <w:r>
              <w:t xml:space="preserve"/>
            </w:r>
            <w:r w:rsidR="00F17F04">
              <w:t xml:space="preserve"/>
            </w:r>
          </w:p>
        </w:tc>
      </w:tr>
      <w:tr w:rsidR="007F75CD">
        <w:trPr>
          <w:cantSplit/>
          <w:tblHeader/>
        </w:trPr>
        <w:tc>
          <w:tcPr>
            <w:tcW w:w="5812" w:type="dxa"/>
          </w:tcPr>
          <w:p w:rsidR="007F75CD" w:rsidRDefault="00F17F04">
            <w:pPr>
              <w:pStyle w:val="Normal1"/>
              <w:widowControl w:val="0"/>
              <w:spacing w:before="23" w:line="239" w:lineRule="auto"/>
              <w:ind w:right="67"/>
            </w:pPr>
            <w:r>
              <w:t>Internal Guide</w:t>
            </w:r>
          </w:p>
        </w:tc>
        <w:tc>
          <w:tcPr>
            <w:tcW w:w="3827" w:type="dxa"/>
          </w:tcPr>
          <w:p w:rsidR="007F75CD" w:rsidRDefault="00F17F04">
            <w:pPr>
              <w:pStyle w:val="Normal1"/>
              <w:widowControl w:val="0"/>
              <w:spacing w:before="23" w:line="239" w:lineRule="auto"/>
              <w:ind w:right="67"/>
            </w:pPr>
            <w:r>
              <w:t xml:space="preserve">Head of Department </w:t>
            </w:r>
          </w:p>
        </w:tc>
      </w:tr>
      <w:tr w:rsidR="007F75CD">
        <w:trPr>
          <w:cantSplit/>
          <w:trHeight w:val="282"/>
          <w:tblHeader/>
        </w:trPr>
        <w:tc>
          <w:tcPr>
            <w:tcW w:w="5812" w:type="dxa"/>
          </w:tcPr>
          <w:p w:rsidR="007F75CD" w:rsidRDefault="00F17F04">
            <w:pPr>
              <w:pStyle w:val="Normal1"/>
              <w:widowControl w:val="0"/>
              <w:spacing w:before="23" w:line="239" w:lineRule="auto"/>
              <w:ind w:right="67"/>
            </w:pPr>
            <w:r>
              <w:t xml:space="preserve">Computer Science &amp; Engineering</w:t>
            </w:r>
          </w:p>
        </w:tc>
        <w:tc>
          <w:tcPr>
            <w:tcW w:w="3827" w:type="dxa"/>
          </w:tcPr>
          <w:p w:rsidR="007F75CD" w:rsidRDefault="00606FC5">
            <w:pPr>
              <w:pStyle w:val="Normal1"/>
              <w:widowControl w:val="0"/>
              <w:spacing w:before="23" w:line="239" w:lineRule="auto"/>
              <w:ind w:right="67"/>
            </w:pPr>
            <w:r>
              <w:t>CE</w:t>
            </w:r>
            <w:r w:rsidR="00F17F04">
              <w:t>, CSE</w:t>
            </w:r>
            <w:r>
              <w:t xml:space="preserve">, IT </w:t>
            </w:r>
            <w:r w:rsidR="00F17F04">
              <w:t>&amp; ICT Department</w:t>
            </w:r>
          </w:p>
        </w:tc>
      </w:tr>
      <w:tr w:rsidR="007F75CD">
        <w:trPr>
          <w:cantSplit/>
          <w:tblHeader/>
        </w:trPr>
        <w:tc>
          <w:tcPr>
            <w:tcW w:w="5812" w:type="dxa"/>
          </w:tcPr>
          <w:p w:rsidR="007F75CD" w:rsidRDefault="00F17F04">
            <w:pPr>
              <w:pStyle w:val="Normal1"/>
              <w:widowControl w:val="0"/>
              <w:spacing w:before="23" w:line="239" w:lineRule="auto"/>
              <w:ind w:right="67"/>
            </w:pPr>
            <w:r>
              <w:t>SETI</w:t>
            </w:r>
          </w:p>
        </w:tc>
        <w:tc>
          <w:tcPr>
            <w:tcW w:w="3827" w:type="dxa"/>
          </w:tcPr>
          <w:p w:rsidR="007F75CD" w:rsidRDefault="00F17F04">
            <w:pPr>
              <w:pStyle w:val="Normal1"/>
              <w:widowControl w:val="0"/>
              <w:spacing w:before="23" w:line="239" w:lineRule="auto"/>
              <w:ind w:right="67"/>
            </w:pPr>
            <w:r>
              <w:t>SETI</w:t>
            </w:r>
          </w:p>
        </w:tc>
      </w:tr>
    </w:tbl>
    <w:p w:rsidR="007F75CD" w:rsidRDefault="007F75CD">
      <w:pPr>
        <w:pStyle w:val="Normal1"/>
        <w:widowControl w:val="0"/>
        <w:spacing w:before="23" w:line="239" w:lineRule="auto"/>
        <w:ind w:right="67"/>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7F75CD">
      <w:pPr>
        <w:pStyle w:val="Normal1"/>
        <w:ind w:firstLine="720"/>
      </w:pPr>
    </w:p>
    <w:p w:rsidR="007F75CD" w:rsidRDefault="00F17F04">
      <w:pPr>
        <w:pStyle w:val="Normal1"/>
        <w:widowControl w:val="0"/>
        <w:spacing w:before="20"/>
        <w:jc w:val="center"/>
        <w:rPr>
          <w:sz w:val="32"/>
          <w:szCs w:val="32"/>
        </w:rPr>
      </w:pPr>
      <w:r>
        <w:rPr>
          <w:b/>
          <w:sz w:val="32"/>
          <w:szCs w:val="32"/>
        </w:rPr>
        <w:t>ABSTRACT</w:t>
      </w:r>
    </w:p>
    <w:p>
      <w:pPr>
        <w:pStyle w:val="Normal1"/>
        <w:spacing w:after="80" w:line="360" w:lineRule="auto"/>
        <w:jc w:val="both"/>
      </w:pPr>
    </w:p>
    <w:p>
      <w:pPr>
        <w:pStyle w:val="Normal1"/>
        <w:spacing w:after="120" w:line="360" w:lineRule="auto"/>
        <w:ind w:left="432" w:right="432"/>
        <w:jc w:val="both"/>
      </w:pPr>
      <w:r>
        <w:rPr>
          <w:sz w:val="24"/>
        </w:rPr>
        <w:t>The “Pink Tax” is more than a pricing issue. It raises a simple question: do products marketed to women actually cost more than comparable products marketed to men? This project uses data analysis to investigate gender-based price differences across everyday consumer products sold online in India. It compares similar items across categories, brands and product types, and all prices are in Indian Rupees (₹).</w:t>
      </w:r>
    </w:p>
    <w:p>
      <w:pPr>
        <w:pStyle w:val="Normal1"/>
        <w:spacing w:after="120" w:line="360" w:lineRule="auto"/>
        <w:ind w:left="432" w:right="432"/>
        <w:jc w:val="both"/>
      </w:pPr>
      <w:r>
        <w:rPr>
          <w:sz w:val="24"/>
        </w:rPr>
        <w:t xml:space="preserve">Three public Kaggle datasets were combined: product listings from </w:t>
      </w:r>
      <w:r>
        <w:rPr>
          <w:b/>
          <w:sz w:val="24"/>
        </w:rPr>
        <w:t>Myntra</w:t>
      </w:r>
      <w:r>
        <w:rPr>
          <w:sz w:val="24"/>
        </w:rPr>
        <w:t xml:space="preserve"> (fashion, footwear and accessories), </w:t>
      </w:r>
      <w:r>
        <w:rPr>
          <w:b/>
          <w:sz w:val="24"/>
        </w:rPr>
        <w:t>BigBasket</w:t>
      </w:r>
      <w:r>
        <w:rPr>
          <w:sz w:val="24"/>
        </w:rPr>
        <w:t xml:space="preserve"> (beauty and hygiene) and </w:t>
      </w:r>
      <w:r>
        <w:rPr>
          <w:b/>
          <w:sz w:val="24"/>
        </w:rPr>
        <w:t>Amazon.in</w:t>
      </w:r>
      <w:r>
        <w:rPr>
          <w:sz w:val="24"/>
        </w:rPr>
        <w:t xml:space="preserve"> (personal care). After cleaning, de-duplication, outlier removal and tagging each product by its target gender using product URLs and English and Hindi keywords, the final dataset contained </w:t>
      </w:r>
      <w:r>
        <w:rPr>
          <w:b/>
          <w:sz w:val="24"/>
        </w:rPr>
        <w:t>79,390 products</w:t>
      </w:r>
      <w:r>
        <w:rPr>
          <w:sz w:val="24"/>
        </w:rPr>
        <w:t xml:space="preserve"> from </w:t>
      </w:r>
      <w:r>
        <w:rPr>
          <w:b/>
          <w:sz w:val="24"/>
        </w:rPr>
        <w:t>2,769 brands</w:t>
      </w:r>
      <w:r>
        <w:rPr>
          <w:sz w:val="24"/>
        </w:rPr>
        <w:t xml:space="preserve"> in </w:t>
      </w:r>
      <w:r>
        <w:rPr>
          <w:b/>
          <w:sz w:val="24"/>
        </w:rPr>
        <w:t>44 comparable categories</w:t>
      </w:r>
      <w:r>
        <w:rPr>
          <w:sz w:val="24"/>
        </w:rPr>
        <w:t>. The analysis was done in Python (Pandas, NumPy, SciPy, Statsmodels, scikit-learn, Matplotlib, Seaborn and Plotly) on Google Colab, with an Excel workbook and a Power BI dashboard for reporting.</w:t>
      </w:r>
    </w:p>
    <w:p>
      <w:pPr>
        <w:pStyle w:val="Normal1"/>
        <w:spacing w:after="120" w:line="360" w:lineRule="auto"/>
        <w:ind w:left="432" w:right="432"/>
        <w:jc w:val="both"/>
      </w:pPr>
      <w:r>
        <w:rPr>
          <w:sz w:val="24"/>
        </w:rPr>
        <w:t>The prices were examined through four lenses of increasing strictness. The first compared women's and men's prices within each category using non-parametric tests with bootstrap confidence intervals and false-discovery-rate correction. The second compared price per 100 ml for liquids. The third compared 860 brand-matched pairs, where the same brand sells a men's and a women's version in the same category. The fourth was a fixed-effects regression that controls for brand and category.</w:t>
      </w:r>
    </w:p>
    <w:p>
      <w:pPr>
        <w:pStyle w:val="Normal1"/>
        <w:spacing w:after="120" w:line="360" w:lineRule="auto"/>
        <w:ind w:left="432" w:right="432"/>
        <w:jc w:val="both"/>
      </w:pPr>
      <w:r>
        <w:rPr>
          <w:sz w:val="24"/>
        </w:rPr>
        <w:t xml:space="preserve">The results show that </w:t>
      </w:r>
      <w:r>
        <w:rPr>
          <w:b/>
          <w:sz w:val="24"/>
        </w:rPr>
        <w:t>there is no blanket Pink Tax</w:t>
      </w:r>
      <w:r>
        <w:rPr>
          <w:sz w:val="24"/>
        </w:rPr>
        <w:t xml:space="preserve"> in Indian online retail. Women paid significantly more in only 4 of 44 categories, while men paid more in 22. Within the same brand, the women's version was dearer in 27% of pairs and the men's version in 54%, and the typical gap was −5.9%. Personal-care liquids showed no significant difference per 100 ml. The Pink Tax does, however, appear consistently in specific pockets: girls' night suits (+78%), innerwear (+33%), kids' clothing sets (+11%) and women's sports shoes (+5%). Women's deodorants on BigBasket also cost 17% more at the selling price because they are discounted less. Much of the gap comes from brand mix and product differentiation rather than a uniform surcharge. The practical lesson for consumers is to compare unit prices and to look across the gender aisle.</w:t>
      </w:r>
    </w:p>
    <w:p>
      <w:pPr>
        <w:pStyle w:val="Normal1"/>
        <w:spacing w:after="120" w:line="360" w:lineRule="auto"/>
        <w:ind w:left="432" w:right="432"/>
        <w:jc w:val="both"/>
      </w:pPr>
      <w:r>
        <w:rPr>
          <w:b/>
          <w:sz w:val="24"/>
        </w:rPr>
        <w:t>Keywords:</w:t>
      </w:r>
      <w:r>
        <w:rPr>
          <w:sz w:val="24"/>
        </w:rPr>
        <w:t xml:space="preserve"> Pink Tax, gender-based pricing, price discrimination, e-commerce, hypothesis testing, fixed-effects regression, data analytics, Python, Power BI.</w:t>
      </w:r>
    </w:p>
    <w:p w:rsidR="007F75CD" w:rsidRDefault="00F17F04">
      <w:pPr>
        <w:pStyle w:val="Normal1"/>
      </w:pPr>
      <w:r>
        <w:br w:type="page"/>
      </w:r>
    </w:p>
    <w:p w:rsidR="007F75CD" w:rsidRDefault="00F17F04">
      <w:pPr>
        <w:pStyle w:val="Normal1"/>
        <w:ind w:firstLine="720"/>
        <w:jc w:val="center"/>
        <w:rPr>
          <w:sz w:val="36"/>
          <w:szCs w:val="36"/>
        </w:rPr>
      </w:pPr>
      <w:r>
        <w:rPr>
          <w:sz w:val="36"/>
          <w:szCs w:val="36"/>
          <w:b/>
        </w:rPr>
        <w:t>Introduction</w:t>
      </w:r>
    </w:p>
    <w:p>
      <w:pPr>
        <w:pStyle w:val="Normal1"/>
        <w:spacing w:after="40" w:line="360" w:lineRule="auto"/>
        <w:jc w:val="both"/>
      </w:pPr>
    </w:p>
    <w:p>
      <w:pPr>
        <w:pStyle w:val="Normal1"/>
        <w:spacing w:after="120" w:line="360" w:lineRule="auto"/>
        <w:ind w:left="432" w:right="432"/>
        <w:jc w:val="both"/>
      </w:pPr>
      <w:r>
        <w:rPr>
          <w:sz w:val="24"/>
        </w:rPr>
        <w:t xml:space="preserve">The term </w:t>
      </w:r>
      <w:r>
        <w:rPr>
          <w:b/>
          <w:sz w:val="24"/>
        </w:rPr>
        <w:t>Pink Tax</w:t>
      </w:r>
      <w:r>
        <w:rPr>
          <w:sz w:val="24"/>
        </w:rPr>
        <w:t xml:space="preserve"> describes the extra amount women are said to pay for products and services that are marketed to them, when an almost identical version marketed to men costs less. A razor in pink packaging, a “for her” deodorant or a girl's T-shirt may cost more than its male counterpart even when the materials and function are the same. Unlike a real tax, the money does not go to the government. It is a price difference created by marketing and pricing decisions.</w:t>
      </w:r>
    </w:p>
    <w:p>
      <w:pPr>
        <w:pStyle w:val="Normal1"/>
        <w:spacing w:after="120" w:line="360" w:lineRule="auto"/>
        <w:ind w:left="432" w:right="432"/>
        <w:jc w:val="both"/>
      </w:pPr>
      <w:r>
        <w:rPr>
          <w:sz w:val="24"/>
        </w:rPr>
        <w:t xml:space="preserve">The issue became widely known after a 1994 study by the California Assembly, which led to the Gender Tax Repeal Act of 1995 for services. The best-known study of goods is the New York City Department of Consumer Affairs report </w:t>
      </w:r>
      <w:r>
        <w:rPr>
          <w:i/>
          <w:sz w:val="24"/>
        </w:rPr>
        <w:t>From Cradle to Cane</w:t>
      </w:r>
      <w:r>
        <w:rPr>
          <w:sz w:val="24"/>
        </w:rPr>
        <w:t xml:space="preserve"> (2015). It compared nearly 800 products with clear male and female versions and found that women's products cost about 7% more on average, and 13% more for personal-care products. Later work has been more cautious. The U.S. Government Accountability Office (2018) found higher prices for women in 5 of 10 personal-care categories but could not attribute them to gender bias alone. Moshary, Tuchman and Bhatia (2021) found no systematic premium when truly identical products were compared.</w:t>
      </w:r>
    </w:p>
    <w:p>
      <w:pPr>
        <w:pStyle w:val="Normal1"/>
        <w:spacing w:after="120" w:line="360" w:lineRule="auto"/>
        <w:ind w:left="432" w:right="432"/>
        <w:jc w:val="both"/>
      </w:pPr>
      <w:r>
        <w:rPr>
          <w:sz w:val="24"/>
        </w:rPr>
        <w:t>In India, public debate has focused mainly on the “tampon tax”, which ended when sanitary napkins were exempted from GST in July 2018. Gender-based pricing of everyday goods has received far less data-driven attention, even though online retail now makes it possible to observe the prices of tens of thousands of products at once.</w:t>
      </w:r>
    </w:p>
    <w:p>
      <w:pPr>
        <w:pStyle w:val="Normal1"/>
        <w:spacing w:after="120" w:line="360" w:lineRule="auto"/>
        <w:ind w:left="432" w:right="432"/>
        <w:jc w:val="both"/>
      </w:pPr>
      <w:r>
        <w:rPr>
          <w:sz w:val="24"/>
        </w:rPr>
        <w:t>This project fills that gap with a reproducible data-analysis pipeline. It collects real product listings from three Indian e-commerce platforms, labels each product as targeted at women or men, and uses statistical tests, matched comparisons and regression to measure where the Pink Tax exists, how large it is and what explains it. The work was carried out during a 15-day summer internship. Chapter 1 introduces the internship, its aims and the tools used. Chapter 2 records the day-by-day activities and learning, and Chapter 3 presents the conclusions.</w:t>
      </w:r>
    </w:p>
    <w:p>
      <w:pPr>
        <w:pStyle w:val="Normal1"/>
      </w:pPr>
      <w:r>
        <w:br w:type="page"/>
      </w:r>
    </w:p>
    <w:p>
      <w:pPr>
        <w:pStyle w:val="Normal1"/>
        <w:spacing w:after="280"/>
        <w:jc w:val="center"/>
      </w:pPr>
      <w:r>
        <w:rPr>
          <w:b/>
          <w:sz w:val="32"/>
        </w:rPr>
        <w:t>Contents</w:t>
      </w:r>
    </w:p>
    <w:p>
      <w:pPr>
        <w:pStyle w:val="Normal1"/>
        <w:tabs>
          <w:tab w:val="right" w:leader="dot" w:pos="9800"/>
        </w:tabs>
        <w:spacing w:after="60" w:before="120"/>
        <w:ind w:left="504"/>
      </w:pPr>
      <w:r>
        <w:rPr>
          <w:sz w:val="24"/>
        </w:rPr>
        <w:t>Abstract</w:t>
      </w:r>
      <w:r>
        <w:tab/>
      </w:r>
      <w:r>
        <w:rPr>
          <w:sz w:val="24"/>
        </w:rPr>
        <w:t>I</w:t>
      </w:r>
    </w:p>
    <w:p>
      <w:pPr>
        <w:pStyle w:val="Normal1"/>
        <w:tabs>
          <w:tab w:val="right" w:leader="dot" w:pos="9800"/>
        </w:tabs>
        <w:spacing w:after="60" w:before="120"/>
        <w:ind w:left="504"/>
      </w:pPr>
      <w:r>
        <w:rPr>
          <w:sz w:val="24"/>
        </w:rPr>
        <w:t>Introduction</w:t>
      </w:r>
      <w:r>
        <w:tab/>
      </w:r>
      <w:r>
        <w:rPr>
          <w:sz w:val="24"/>
        </w:rPr>
        <w:t>II</w:t>
      </w:r>
    </w:p>
    <w:p>
      <w:pPr>
        <w:pStyle w:val="Normal1"/>
        <w:tabs>
          <w:tab w:val="right" w:leader="dot" w:pos="9800"/>
        </w:tabs>
        <w:spacing w:after="60" w:before="120"/>
        <w:ind w:left="504"/>
      </w:pPr>
      <w:r>
        <w:rPr>
          <w:sz w:val="24"/>
        </w:rPr>
        <w:t>Contents</w:t>
      </w:r>
      <w:r>
        <w:tab/>
      </w:r>
      <w:r>
        <w:rPr>
          <w:sz w:val="24"/>
        </w:rPr>
        <w:t>III</w:t>
      </w:r>
    </w:p>
    <w:p>
      <w:pPr>
        <w:pStyle w:val="Normal1"/>
        <w:tabs>
          <w:tab w:val="right" w:leader="dot" w:pos="9800"/>
        </w:tabs>
        <w:spacing w:after="60" w:before="120"/>
        <w:ind w:left="504"/>
      </w:pPr>
      <w:r>
        <w:fldChar w:fldCharType="begin"/>
      </w:r>
      <w:r>
        <w:instrText xml:space="preserve"> TOC \o "1-2" \h \z \u </w:instrText>
      </w:r>
      <w:r>
        <w:fldChar w:fldCharType="separate"/>
      </w:r>
      <w:r>
        <w:rPr>
          <w:b/>
          <w:sz w:val="24"/>
        </w:rPr>
        <w:t>Chapter 1: Introduction</w:t>
      </w:r>
      <w:r>
        <w:tab/>
      </w:r>
      <w:r>
        <w:rPr>
          <w:b/>
          <w:sz w:val="24"/>
        </w:rPr>
        <w:t>1</w:t>
      </w:r>
    </w:p>
    <w:p>
      <w:pPr>
        <w:pStyle w:val="Normal1"/>
        <w:tabs>
          <w:tab w:val="right" w:leader="dot" w:pos="9800"/>
        </w:tabs>
        <w:spacing w:after="20" w:before="0"/>
        <w:ind w:left="1224"/>
      </w:pPr>
      <w:r>
        <w:rPr>
          <w:sz w:val="23"/>
        </w:rPr>
        <w:t>1.1 Introduction of Summer Internship</w:t>
      </w:r>
      <w:r>
        <w:tab/>
      </w:r>
      <w:r>
        <w:rPr>
          <w:sz w:val="23"/>
        </w:rPr>
        <w:t>1</w:t>
      </w:r>
    </w:p>
    <w:p>
      <w:pPr>
        <w:pStyle w:val="Normal1"/>
        <w:tabs>
          <w:tab w:val="right" w:leader="dot" w:pos="9800"/>
        </w:tabs>
        <w:spacing w:after="20" w:before="0"/>
        <w:ind w:left="1224"/>
      </w:pPr>
      <w:r>
        <w:rPr>
          <w:sz w:val="23"/>
        </w:rPr>
        <w:t>1.2 Aim &amp; Objective</w:t>
      </w:r>
      <w:r>
        <w:tab/>
      </w:r>
      <w:r>
        <w:rPr>
          <w:sz w:val="23"/>
        </w:rPr>
        <w:t>1</w:t>
      </w:r>
    </w:p>
    <w:p>
      <w:pPr>
        <w:pStyle w:val="Normal1"/>
        <w:tabs>
          <w:tab w:val="right" w:leader="dot" w:pos="9800"/>
        </w:tabs>
        <w:spacing w:after="20" w:before="0"/>
        <w:ind w:left="1224"/>
      </w:pPr>
      <w:r>
        <w:rPr>
          <w:sz w:val="23"/>
        </w:rPr>
        <w:t>1.3 Tools &amp; Technology used during Internship</w:t>
      </w:r>
      <w:r>
        <w:tab/>
      </w:r>
      <w:r>
        <w:rPr>
          <w:sz w:val="23"/>
        </w:rPr>
        <w:t>2</w:t>
      </w:r>
    </w:p>
    <w:p>
      <w:pPr>
        <w:pStyle w:val="Normal1"/>
        <w:tabs>
          <w:tab w:val="right" w:leader="dot" w:pos="9800"/>
        </w:tabs>
        <w:spacing w:after="20" w:before="0"/>
        <w:ind w:left="1224"/>
      </w:pPr>
      <w:r>
        <w:rPr>
          <w:sz w:val="23"/>
        </w:rPr>
        <w:t>1.4 Dataset Description</w:t>
      </w:r>
      <w:r>
        <w:tab/>
      </w:r>
      <w:r>
        <w:rPr>
          <w:sz w:val="23"/>
        </w:rPr>
        <w:t>2</w:t>
      </w:r>
    </w:p>
    <w:p>
      <w:pPr>
        <w:pStyle w:val="Normal1"/>
        <w:tabs>
          <w:tab w:val="right" w:leader="dot" w:pos="9800"/>
        </w:tabs>
        <w:spacing w:after="60" w:before="120"/>
        <w:ind w:left="504"/>
      </w:pPr>
      <w:r>
        <w:rPr>
          <w:b/>
          <w:sz w:val="24"/>
        </w:rPr>
        <w:t>Chapter 2: What I Learned during Internship</w:t>
      </w:r>
      <w:r>
        <w:tab/>
      </w:r>
      <w:r>
        <w:rPr>
          <w:b/>
          <w:sz w:val="24"/>
        </w:rPr>
        <w:t>3</w:t>
      </w:r>
    </w:p>
    <w:p>
      <w:pPr>
        <w:pStyle w:val="Normal1"/>
        <w:tabs>
          <w:tab w:val="right" w:leader="dot" w:pos="9800"/>
        </w:tabs>
        <w:spacing w:after="20" w:before="0"/>
        <w:ind w:left="1224"/>
      </w:pPr>
      <w:r>
        <w:rPr>
          <w:sz w:val="23"/>
        </w:rPr>
        <w:t>Day-1: Orientation and Understanding the Pink Tax</w:t>
      </w:r>
      <w:r>
        <w:tab/>
      </w:r>
      <w:r>
        <w:rPr>
          <w:sz w:val="23"/>
        </w:rPr>
        <w:t>3</w:t>
      </w:r>
    </w:p>
    <w:p>
      <w:pPr>
        <w:pStyle w:val="Normal1"/>
        <w:tabs>
          <w:tab w:val="right" w:leader="dot" w:pos="9800"/>
        </w:tabs>
        <w:spacing w:after="20" w:before="0"/>
        <w:ind w:left="1224"/>
      </w:pPr>
      <w:r>
        <w:rPr>
          <w:sz w:val="23"/>
        </w:rPr>
        <w:t>Day-2: Setting up the Development Environment</w:t>
      </w:r>
      <w:r>
        <w:tab/>
      </w:r>
      <w:r>
        <w:rPr>
          <w:sz w:val="23"/>
        </w:rPr>
        <w:t>4</w:t>
      </w:r>
    </w:p>
    <w:p>
      <w:pPr>
        <w:pStyle w:val="Normal1"/>
        <w:tabs>
          <w:tab w:val="right" w:leader="dot" w:pos="9800"/>
        </w:tabs>
        <w:spacing w:after="20" w:before="0"/>
        <w:ind w:left="1224"/>
      </w:pPr>
      <w:r>
        <w:rPr>
          <w:sz w:val="23"/>
        </w:rPr>
        <w:t>Day-3: Python Refresher – NumPy and Pandas</w:t>
      </w:r>
      <w:r>
        <w:tab/>
      </w:r>
      <w:r>
        <w:rPr>
          <w:sz w:val="23"/>
        </w:rPr>
        <w:t>5</w:t>
      </w:r>
    </w:p>
    <w:p>
      <w:pPr>
        <w:pStyle w:val="Normal1"/>
        <w:tabs>
          <w:tab w:val="right" w:leader="dot" w:pos="9800"/>
        </w:tabs>
        <w:spacing w:after="20" w:before="0"/>
        <w:ind w:left="1224"/>
      </w:pPr>
      <w:r>
        <w:rPr>
          <w:sz w:val="23"/>
        </w:rPr>
        <w:t>Day-4: Data Sourcing from Kaggle</w:t>
      </w:r>
      <w:r>
        <w:tab/>
      </w:r>
      <w:r>
        <w:rPr>
          <w:sz w:val="23"/>
        </w:rPr>
        <w:t>6</w:t>
      </w:r>
    </w:p>
    <w:p>
      <w:pPr>
        <w:pStyle w:val="Normal1"/>
        <w:tabs>
          <w:tab w:val="right" w:leader="dot" w:pos="9800"/>
        </w:tabs>
        <w:spacing w:after="20" w:before="0"/>
        <w:ind w:left="1224"/>
      </w:pPr>
      <w:r>
        <w:rPr>
          <w:sz w:val="23"/>
        </w:rPr>
        <w:t>Day-5: Data Understanding and Profiling</w:t>
      </w:r>
      <w:r>
        <w:tab/>
      </w:r>
      <w:r>
        <w:rPr>
          <w:sz w:val="23"/>
        </w:rPr>
        <w:t>7</w:t>
      </w:r>
    </w:p>
    <w:p>
      <w:pPr>
        <w:pStyle w:val="Normal1"/>
        <w:tabs>
          <w:tab w:val="right" w:leader="dot" w:pos="9800"/>
        </w:tabs>
        <w:spacing w:after="20" w:before="0"/>
        <w:ind w:left="1224"/>
      </w:pPr>
      <w:r>
        <w:rPr>
          <w:sz w:val="23"/>
        </w:rPr>
        <w:t>Day-6: Data Cleaning</w:t>
      </w:r>
      <w:r>
        <w:tab/>
      </w:r>
      <w:r>
        <w:rPr>
          <w:sz w:val="23"/>
        </w:rPr>
        <w:t>8</w:t>
      </w:r>
    </w:p>
    <w:p>
      <w:pPr>
        <w:pStyle w:val="Normal1"/>
        <w:tabs>
          <w:tab w:val="right" w:leader="dot" w:pos="9800"/>
        </w:tabs>
        <w:spacing w:after="20" w:before="0"/>
        <w:ind w:left="1224"/>
      </w:pPr>
      <w:r>
        <w:rPr>
          <w:sz w:val="23"/>
        </w:rPr>
        <w:t>Day-7: Feature Engineering – Gender, Category and Unit Price</w:t>
      </w:r>
      <w:r>
        <w:tab/>
      </w:r>
      <w:r>
        <w:rPr>
          <w:sz w:val="23"/>
        </w:rPr>
        <w:t>9</w:t>
      </w:r>
    </w:p>
    <w:p>
      <w:pPr>
        <w:pStyle w:val="Normal1"/>
        <w:tabs>
          <w:tab w:val="right" w:leader="dot" w:pos="9800"/>
        </w:tabs>
        <w:spacing w:after="20" w:before="0"/>
        <w:ind w:left="1224"/>
      </w:pPr>
      <w:r>
        <w:rPr>
          <w:sz w:val="23"/>
        </w:rPr>
        <w:t>Day-8: Exploratory Data Analysis (EDA)</w:t>
      </w:r>
      <w:r>
        <w:tab/>
      </w:r>
      <w:r>
        <w:rPr>
          <w:sz w:val="23"/>
        </w:rPr>
        <w:t>10</w:t>
      </w:r>
    </w:p>
    <w:p>
      <w:pPr>
        <w:pStyle w:val="Normal1"/>
        <w:tabs>
          <w:tab w:val="right" w:leader="dot" w:pos="9800"/>
        </w:tabs>
        <w:spacing w:after="20" w:before="0"/>
        <w:ind w:left="1224"/>
      </w:pPr>
      <w:r>
        <w:rPr>
          <w:sz w:val="23"/>
        </w:rPr>
        <w:t>Day-9: Data Visualisation with Matplotlib, Seaborn and Plotly</w:t>
      </w:r>
      <w:r>
        <w:tab/>
      </w:r>
      <w:r>
        <w:rPr>
          <w:sz w:val="23"/>
        </w:rPr>
        <w:t>11</w:t>
      </w:r>
    </w:p>
    <w:p>
      <w:pPr>
        <w:pStyle w:val="Normal1"/>
        <w:tabs>
          <w:tab w:val="right" w:leader="dot" w:pos="9800"/>
        </w:tabs>
        <w:spacing w:after="20" w:before="0"/>
        <w:ind w:left="1224"/>
      </w:pPr>
      <w:r>
        <w:rPr>
          <w:sz w:val="23"/>
        </w:rPr>
        <w:t>Day-10: Hypothesis Testing Across 44 Categories</w:t>
      </w:r>
      <w:r>
        <w:tab/>
      </w:r>
      <w:r>
        <w:rPr>
          <w:sz w:val="23"/>
        </w:rPr>
        <w:t>13</w:t>
      </w:r>
    </w:p>
    <w:p>
      <w:pPr>
        <w:pStyle w:val="Normal1"/>
        <w:tabs>
          <w:tab w:val="right" w:leader="dot" w:pos="9800"/>
        </w:tabs>
        <w:spacing w:after="20" w:before="0"/>
        <w:ind w:left="1224"/>
      </w:pPr>
      <w:r>
        <w:rPr>
          <w:sz w:val="23"/>
        </w:rPr>
        <w:t>Day-11: Comparing Like with Like – Unit Price and Brand-Matched Pairs</w:t>
      </w:r>
      <w:r>
        <w:tab/>
      </w:r>
      <w:r>
        <w:rPr>
          <w:sz w:val="23"/>
        </w:rPr>
        <w:t>14</w:t>
      </w:r>
    </w:p>
    <w:p>
      <w:pPr>
        <w:pStyle w:val="Normal1"/>
        <w:tabs>
          <w:tab w:val="right" w:leader="dot" w:pos="9800"/>
        </w:tabs>
        <w:spacing w:after="20" w:before="0"/>
        <w:ind w:left="1224"/>
      </w:pPr>
      <w:r>
        <w:rPr>
          <w:sz w:val="23"/>
        </w:rPr>
        <w:t>Day-12: Regression with Fixed Effects (Statsmodels)</w:t>
      </w:r>
      <w:r>
        <w:tab/>
      </w:r>
      <w:r>
        <w:rPr>
          <w:sz w:val="23"/>
        </w:rPr>
        <w:t>16</w:t>
      </w:r>
    </w:p>
    <w:p>
      <w:pPr>
        <w:pStyle w:val="Normal1"/>
        <w:tabs>
          <w:tab w:val="right" w:leader="dot" w:pos="9800"/>
        </w:tabs>
        <w:spacing w:after="20" w:before="0"/>
        <w:ind w:left="1224"/>
      </w:pPr>
      <w:r>
        <w:rPr>
          <w:sz w:val="23"/>
        </w:rPr>
        <w:t>Day-13: Discount Analysis and Machine Learning (scikit-learn)</w:t>
      </w:r>
      <w:r>
        <w:tab/>
      </w:r>
      <w:r>
        <w:rPr>
          <w:sz w:val="23"/>
        </w:rPr>
        <w:t>18</w:t>
      </w:r>
    </w:p>
    <w:p>
      <w:pPr>
        <w:pStyle w:val="Normal1"/>
        <w:tabs>
          <w:tab w:val="right" w:leader="dot" w:pos="9800"/>
        </w:tabs>
        <w:spacing w:after="20" w:before="0"/>
        <w:ind w:left="1224"/>
      </w:pPr>
      <w:r>
        <w:rPr>
          <w:sz w:val="23"/>
        </w:rPr>
        <w:t>Day-14: Excel Workbook – Formulas, Pivot Summaries and Charts</w:t>
      </w:r>
      <w:r>
        <w:tab/>
      </w:r>
      <w:r>
        <w:rPr>
          <w:sz w:val="23"/>
        </w:rPr>
        <w:t>20</w:t>
      </w:r>
    </w:p>
    <w:p>
      <w:pPr>
        <w:pStyle w:val="Normal1"/>
        <w:tabs>
          <w:tab w:val="right" w:leader="dot" w:pos="9800"/>
        </w:tabs>
        <w:spacing w:after="20" w:before="0"/>
        <w:ind w:left="1224"/>
      </w:pPr>
      <w:r>
        <w:rPr>
          <w:sz w:val="23"/>
        </w:rPr>
        <w:t>Day-15: Power BI Dashboard, GitHub Publishing and Report</w:t>
      </w:r>
      <w:r>
        <w:tab/>
      </w:r>
      <w:r>
        <w:rPr>
          <w:sz w:val="23"/>
        </w:rPr>
        <w:t>22</w:t>
      </w:r>
    </w:p>
    <w:p>
      <w:pPr>
        <w:pStyle w:val="Normal1"/>
        <w:tabs>
          <w:tab w:val="right" w:leader="dot" w:pos="9800"/>
        </w:tabs>
        <w:spacing w:after="60" w:before="120"/>
        <w:ind w:left="504"/>
      </w:pPr>
      <w:r>
        <w:rPr>
          <w:b/>
          <w:sz w:val="24"/>
        </w:rPr>
        <w:t>Chapter 3: Conclusion</w:t>
      </w:r>
      <w:r>
        <w:tab/>
      </w:r>
      <w:r>
        <w:rPr>
          <w:b/>
          <w:sz w:val="24"/>
        </w:rPr>
        <w:t>23</w:t>
      </w:r>
    </w:p>
    <w:p>
      <w:pPr>
        <w:pStyle w:val="Normal1"/>
        <w:tabs>
          <w:tab w:val="right" w:leader="dot" w:pos="9800"/>
        </w:tabs>
        <w:spacing w:after="20" w:before="0"/>
        <w:ind w:left="1224"/>
      </w:pPr>
      <w:r>
        <w:rPr>
          <w:sz w:val="23"/>
        </w:rPr>
        <w:t>3.1 Summary of Findings</w:t>
      </w:r>
      <w:r>
        <w:tab/>
      </w:r>
      <w:r>
        <w:rPr>
          <w:sz w:val="23"/>
        </w:rPr>
        <w:t>23</w:t>
      </w:r>
    </w:p>
    <w:p>
      <w:pPr>
        <w:pStyle w:val="Normal1"/>
        <w:tabs>
          <w:tab w:val="right" w:leader="dot" w:pos="9800"/>
        </w:tabs>
        <w:spacing w:after="20" w:before="0"/>
        <w:ind w:left="1224"/>
      </w:pPr>
      <w:r>
        <w:rPr>
          <w:sz w:val="23"/>
        </w:rPr>
        <w:t>3.2 What I Learned from the Internship</w:t>
      </w:r>
      <w:r>
        <w:tab/>
      </w:r>
      <w:r>
        <w:rPr>
          <w:sz w:val="23"/>
        </w:rPr>
        <w:t>23</w:t>
      </w:r>
    </w:p>
    <w:p>
      <w:pPr>
        <w:pStyle w:val="Normal1"/>
        <w:tabs>
          <w:tab w:val="right" w:leader="dot" w:pos="9800"/>
        </w:tabs>
        <w:spacing w:after="20" w:before="0"/>
        <w:ind w:left="1224"/>
      </w:pPr>
      <w:r>
        <w:rPr>
          <w:sz w:val="23"/>
        </w:rPr>
        <w:t>3.3 Limitations and Future Scope</w:t>
      </w:r>
      <w:r>
        <w:tab/>
      </w:r>
      <w:r>
        <w:rPr>
          <w:sz w:val="23"/>
        </w:rPr>
        <w:t>24</w:t>
      </w:r>
    </w:p>
    <w:p>
      <w:pPr>
        <w:pStyle w:val="Normal1"/>
        <w:tabs>
          <w:tab w:val="right" w:leader="dot" w:pos="9800"/>
        </w:tabs>
        <w:spacing w:after="60" w:before="120"/>
        <w:ind w:left="504"/>
      </w:pPr>
      <w:r>
        <w:rPr>
          <w:b/>
          <w:sz w:val="24"/>
        </w:rPr>
        <w:t>References</w:t>
      </w:r>
      <w:r>
        <w:tab/>
      </w:r>
      <w:r>
        <w:rPr>
          <w:b/>
          <w:sz w:val="24"/>
        </w:rPr>
        <w:t>25</w:t>
      </w:r>
      <w:r>
        <w:fldChar w:fldCharType="end"/>
      </w:r>
    </w:p>
    <w:p w:rsidR="00695089" w:rsidRDefault="00695089" w:rsidP="00695089">
      <w:pPr>
        <w:pStyle w:val="TOC1"/>
        <w:rPr>
          <w:b w:val="0"/>
        </w:rPr>
        <w:sectPr w:rsidR="00695089">
          <w:pgSz w:w="11940" w:h="16860"/>
          <w:pgMar w:top="780" w:right="425" w:bottom="1120" w:left="566" w:header="552" w:footer="926" w:gutter="0"/>
          <w:pgBorders w:offsetFrom="page">
            <w:top w:val="single" w:sz="4" w:space="24" w:color="000000"/>
            <w:left w:val="single" w:sz="4" w:space="24" w:color="000000"/>
            <w:bottom w:val="single" w:sz="4" w:space="24" w:color="000000"/>
            <w:right w:val="single" w:sz="4" w:space="24" w:color="000000"/>
          </w:pgBorders>
          <w:cols w:space="720"/>
        </w:sectPr>
      </w:pPr>
      <w:bookmarkStart w:id="1" w:name="_GoBack"/>
      <w:bookmarkEnd w:id="1"/>
    </w:p>
    <w:p>
      <w:pPr>
        <w:pStyle w:val="Heading1"/>
      </w:pPr>
      <w:r>
        <w:rPr>
          <w:b/>
          <w:color w:val="000000"/>
          <w:sz w:val="32"/>
        </w:rPr>
        <w:t>Chapter 1: Introduction</w:t>
      </w:r>
    </w:p>
    <w:p>
      <w:pPr>
        <w:pStyle w:val="Heading2"/>
      </w:pPr>
      <w:r>
        <w:rPr>
          <w:b/>
          <w:color w:val="000000"/>
          <w:sz w:val="28"/>
        </w:rPr>
        <w:t>1.1 Introduction of Summer Internship</w:t>
      </w:r>
    </w:p>
    <w:p>
      <w:pPr>
        <w:pStyle w:val="Normal1"/>
        <w:spacing w:after="120" w:line="360" w:lineRule="auto"/>
        <w:jc w:val="both"/>
      </w:pPr>
      <w:r>
        <w:rPr>
          <w:sz w:val="24"/>
        </w:rPr>
        <w:t xml:space="preserve">The summer internship was a 15-day, project-based programme in </w:t>
      </w:r>
      <w:r>
        <w:rPr>
          <w:b/>
          <w:sz w:val="24"/>
        </w:rPr>
        <w:t>data analytics</w:t>
      </w:r>
      <w:r>
        <w:rPr>
          <w:sz w:val="24"/>
        </w:rPr>
        <w:t xml:space="preserve">. Its purpose was to take a real-world question from idea to evidence: finding and understanding data, cleaning and transforming it, analysing it with statistics, and communicating the results through charts, spreadsheets and dashboards. The work was organised as a single end-to-end project, </w:t>
      </w:r>
      <w:r>
        <w:rPr>
          <w:i/>
          <w:sz w:val="24"/>
        </w:rPr>
        <w:t>the Pink Tax in Indian online retail</w:t>
      </w:r>
      <w:r>
        <w:rPr>
          <w:sz w:val="24"/>
        </w:rPr>
        <w:t>, so that every new skill was applied straight away to the same dataset.</w:t>
      </w:r>
    </w:p>
    <w:p>
      <w:pPr>
        <w:pStyle w:val="Normal1"/>
        <w:spacing w:after="120" w:line="360" w:lineRule="auto"/>
        <w:jc w:val="both"/>
      </w:pPr>
      <w:r>
        <w:rPr>
          <w:sz w:val="24"/>
        </w:rPr>
        <w:t>The internship was divided into four phases:</w:t>
      </w:r>
    </w:p>
    <w:p>
      <w:pPr>
        <w:pStyle w:val="Normal1"/>
        <w:numPr>
          <w:ilvl w:val="0"/>
          <w:numId w:val="201"/>
        </w:numPr>
        <w:spacing w:after="60" w:line="360" w:lineRule="auto"/>
        <w:ind w:left="720" w:hanging="360"/>
        <w:jc w:val="both"/>
      </w:pPr>
      <w:r>
        <w:rPr>
          <w:b/>
          <w:sz w:val="24"/>
        </w:rPr>
        <w:t>Foundations (Days 1–3):</w:t>
      </w:r>
      <w:r>
        <w:rPr>
          <w:sz w:val="24"/>
        </w:rPr>
        <w:t xml:space="preserve"> problem understanding, literature review, setting up Python, Google Colab and GitHub, and revising NumPy and Pandas.</w:t>
      </w:r>
    </w:p>
    <w:p>
      <w:pPr>
        <w:pStyle w:val="Normal1"/>
        <w:numPr>
          <w:ilvl w:val="0"/>
          <w:numId w:val="201"/>
        </w:numPr>
        <w:spacing w:after="60" w:line="360" w:lineRule="auto"/>
        <w:ind w:left="720" w:hanging="360"/>
        <w:jc w:val="both"/>
      </w:pPr>
      <w:r>
        <w:rPr>
          <w:b/>
          <w:sz w:val="24"/>
        </w:rPr>
        <w:t>Data engineering (Days 4–7):</w:t>
      </w:r>
      <w:r>
        <w:rPr>
          <w:sz w:val="24"/>
        </w:rPr>
        <w:t xml:space="preserve"> sourcing data from Kaggle, profiling it, cleaning it and engineering features such as gender, category and price per 100 ml.</w:t>
      </w:r>
    </w:p>
    <w:p>
      <w:pPr>
        <w:pStyle w:val="Normal1"/>
        <w:numPr>
          <w:ilvl w:val="0"/>
          <w:numId w:val="201"/>
        </w:numPr>
        <w:spacing w:after="60" w:line="360" w:lineRule="auto"/>
        <w:ind w:left="720" w:hanging="360"/>
        <w:jc w:val="both"/>
      </w:pPr>
      <w:r>
        <w:rPr>
          <w:b/>
          <w:sz w:val="24"/>
        </w:rPr>
        <w:t>Analysis (Days 8–13):</w:t>
      </w:r>
      <w:r>
        <w:rPr>
          <w:sz w:val="24"/>
        </w:rPr>
        <w:t xml:space="preserve"> exploratory analysis, visualisation, hypothesis testing, brand-matched comparison, regression and a machine-learning check.</w:t>
      </w:r>
    </w:p>
    <w:p>
      <w:pPr>
        <w:pStyle w:val="Normal1"/>
        <w:numPr>
          <w:ilvl w:val="0"/>
          <w:numId w:val="201"/>
        </w:numPr>
        <w:spacing w:after="60" w:line="360" w:lineRule="auto"/>
        <w:ind w:left="720" w:hanging="360"/>
        <w:jc w:val="both"/>
      </w:pPr>
      <w:r>
        <w:rPr>
          <w:b/>
          <w:sz w:val="24"/>
        </w:rPr>
        <w:t>Reporting (Days 14–15):</w:t>
      </w:r>
      <w:r>
        <w:rPr>
          <w:sz w:val="24"/>
        </w:rPr>
        <w:t xml:space="preserve"> an Excel workbook with live formulas, a Power BI dashboard, the GitHub repository and this report.</w:t>
      </w:r>
    </w:p>
    <w:p>
      <w:pPr>
        <w:pStyle w:val="Normal1"/>
        <w:spacing w:after="0" w:line="144" w:lineRule="auto"/>
        <w:jc w:val="both"/>
      </w:pPr>
    </w:p>
    <w:p>
      <w:pPr>
        <w:pStyle w:val="Normal1"/>
        <w:spacing w:after="120" w:line="360" w:lineRule="auto"/>
        <w:jc w:val="both"/>
      </w:pPr>
      <w:r>
        <w:rPr>
          <w:sz w:val="24"/>
        </w:rPr>
        <w:t>Each day ended with a short log of what was done, what was learned and what problems came up. Chapter 2 is based on these logs.</w:t>
      </w:r>
    </w:p>
    <w:p>
      <w:pPr>
        <w:pStyle w:val="Heading2"/>
      </w:pPr>
      <w:r>
        <w:rPr>
          <w:b/>
          <w:color w:val="000000"/>
          <w:sz w:val="28"/>
        </w:rPr>
        <w:t>1.2 Aim &amp; Objective</w:t>
      </w:r>
    </w:p>
    <w:p>
      <w:pPr>
        <w:pStyle w:val="Normal1"/>
        <w:spacing w:after="120" w:line="360" w:lineRule="auto"/>
        <w:jc w:val="both"/>
      </w:pPr>
      <w:r>
        <w:rPr>
          <w:b/>
          <w:sz w:val="24"/>
        </w:rPr>
        <w:t>Aim:</w:t>
      </w:r>
      <w:r>
        <w:rPr>
          <w:sz w:val="24"/>
        </w:rPr>
        <w:t xml:space="preserve"> to find out, using real data and sound statistical methods, whether products marketed to women in India cost more than comparable products marketed to men, and where any such Pink Tax appears most consistently.</w:t>
      </w:r>
    </w:p>
    <w:p>
      <w:pPr>
        <w:pStyle w:val="Normal1"/>
        <w:keepNext/>
        <w:spacing w:before="120" w:after="40"/>
      </w:pPr>
      <w:r>
        <w:rPr>
          <w:b/>
          <w:sz w:val="25"/>
        </w:rPr>
        <w:t>Objectives</w:t>
      </w:r>
    </w:p>
    <w:p>
      <w:pPr>
        <w:pStyle w:val="Normal1"/>
        <w:numPr>
          <w:ilvl w:val="0"/>
          <w:numId w:val="202"/>
        </w:numPr>
        <w:spacing w:after="60" w:line="360" w:lineRule="auto"/>
        <w:ind w:left="720" w:hanging="360"/>
        <w:jc w:val="both"/>
      </w:pPr>
      <w:r>
        <w:rPr>
          <w:sz w:val="24"/>
        </w:rPr>
        <w:t>Build a clean, gender-tagged dataset of Indian consumer products from public sources.</w:t>
      </w:r>
    </w:p>
    <w:p>
      <w:pPr>
        <w:pStyle w:val="Normal1"/>
        <w:numPr>
          <w:ilvl w:val="0"/>
          <w:numId w:val="202"/>
        </w:numPr>
        <w:spacing w:after="60" w:line="360" w:lineRule="auto"/>
        <w:ind w:left="720" w:hanging="360"/>
        <w:jc w:val="both"/>
      </w:pPr>
      <w:r>
        <w:rPr>
          <w:sz w:val="24"/>
        </w:rPr>
        <w:t>Compare women's and men's prices within each product category and test whether the differences are statistically significant.</w:t>
      </w:r>
    </w:p>
    <w:p>
      <w:pPr>
        <w:pStyle w:val="Normal1"/>
        <w:numPr>
          <w:ilvl w:val="0"/>
          <w:numId w:val="202"/>
        </w:numPr>
        <w:spacing w:after="60" w:line="360" w:lineRule="auto"/>
        <w:ind w:left="720" w:hanging="360"/>
        <w:jc w:val="both"/>
      </w:pPr>
      <w:r>
        <w:rPr>
          <w:sz w:val="24"/>
        </w:rPr>
        <w:t>Compare like with like: price per 100 ml for liquids, and the same brand's men's and women's lines.</w:t>
      </w:r>
    </w:p>
    <w:p>
      <w:pPr>
        <w:pStyle w:val="Normal1"/>
        <w:numPr>
          <w:ilvl w:val="0"/>
          <w:numId w:val="202"/>
        </w:numPr>
        <w:spacing w:after="60" w:line="360" w:lineRule="auto"/>
        <w:ind w:left="720" w:hanging="360"/>
        <w:jc w:val="both"/>
      </w:pPr>
      <w:r>
        <w:rPr>
          <w:sz w:val="24"/>
        </w:rPr>
        <w:t>Separate a true gender premium from brand and category effects using regression.</w:t>
      </w:r>
    </w:p>
    <w:p>
      <w:pPr>
        <w:pStyle w:val="Normal1"/>
        <w:numPr>
          <w:ilvl w:val="0"/>
          <w:numId w:val="202"/>
        </w:numPr>
        <w:spacing w:after="60" w:line="360" w:lineRule="auto"/>
        <w:ind w:left="720" w:hanging="360"/>
        <w:jc w:val="both"/>
      </w:pPr>
      <w:r>
        <w:rPr>
          <w:sz w:val="24"/>
        </w:rPr>
        <w:t>Check whether discounts change the gap between the list price (MRP) and the price actually paid.</w:t>
      </w:r>
    </w:p>
    <w:p>
      <w:pPr>
        <w:pStyle w:val="Normal1"/>
        <w:numPr>
          <w:ilvl w:val="0"/>
          <w:numId w:val="202"/>
        </w:numPr>
        <w:spacing w:after="60" w:line="360" w:lineRule="auto"/>
        <w:ind w:left="720" w:hanging="360"/>
        <w:jc w:val="both"/>
      </w:pPr>
      <w:r>
        <w:rPr>
          <w:sz w:val="24"/>
        </w:rPr>
        <w:t>Present the results in a Colab notebook, an Excel workbook and a Power BI dashboard, and publish the project on GitHub.</w:t>
      </w:r>
    </w:p>
    <w:p>
      <w:pPr>
        <w:pStyle w:val="Normal1"/>
        <w:spacing w:after="0" w:line="144" w:lineRule="auto"/>
        <w:jc w:val="both"/>
      </w:pPr>
    </w:p>
    <w:p>
      <w:pPr>
        <w:pStyle w:val="Normal1"/>
        <w:keepNext/>
        <w:spacing w:before="120" w:after="40"/>
      </w:pPr>
      <w:r>
        <w:rPr>
          <w:b/>
          <w:sz w:val="25"/>
        </w:rPr>
        <w:t>Research questions and hypotheses</w:t>
      </w:r>
    </w:p>
    <w:p>
      <w:pPr>
        <w:pStyle w:val="Normal1"/>
        <w:numPr>
          <w:ilvl w:val="0"/>
          <w:numId w:val="201"/>
        </w:numPr>
        <w:spacing w:after="60" w:line="360" w:lineRule="auto"/>
        <w:ind w:left="720" w:hanging="360"/>
        <w:jc w:val="both"/>
      </w:pPr>
      <w:r>
        <w:rPr>
          <w:b/>
          <w:sz w:val="24"/>
        </w:rPr>
        <w:t>RQ1:</w:t>
      </w:r>
      <w:r>
        <w:rPr>
          <w:sz w:val="24"/>
        </w:rPr>
        <w:t xml:space="preserve"> Within a product category, do women's products have higher prices than men's?</w:t>
      </w:r>
    </w:p>
    <w:p>
      <w:pPr>
        <w:pStyle w:val="Normal1"/>
        <w:numPr>
          <w:ilvl w:val="0"/>
          <w:numId w:val="201"/>
        </w:numPr>
        <w:spacing w:after="60" w:line="360" w:lineRule="auto"/>
        <w:ind w:left="720" w:hanging="360"/>
        <w:jc w:val="both"/>
      </w:pPr>
      <w:r>
        <w:rPr>
          <w:b/>
          <w:sz w:val="24"/>
        </w:rPr>
        <w:t>RQ2:</w:t>
      </w:r>
      <w:r>
        <w:rPr>
          <w:sz w:val="24"/>
        </w:rPr>
        <w:t xml:space="preserve"> Does the gap survive when unit price, brand and category are held constant?</w:t>
      </w:r>
    </w:p>
    <w:p>
      <w:pPr>
        <w:pStyle w:val="Normal1"/>
        <w:numPr>
          <w:ilvl w:val="0"/>
          <w:numId w:val="201"/>
        </w:numPr>
        <w:spacing w:after="60" w:line="360" w:lineRule="auto"/>
        <w:ind w:left="720" w:hanging="360"/>
        <w:jc w:val="both"/>
      </w:pPr>
      <w:r>
        <w:rPr>
          <w:b/>
          <w:sz w:val="24"/>
        </w:rPr>
        <w:t>RQ3:</w:t>
      </w:r>
      <w:r>
        <w:rPr>
          <w:sz w:val="24"/>
        </w:rPr>
        <w:t xml:space="preserve"> In which categories does the Pink Tax appear most consistently?</w:t>
      </w:r>
    </w:p>
    <w:p>
      <w:pPr>
        <w:pStyle w:val="Normal1"/>
        <w:numPr>
          <w:ilvl w:val="0"/>
          <w:numId w:val="201"/>
        </w:numPr>
        <w:spacing w:after="60" w:line="360" w:lineRule="auto"/>
        <w:ind w:left="720" w:hanging="360"/>
        <w:jc w:val="both"/>
      </w:pPr>
      <w:r>
        <w:rPr>
          <w:b/>
          <w:sz w:val="24"/>
        </w:rPr>
        <w:t>H₀:</w:t>
      </w:r>
      <w:r>
        <w:rPr>
          <w:sz w:val="24"/>
        </w:rPr>
        <w:t xml:space="preserve"> the price distributions of women's and men's products are the same. </w:t>
      </w:r>
      <w:r>
        <w:rPr>
          <w:b/>
          <w:sz w:val="24"/>
        </w:rPr>
        <w:t>H₁:</w:t>
      </w:r>
      <w:r>
        <w:rPr>
          <w:sz w:val="24"/>
        </w:rPr>
        <w:t xml:space="preserve"> they differ. The significance level is α = 0.05, with a false-discovery-rate correction.</w:t>
      </w:r>
    </w:p>
    <w:p>
      <w:pPr>
        <w:pStyle w:val="Normal1"/>
        <w:spacing w:after="0" w:line="144" w:lineRule="auto"/>
        <w:jc w:val="both"/>
      </w:pPr>
    </w:p>
    <w:p>
      <w:pPr>
        <w:pStyle w:val="Heading2"/>
      </w:pPr>
      <w:r>
        <w:rPr>
          <w:b/>
          <w:color w:val="000000"/>
          <w:sz w:val="28"/>
        </w:rPr>
        <w:t>1.3 Tools &amp; Technology used during Internship</w:t>
      </w:r>
    </w:p>
    <w:p>
      <w:pPr>
        <w:pStyle w:val="Normal1"/>
        <w:keepNext/>
        <w:spacing w:before="80"/>
        <w:jc w:val="center"/>
      </w:pPr>
      <w:r>
        <w:rPr>
          <w:b/>
          <w:sz w:val="22"/>
        </w:rPr>
        <w:t>Table 1.1: Tools and technologies used</w:t>
      </w:r>
    </w:p>
    <w:tbl>
      <w:tblPr>
        <w:tblStyle w:val="TableGrid"/>
        <w:tblW w:w="9216" w:type="dxa"/>
        <w:jc w:val="center"/>
        <w:tblLayout w:type="fixed"/>
        <w:tblLook w:firstColumn="1" w:firstRow="1" w:lastColumn="0" w:lastRow="0" w:noHBand="0" w:noVBand="1" w:val="04A0"/>
      </w:tblPr>
      <w:tblGrid>
        <w:gridCol w:w="2880"/>
        <w:gridCol w:w="6336"/>
      </w:tblGrid>
      <w:tr>
        <w:trPr>
          <w:cantSplit/>
          <w:tblHeader/>
        </w:trPr>
        <w:tc>
          <w:tcPr>
            <w:tcW w:type="dxa" w:w="2880"/>
            <w:shd w:val="clear" w:color="auto" w:fill="E7E6E6"/>
          </w:tcPr>
          <w:p>
            <w:pPr>
              <w:keepNext/>
              <w:spacing w:after="20"/>
              <w:jc w:val="both"/>
            </w:pPr>
            <w:r>
              <w:rPr>
                <w:b/>
                <w:sz w:val="21"/>
              </w:rPr>
              <w:t>Tool / Library</w:t>
            </w:r>
          </w:p>
        </w:tc>
        <w:tc>
          <w:tcPr>
            <w:tcW w:type="dxa" w:w="6336"/>
            <w:shd w:val="clear" w:color="auto" w:fill="E7E6E6"/>
          </w:tcPr>
          <w:p>
            <w:pPr>
              <w:keepNext/>
              <w:spacing w:after="20"/>
              <w:jc w:val="both"/>
            </w:pPr>
            <w:r>
              <w:rPr>
                <w:b/>
                <w:sz w:val="21"/>
              </w:rPr>
              <w:t>Purpose in this project</w:t>
            </w:r>
          </w:p>
        </w:tc>
      </w:tr>
      <w:tr>
        <w:trPr>
          <w:cantSplit/>
        </w:trPr>
        <w:tc>
          <w:tcPr>
            <w:tcW w:type="dxa" w:w="2880"/>
          </w:tcPr>
          <w:p>
            <w:pPr>
              <w:keepNext/>
              <w:spacing w:after="20"/>
              <w:jc w:val="both"/>
            </w:pPr>
            <w:r>
              <w:rPr>
                <w:sz w:val="21"/>
              </w:rPr>
              <w:t>Python 3.11 with Google Colab / Jupyter</w:t>
            </w:r>
          </w:p>
        </w:tc>
        <w:tc>
          <w:tcPr>
            <w:tcW w:type="dxa" w:w="6336"/>
          </w:tcPr>
          <w:p>
            <w:pPr>
              <w:keepNext/>
              <w:spacing w:after="20"/>
              <w:jc w:val="both"/>
            </w:pPr>
            <w:r>
              <w:rPr>
                <w:sz w:val="21"/>
              </w:rPr>
              <w:t>Main language and notebooks for the complete, reproducible data pipeline</w:t>
            </w:r>
          </w:p>
        </w:tc>
      </w:tr>
      <w:tr>
        <w:trPr>
          <w:cantSplit/>
        </w:trPr>
        <w:tc>
          <w:tcPr>
            <w:tcW w:type="dxa" w:w="2880"/>
          </w:tcPr>
          <w:p>
            <w:pPr>
              <w:keepNext/>
              <w:spacing w:after="20"/>
              <w:jc w:val="both"/>
            </w:pPr>
            <w:r>
              <w:rPr>
                <w:sz w:val="21"/>
              </w:rPr>
              <w:t>NumPy and Pandas</w:t>
            </w:r>
          </w:p>
        </w:tc>
        <w:tc>
          <w:tcPr>
            <w:tcW w:type="dxa" w:w="6336"/>
          </w:tcPr>
          <w:p>
            <w:pPr>
              <w:keepNext/>
              <w:spacing w:after="20"/>
              <w:jc w:val="both"/>
            </w:pPr>
            <w:r>
              <w:rPr>
                <w:sz w:val="21"/>
              </w:rPr>
              <w:t>Numerical operations, bootstrap resampling; loading, cleaning, grouping and pivoting data</w:t>
            </w:r>
          </w:p>
        </w:tc>
      </w:tr>
      <w:tr>
        <w:trPr>
          <w:cantSplit/>
        </w:trPr>
        <w:tc>
          <w:tcPr>
            <w:tcW w:type="dxa" w:w="2880"/>
          </w:tcPr>
          <w:p>
            <w:pPr>
              <w:keepNext/>
              <w:spacing w:after="20"/>
              <w:jc w:val="both"/>
            </w:pPr>
            <w:r>
              <w:rPr>
                <w:sz w:val="21"/>
              </w:rPr>
              <w:t>Regular expressions (re)</w:t>
            </w:r>
          </w:p>
        </w:tc>
        <w:tc>
          <w:tcPr>
            <w:tcW w:type="dxa" w:w="6336"/>
          </w:tcPr>
          <w:p>
            <w:pPr>
              <w:keepNext/>
              <w:spacing w:after="20"/>
              <w:jc w:val="both"/>
            </w:pPr>
            <w:r>
              <w:rPr>
                <w:sz w:val="21"/>
              </w:rPr>
              <w:t>Extracting gender, category and pack size from product titles and URLs</w:t>
            </w:r>
          </w:p>
        </w:tc>
      </w:tr>
      <w:tr>
        <w:trPr>
          <w:cantSplit/>
        </w:trPr>
        <w:tc>
          <w:tcPr>
            <w:tcW w:type="dxa" w:w="2880"/>
          </w:tcPr>
          <w:p>
            <w:pPr>
              <w:keepNext/>
              <w:spacing w:after="20"/>
              <w:jc w:val="both"/>
            </w:pPr>
            <w:r>
              <w:rPr>
                <w:sz w:val="21"/>
              </w:rPr>
              <w:t>Matplotlib, Seaborn and Plotly</w:t>
            </w:r>
          </w:p>
        </w:tc>
        <w:tc>
          <w:tcPr>
            <w:tcW w:type="dxa" w:w="6336"/>
          </w:tcPr>
          <w:p>
            <w:pPr>
              <w:keepNext/>
              <w:spacing w:after="20"/>
              <w:jc w:val="both"/>
            </w:pPr>
            <w:r>
              <w:rPr>
                <w:sz w:val="21"/>
              </w:rPr>
              <w:t>Publication-quality static charts and an interactive chart with hover details</w:t>
            </w:r>
          </w:p>
        </w:tc>
      </w:tr>
      <w:tr>
        <w:trPr>
          <w:cantSplit/>
        </w:trPr>
        <w:tc>
          <w:tcPr>
            <w:tcW w:type="dxa" w:w="2880"/>
          </w:tcPr>
          <w:p>
            <w:pPr>
              <w:keepNext/>
              <w:spacing w:after="20"/>
              <w:jc w:val="both"/>
            </w:pPr>
            <w:r>
              <w:rPr>
                <w:sz w:val="21"/>
              </w:rPr>
              <w:t>SciPy and Statsmodels</w:t>
            </w:r>
          </w:p>
        </w:tc>
        <w:tc>
          <w:tcPr>
            <w:tcW w:type="dxa" w:w="6336"/>
          </w:tcPr>
          <w:p>
            <w:pPr>
              <w:keepNext/>
              <w:spacing w:after="20"/>
              <w:jc w:val="both"/>
            </w:pPr>
            <w:r>
              <w:rPr>
                <w:sz w:val="21"/>
              </w:rPr>
              <w:t>Mann-Whitney, Welch, Wilcoxon and chi-square tests; OLS / fixed-effects regression, FDR correction</w:t>
            </w:r>
          </w:p>
        </w:tc>
      </w:tr>
      <w:tr>
        <w:trPr>
          <w:cantSplit/>
        </w:trPr>
        <w:tc>
          <w:tcPr>
            <w:tcW w:type="dxa" w:w="2880"/>
          </w:tcPr>
          <w:p>
            <w:pPr>
              <w:keepNext/>
              <w:spacing w:after="20"/>
              <w:jc w:val="both"/>
            </w:pPr>
            <w:r>
              <w:rPr>
                <w:sz w:val="21"/>
              </w:rPr>
              <w:t>scikit-learn</w:t>
            </w:r>
          </w:p>
        </w:tc>
        <w:tc>
          <w:tcPr>
            <w:tcW w:type="dxa" w:w="6336"/>
          </w:tcPr>
          <w:p>
            <w:pPr>
              <w:keepNext/>
              <w:spacing w:after="20"/>
              <w:jc w:val="both"/>
            </w:pPr>
            <w:r>
              <w:rPr>
                <w:sz w:val="21"/>
              </w:rPr>
              <w:t>Random-forest price model, target encoding, permutation importance</w:t>
            </w:r>
          </w:p>
        </w:tc>
      </w:tr>
      <w:tr>
        <w:trPr>
          <w:cantSplit/>
        </w:trPr>
        <w:tc>
          <w:tcPr>
            <w:tcW w:type="dxa" w:w="2880"/>
          </w:tcPr>
          <w:p>
            <w:pPr>
              <w:keepNext/>
              <w:spacing w:after="20"/>
              <w:jc w:val="both"/>
            </w:pPr>
            <w:r>
              <w:rPr>
                <w:sz w:val="21"/>
              </w:rPr>
              <w:t>Microsoft Excel and OpenPyXL</w:t>
            </w:r>
          </w:p>
        </w:tc>
        <w:tc>
          <w:tcPr>
            <w:tcW w:type="dxa" w:w="6336"/>
          </w:tcPr>
          <w:p>
            <w:pPr>
              <w:keepNext/>
              <w:spacing w:after="20"/>
              <w:jc w:val="both"/>
            </w:pPr>
            <w:r>
              <w:rPr>
                <w:sz w:val="21"/>
              </w:rPr>
              <w:t>Workbook with COUNTIFS / AVERAGEIFS summaries, pivot-style tables, conditional formatting</w:t>
            </w:r>
          </w:p>
        </w:tc>
      </w:tr>
      <w:tr>
        <w:trPr>
          <w:cantSplit/>
        </w:trPr>
        <w:tc>
          <w:tcPr>
            <w:tcW w:type="dxa" w:w="2880"/>
          </w:tcPr>
          <w:p>
            <w:pPr>
              <w:keepNext/>
              <w:spacing w:after="20"/>
              <w:jc w:val="both"/>
            </w:pPr>
            <w:r>
              <w:rPr>
                <w:sz w:val="21"/>
              </w:rPr>
              <w:t>Power BI</w:t>
            </w:r>
          </w:p>
        </w:tc>
        <w:tc>
          <w:tcPr>
            <w:tcW w:type="dxa" w:w="6336"/>
          </w:tcPr>
          <w:p>
            <w:pPr>
              <w:keepNext/>
              <w:spacing w:after="20"/>
              <w:jc w:val="both"/>
            </w:pPr>
            <w:r>
              <w:rPr>
                <w:sz w:val="21"/>
              </w:rPr>
              <w:t>Star-schema data model, DAX measures and an interactive dashboard</w:t>
            </w:r>
          </w:p>
        </w:tc>
      </w:tr>
      <w:tr>
        <w:trPr>
          <w:cantSplit/>
        </w:trPr>
        <w:tc>
          <w:tcPr>
            <w:tcW w:type="dxa" w:w="2880"/>
          </w:tcPr>
          <w:p>
            <w:pPr>
              <w:spacing w:after="20"/>
              <w:jc w:val="both"/>
            </w:pPr>
            <w:r>
              <w:rPr>
                <w:sz w:val="21"/>
              </w:rPr>
              <w:t>Git, GitHub and Kaggle</w:t>
            </w:r>
          </w:p>
        </w:tc>
        <w:tc>
          <w:tcPr>
            <w:tcW w:type="dxa" w:w="6336"/>
          </w:tcPr>
          <w:p>
            <w:pPr>
              <w:spacing w:after="20"/>
              <w:jc w:val="both"/>
            </w:pPr>
            <w:r>
              <w:rPr>
                <w:sz w:val="21"/>
              </w:rPr>
              <w:t>Version control, publishing (github.com/mppyxx/PinkTax) and the data source</w:t>
            </w:r>
          </w:p>
        </w:tc>
      </w:tr>
    </w:tbl>
    <w:p>
      <w:pPr>
        <w:pStyle w:val="Normal1"/>
        <w:spacing w:after="40" w:line="192" w:lineRule="auto"/>
        <w:jc w:val="both"/>
      </w:pPr>
    </w:p>
    <w:p>
      <w:pPr>
        <w:pStyle w:val="Heading2"/>
      </w:pPr>
      <w:r>
        <w:rPr>
          <w:b/>
          <w:color w:val="000000"/>
          <w:sz w:val="28"/>
        </w:rPr>
        <w:t>1.4 Dataset Description</w:t>
      </w:r>
    </w:p>
    <w:p>
      <w:pPr>
        <w:pStyle w:val="Normal1"/>
        <w:spacing w:after="120" w:line="360" w:lineRule="auto"/>
        <w:jc w:val="both"/>
      </w:pPr>
      <w:r>
        <w:rPr>
          <w:sz w:val="24"/>
        </w:rPr>
        <w:t xml:space="preserve">All data came from public Kaggle datasets, and every price is in Indian Rupees. The </w:t>
      </w:r>
      <w:r>
        <w:rPr>
          <w:b/>
          <w:sz w:val="24"/>
        </w:rPr>
        <w:t>MRP</w:t>
      </w:r>
      <w:r>
        <w:rPr>
          <w:sz w:val="24"/>
        </w:rPr>
        <w:t xml:space="preserve"> (maximum retail price) is the list price printed by the brand. The </w:t>
      </w:r>
      <w:r>
        <w:rPr>
          <w:b/>
          <w:sz w:val="24"/>
        </w:rPr>
        <w:t>selling price</w:t>
      </w:r>
      <w:r>
        <w:rPr>
          <w:sz w:val="24"/>
        </w:rPr>
        <w:t xml:space="preserve"> is the price after the platform's discount.</w:t>
      </w:r>
    </w:p>
    <w:p>
      <w:pPr>
        <w:pStyle w:val="Normal1"/>
        <w:keepNext/>
        <w:spacing w:before="80"/>
        <w:jc w:val="center"/>
      </w:pPr>
      <w:r>
        <w:rPr>
          <w:b/>
          <w:sz w:val="22"/>
        </w:rPr>
        <w:t>Table 1.2: Datasets used</w:t>
      </w:r>
    </w:p>
    <w:tbl>
      <w:tblPr>
        <w:tblStyle w:val="TableGrid"/>
        <w:tblW w:w="9216" w:type="dxa"/>
        <w:jc w:val="center"/>
        <w:tblLayout w:type="fixed"/>
        <w:tblLook w:firstColumn="1" w:firstRow="1" w:lastColumn="0" w:lastRow="0" w:noHBand="0" w:noVBand="1" w:val="04A0"/>
      </w:tblPr>
      <w:tblGrid>
        <w:gridCol w:w="2088"/>
        <w:gridCol w:w="1944"/>
        <w:gridCol w:w="1152"/>
        <w:gridCol w:w="4032"/>
      </w:tblGrid>
      <w:tr>
        <w:trPr>
          <w:cantSplit/>
          <w:tblHeader/>
        </w:trPr>
        <w:tc>
          <w:tcPr>
            <w:tcW w:type="dxa" w:w="2088"/>
            <w:shd w:val="clear" w:color="auto" w:fill="E7E6E6"/>
          </w:tcPr>
          <w:p>
            <w:pPr>
              <w:keepNext/>
              <w:spacing w:after="20"/>
              <w:jc w:val="both"/>
            </w:pPr>
            <w:r>
              <w:rPr>
                <w:b/>
                <w:sz w:val="21"/>
              </w:rPr>
              <w:t>Source</w:t>
            </w:r>
          </w:p>
        </w:tc>
        <w:tc>
          <w:tcPr>
            <w:tcW w:type="dxa" w:w="1944"/>
            <w:shd w:val="clear" w:color="auto" w:fill="E7E6E6"/>
          </w:tcPr>
          <w:p>
            <w:pPr>
              <w:keepNext/>
              <w:spacing w:after="20"/>
              <w:jc w:val="both"/>
            </w:pPr>
            <w:r>
              <w:rPr>
                <w:b/>
                <w:sz w:val="21"/>
              </w:rPr>
              <w:t>Raw size</w:t>
            </w:r>
          </w:p>
        </w:tc>
        <w:tc>
          <w:tcPr>
            <w:tcW w:type="dxa" w:w="1152"/>
            <w:shd w:val="clear" w:color="auto" w:fill="E7E6E6"/>
          </w:tcPr>
          <w:p>
            <w:pPr>
              <w:keepNext/>
              <w:spacing w:after="20"/>
              <w:jc w:val="both"/>
            </w:pPr>
            <w:r>
              <w:rPr>
                <w:b/>
                <w:sz w:val="21"/>
              </w:rPr>
              <w:t>Used</w:t>
            </w:r>
          </w:p>
        </w:tc>
        <w:tc>
          <w:tcPr>
            <w:tcW w:type="dxa" w:w="4032"/>
            <w:shd w:val="clear" w:color="auto" w:fill="E7E6E6"/>
          </w:tcPr>
          <w:p>
            <w:pPr>
              <w:keepNext/>
              <w:spacing w:after="20"/>
              <w:jc w:val="both"/>
            </w:pPr>
            <w:r>
              <w:rPr>
                <w:b/>
                <w:sz w:val="21"/>
              </w:rPr>
              <w:t>Content</w:t>
            </w:r>
          </w:p>
        </w:tc>
      </w:tr>
      <w:tr>
        <w:trPr>
          <w:cantSplit/>
        </w:trPr>
        <w:tc>
          <w:tcPr>
            <w:tcW w:type="dxa" w:w="2088"/>
          </w:tcPr>
          <w:p>
            <w:pPr>
              <w:keepNext/>
              <w:spacing w:after="20"/>
              <w:jc w:val="both"/>
            </w:pPr>
            <w:r>
              <w:rPr>
                <w:sz w:val="21"/>
              </w:rPr>
              <w:t>Myntra (2023)</w:t>
            </w:r>
          </w:p>
        </w:tc>
        <w:tc>
          <w:tcPr>
            <w:tcW w:type="dxa" w:w="1944"/>
          </w:tcPr>
          <w:p>
            <w:pPr>
              <w:keepNext/>
              <w:spacing w:after="20"/>
              <w:jc w:val="both"/>
            </w:pPr>
            <w:r>
              <w:rPr>
                <w:sz w:val="21"/>
              </w:rPr>
              <w:t>168,029 × 13</w:t>
            </w:r>
          </w:p>
        </w:tc>
        <w:tc>
          <w:tcPr>
            <w:tcW w:type="dxa" w:w="1152"/>
          </w:tcPr>
          <w:p>
            <w:pPr>
              <w:keepNext/>
              <w:spacing w:after="20"/>
              <w:jc w:val="both"/>
            </w:pPr>
            <w:r>
              <w:rPr>
                <w:sz w:val="21"/>
              </w:rPr>
              <w:t>72,771</w:t>
            </w:r>
          </w:p>
        </w:tc>
        <w:tc>
          <w:tcPr>
            <w:tcW w:type="dxa" w:w="4032"/>
          </w:tcPr>
          <w:p>
            <w:pPr>
              <w:keepNext/>
              <w:spacing w:after="20"/>
              <w:jc w:val="both"/>
            </w:pPr>
            <w:r>
              <w:rPr>
                <w:sz w:val="21"/>
              </w:rPr>
              <w:t>Apparel, footwear, accessories, perfume; men, women, boys, girls</w:t>
            </w:r>
          </w:p>
        </w:tc>
      </w:tr>
      <w:tr>
        <w:trPr>
          <w:cantSplit/>
        </w:trPr>
        <w:tc>
          <w:tcPr>
            <w:tcW w:type="dxa" w:w="2088"/>
          </w:tcPr>
          <w:p>
            <w:pPr>
              <w:keepNext/>
              <w:spacing w:after="20"/>
              <w:jc w:val="both"/>
            </w:pPr>
            <w:r>
              <w:rPr>
                <w:sz w:val="21"/>
              </w:rPr>
              <w:t>BigBasket (2022)</w:t>
            </w:r>
          </w:p>
        </w:tc>
        <w:tc>
          <w:tcPr>
            <w:tcW w:type="dxa" w:w="1944"/>
          </w:tcPr>
          <w:p>
            <w:pPr>
              <w:keepNext/>
              <w:spacing w:after="20"/>
              <w:jc w:val="both"/>
            </w:pPr>
            <w:r>
              <w:rPr>
                <w:sz w:val="21"/>
              </w:rPr>
              <w:t>27,555 × 10</w:t>
            </w:r>
          </w:p>
        </w:tc>
        <w:tc>
          <w:tcPr>
            <w:tcW w:type="dxa" w:w="1152"/>
          </w:tcPr>
          <w:p>
            <w:pPr>
              <w:keepNext/>
              <w:spacing w:after="20"/>
              <w:jc w:val="both"/>
            </w:pPr>
            <w:r>
              <w:rPr>
                <w:sz w:val="21"/>
              </w:rPr>
              <w:t>736</w:t>
            </w:r>
          </w:p>
        </w:tc>
        <w:tc>
          <w:tcPr>
            <w:tcW w:type="dxa" w:w="4032"/>
          </w:tcPr>
          <w:p>
            <w:pPr>
              <w:keepNext/>
              <w:spacing w:after="20"/>
              <w:jc w:val="both"/>
            </w:pPr>
            <w:r>
              <w:rPr>
                <w:sz w:val="21"/>
              </w:rPr>
              <w:t>Beauty &amp; hygiene: deodorants and perfumes</w:t>
            </w:r>
          </w:p>
        </w:tc>
      </w:tr>
      <w:tr>
        <w:trPr>
          <w:cantSplit/>
        </w:trPr>
        <w:tc>
          <w:tcPr>
            <w:tcW w:type="dxa" w:w="2088"/>
          </w:tcPr>
          <w:p>
            <w:pPr>
              <w:keepNext/>
              <w:spacing w:after="20"/>
              <w:jc w:val="both"/>
            </w:pPr>
            <w:r>
              <w:rPr>
                <w:sz w:val="21"/>
              </w:rPr>
              <w:t>Amazon.in (2023)</w:t>
            </w:r>
          </w:p>
        </w:tc>
        <w:tc>
          <w:tcPr>
            <w:tcW w:type="dxa" w:w="1944"/>
          </w:tcPr>
          <w:p>
            <w:pPr>
              <w:keepNext/>
              <w:spacing w:after="20"/>
              <w:jc w:val="both"/>
            </w:pPr>
            <w:r>
              <w:rPr>
                <w:sz w:val="21"/>
              </w:rPr>
              <w:t>1,589,160 × 11</w:t>
            </w:r>
          </w:p>
        </w:tc>
        <w:tc>
          <w:tcPr>
            <w:tcW w:type="dxa" w:w="1152"/>
          </w:tcPr>
          <w:p>
            <w:pPr>
              <w:keepNext/>
              <w:spacing w:after="20"/>
              <w:jc w:val="both"/>
            </w:pPr>
            <w:r>
              <w:rPr>
                <w:sz w:val="21"/>
              </w:rPr>
              <w:t>5,883</w:t>
            </w:r>
          </w:p>
        </w:tc>
        <w:tc>
          <w:tcPr>
            <w:tcW w:type="dxa" w:w="4032"/>
          </w:tcPr>
          <w:p>
            <w:pPr>
              <w:keepNext/>
              <w:spacing w:after="20"/>
              <w:jc w:val="both"/>
            </w:pPr>
            <w:r>
              <w:rPr>
                <w:sz w:val="21"/>
              </w:rPr>
              <w:t>Personal care: deodorant, perfume, razor, trimmer, washes, shampoo</w:t>
            </w:r>
          </w:p>
        </w:tc>
      </w:tr>
      <w:tr>
        <w:trPr>
          <w:cantSplit/>
        </w:trPr>
        <w:tc>
          <w:tcPr>
            <w:tcW w:type="dxa" w:w="2088"/>
          </w:tcPr>
          <w:p>
            <w:pPr>
              <w:spacing w:after="20"/>
              <w:jc w:val="both"/>
            </w:pPr>
            <w:r>
              <w:rPr>
                <w:b/>
                <w:sz w:val="21"/>
              </w:rPr>
              <w:t>Total</w:t>
            </w:r>
          </w:p>
        </w:tc>
        <w:tc>
          <w:tcPr>
            <w:tcW w:type="dxa" w:w="1944"/>
          </w:tcPr>
          <w:p>
            <w:pPr>
              <w:spacing w:after="20"/>
              <w:jc w:val="both"/>
            </w:pPr>
          </w:p>
        </w:tc>
        <w:tc>
          <w:tcPr>
            <w:tcW w:type="dxa" w:w="1152"/>
          </w:tcPr>
          <w:p>
            <w:pPr>
              <w:spacing w:after="20"/>
              <w:jc w:val="both"/>
            </w:pPr>
            <w:r>
              <w:rPr>
                <w:b/>
                <w:sz w:val="21"/>
              </w:rPr>
              <w:t>79,390</w:t>
            </w:r>
          </w:p>
        </w:tc>
        <w:tc>
          <w:tcPr>
            <w:tcW w:type="dxa" w:w="4032"/>
          </w:tcPr>
          <w:p>
            <w:pPr>
              <w:spacing w:after="20"/>
              <w:jc w:val="both"/>
            </w:pPr>
            <w:r>
              <w:rPr>
                <w:b/>
                <w:sz w:val="21"/>
              </w:rPr>
              <w:t>44 categories, 2,769 brands; adults: 46,022 men's and 28,906 women's items; kids: 4,462 items</w:t>
            </w:r>
          </w:p>
        </w:tc>
      </w:tr>
    </w:tbl>
    <w:p>
      <w:pPr>
        <w:pStyle w:val="Normal1"/>
        <w:spacing w:after="40" w:line="192" w:lineRule="auto"/>
        <w:jc w:val="both"/>
      </w:pPr>
    </w:p>
    <w:p>
      <w:pPr>
        <w:pStyle w:val="Heading1"/>
        <w:pageBreakBefore/>
      </w:pPr>
      <w:r>
        <w:rPr>
          <w:b/>
          <w:color w:val="000000"/>
          <w:sz w:val="32"/>
        </w:rPr>
        <w:t>Chapter 2: What I Learned during Internship</w:t>
      </w:r>
    </w:p>
    <w:p>
      <w:pPr>
        <w:pStyle w:val="Heading2"/>
      </w:pPr>
      <w:r>
        <w:rPr>
          <w:b/>
          <w:color w:val="000000"/>
          <w:sz w:val="28"/>
        </w:rPr>
        <w:t>Day-1: Orientation and Understanding the Pink Tax</w:t>
      </w:r>
    </w:p>
    <w:p>
      <w:pPr>
        <w:pStyle w:val="Normal1"/>
        <w:spacing w:after="120" w:line="360" w:lineRule="auto"/>
        <w:jc w:val="both"/>
      </w:pPr>
      <w:r>
        <w:rPr>
          <w:b/>
          <w:sz w:val="24"/>
        </w:rPr>
        <w:t>Objective:</w:t>
      </w:r>
      <w:r>
        <w:rPr>
          <w:sz w:val="24"/>
        </w:rPr>
        <w:t xml:space="preserve"> understand the problem, review earlier research and turn a broad idea into questions that can be tested.</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Attended the orientation session and discussed the project scope: an end-to-end data analytics study of gender-based pricing.</w:t>
      </w:r>
    </w:p>
    <w:p>
      <w:pPr>
        <w:pStyle w:val="Normal1"/>
        <w:numPr>
          <w:ilvl w:val="0"/>
          <w:numId w:val="201"/>
        </w:numPr>
        <w:spacing w:after="60" w:line="360" w:lineRule="auto"/>
        <w:ind w:left="720" w:hanging="360"/>
        <w:jc w:val="both"/>
      </w:pPr>
      <w:r>
        <w:rPr>
          <w:sz w:val="24"/>
        </w:rPr>
        <w:t xml:space="preserve">Read the NYC Department of Consumer Affairs study </w:t>
      </w:r>
      <w:r>
        <w:rPr>
          <w:i/>
          <w:sz w:val="24"/>
        </w:rPr>
        <w:t>From Cradle to Cane</w:t>
      </w:r>
      <w:r>
        <w:rPr>
          <w:sz w:val="24"/>
        </w:rPr>
        <w:t xml:space="preserve"> (2015). Women's products cost 7% more on average, and 13% more for personal care.</w:t>
      </w:r>
    </w:p>
    <w:p>
      <w:pPr>
        <w:pStyle w:val="Normal1"/>
        <w:numPr>
          <w:ilvl w:val="0"/>
          <w:numId w:val="201"/>
        </w:numPr>
        <w:spacing w:after="60" w:line="360" w:lineRule="auto"/>
        <w:ind w:left="720" w:hanging="360"/>
        <w:jc w:val="both"/>
      </w:pPr>
      <w:r>
        <w:rPr>
          <w:sz w:val="24"/>
        </w:rPr>
        <w:t>Read the U.S. GAO report (2018) and the paper by Moshary et al. (2021), which argue that many gaps disappear when truly identical products are compared.</w:t>
      </w:r>
    </w:p>
    <w:p>
      <w:pPr>
        <w:pStyle w:val="Normal1"/>
        <w:numPr>
          <w:ilvl w:val="0"/>
          <w:numId w:val="201"/>
        </w:numPr>
        <w:spacing w:after="60" w:line="360" w:lineRule="auto"/>
        <w:ind w:left="720" w:hanging="360"/>
        <w:jc w:val="both"/>
      </w:pPr>
      <w:r>
        <w:rPr>
          <w:sz w:val="24"/>
        </w:rPr>
        <w:t>Wrote down the research questions (RQ1–RQ3) and the null and alternative hypotheses.</w:t>
      </w:r>
    </w:p>
    <w:p>
      <w:pPr>
        <w:pStyle w:val="Normal1"/>
        <w:numPr>
          <w:ilvl w:val="0"/>
          <w:numId w:val="201"/>
        </w:numPr>
        <w:spacing w:after="60" w:line="360" w:lineRule="auto"/>
        <w:ind w:left="720" w:hanging="360"/>
        <w:jc w:val="both"/>
      </w:pPr>
      <w:r>
        <w:rPr>
          <w:sz w:val="24"/>
        </w:rPr>
        <w:t>Planned the workflow shown in Figure 2.1.</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 xml:space="preserve">Good analysis starts with a precise question. “Do women pay more?” is too vague. “Within the same category and brand, is the women's version priced higher?” can be tested. I also learned the difference between the </w:t>
      </w:r>
      <w:r>
        <w:rPr>
          <w:b/>
          <w:sz w:val="24"/>
        </w:rPr>
        <w:t>Pink Tax</w:t>
      </w:r>
      <w:r>
        <w:rPr>
          <w:sz w:val="24"/>
        </w:rPr>
        <w:t xml:space="preserve"> (a price gap between gendered versions of a product) and the </w:t>
      </w:r>
      <w:r>
        <w:rPr>
          <w:b/>
          <w:sz w:val="24"/>
        </w:rPr>
        <w:t>tampon tax</w:t>
      </w:r>
      <w:r>
        <w:rPr>
          <w:sz w:val="24"/>
        </w:rPr>
        <w:t xml:space="preserve"> (a sales tax on menstrual products, removed in India in 2018).</w:t>
      </w:r>
    </w:p>
    <w:p>
      <w:pPr>
        <w:pStyle w:val="Normal1"/>
        <w:keepNext/>
        <w:spacing w:before="80"/>
        <w:jc w:val="center"/>
      </w:pPr>
      <w:r>
        <w:drawing>
          <wp:inline xmlns:a="http://schemas.openxmlformats.org/drawingml/2006/main" xmlns:pic="http://schemas.openxmlformats.org/drawingml/2006/picture">
            <wp:extent cx="5760720" cy="1597816"/>
            <wp:docPr id="870917300" name="Picture 870917300"/>
            <wp:cNvGraphicFramePr>
              <a:graphicFrameLocks noChangeAspect="1"/>
            </wp:cNvGraphicFramePr>
            <a:graphic>
              <a:graphicData uri="http://schemas.openxmlformats.org/drawingml/2006/picture">
                <pic:pic>
                  <pic:nvPicPr>
                    <pic:cNvPr id="0" name="fig01_workflow.png"/>
                    <pic:cNvPicPr/>
                  </pic:nvPicPr>
                  <pic:blipFill>
                    <a:blip r:embed="rId15"/>
                    <a:stretch>
                      <a:fillRect/>
                    </a:stretch>
                  </pic:blipFill>
                  <pic:spPr>
                    <a:xfrm>
                      <a:off x="0" y="0"/>
                      <a:ext cx="5760720" cy="1597816"/>
                    </a:xfrm>
                    <a:prstGeom prst="rect"/>
                  </pic:spPr>
                </pic:pic>
              </a:graphicData>
            </a:graphic>
          </wp:inline>
        </w:drawing>
      </w:r>
    </w:p>
    <w:p>
      <w:pPr>
        <w:pStyle w:val="Caption"/>
        <w:spacing w:after="160"/>
        <w:jc w:val="center"/>
      </w:pPr>
      <w:r>
        <w:rPr>
          <w:i/>
          <w:sz w:val="21"/>
        </w:rPr>
        <w:t>Figure 2.1: Project workflow planned on Day 1</w:t>
      </w:r>
    </w:p>
    <w:p>
      <w:pPr>
        <w:pStyle w:val="Heading2"/>
        <w:pageBreakBefore/>
      </w:pPr>
      <w:r>
        <w:rPr>
          <w:b/>
          <w:color w:val="000000"/>
          <w:sz w:val="28"/>
        </w:rPr>
        <w:t>Day-2: Setting up the Development Environment</w:t>
      </w:r>
    </w:p>
    <w:p>
      <w:pPr>
        <w:pStyle w:val="Normal1"/>
        <w:spacing w:after="120" w:line="360" w:lineRule="auto"/>
        <w:jc w:val="both"/>
      </w:pPr>
      <w:r>
        <w:rPr>
          <w:b/>
          <w:sz w:val="24"/>
        </w:rPr>
        <w:t>Objective:</w:t>
      </w:r>
      <w:r>
        <w:rPr>
          <w:sz w:val="24"/>
        </w:rPr>
        <w:t xml:space="preserve"> prepare a reproducible working environment for the project.</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Set up Google Colab and a local Jupyter environment, and learned the difference between a hosted runtime and a local kernel.</w:t>
      </w:r>
    </w:p>
    <w:p>
      <w:pPr>
        <w:pStyle w:val="Normal1"/>
        <w:numPr>
          <w:ilvl w:val="0"/>
          <w:numId w:val="201"/>
        </w:numPr>
        <w:spacing w:after="60" w:line="360" w:lineRule="auto"/>
        <w:ind w:left="720" w:hanging="360"/>
        <w:jc w:val="both"/>
      </w:pPr>
      <w:r>
        <w:rPr>
          <w:sz w:val="24"/>
        </w:rPr>
        <w:t xml:space="preserve">Installed and imported the main libraries: NumPy, Pandas, Matplotlib, Seaborn, Plotly, SciPy, Statsmodels, scikit-learn and OpenPyXL. Recorded their versions in </w:t>
      </w:r>
      <w:r>
        <w:rPr>
          <w:i/>
          <w:sz w:val="24"/>
        </w:rPr>
        <w:t>requirements.txt</w:t>
      </w:r>
      <w:r>
        <w:rPr>
          <w:sz w:val="24"/>
        </w:rPr>
        <w:t>.</w:t>
      </w:r>
    </w:p>
    <w:p>
      <w:pPr>
        <w:pStyle w:val="Normal1"/>
        <w:numPr>
          <w:ilvl w:val="0"/>
          <w:numId w:val="201"/>
        </w:numPr>
        <w:spacing w:after="60" w:line="360" w:lineRule="auto"/>
        <w:ind w:left="720" w:hanging="360"/>
        <w:jc w:val="both"/>
      </w:pPr>
      <w:r>
        <w:rPr>
          <w:sz w:val="24"/>
        </w:rPr>
        <w:t xml:space="preserve">Created the GitHub repository </w:t>
      </w:r>
      <w:r>
        <w:rPr>
          <w:b/>
          <w:sz w:val="24"/>
        </w:rPr>
        <w:t>PinkTax</w:t>
      </w:r>
      <w:r>
        <w:rPr>
          <w:sz w:val="24"/>
        </w:rPr>
        <w:t xml:space="preserve"> and a clear folder structure: </w:t>
      </w:r>
      <w:r>
        <w:rPr>
          <w:i/>
          <w:sz w:val="24"/>
        </w:rPr>
        <w:t>src/</w:t>
      </w:r>
      <w:r>
        <w:rPr>
          <w:sz w:val="24"/>
        </w:rPr>
        <w:t xml:space="preserve">, </w:t>
      </w:r>
      <w:r>
        <w:rPr>
          <w:i/>
          <w:sz w:val="24"/>
        </w:rPr>
        <w:t>data/</w:t>
      </w:r>
      <w:r>
        <w:rPr>
          <w:sz w:val="24"/>
        </w:rPr>
        <w:t xml:space="preserve">, </w:t>
      </w:r>
      <w:r>
        <w:rPr>
          <w:i/>
          <w:sz w:val="24"/>
        </w:rPr>
        <w:t>notebooks/</w:t>
      </w:r>
      <w:r>
        <w:rPr>
          <w:sz w:val="24"/>
        </w:rPr>
        <w:t xml:space="preserve">, </w:t>
      </w:r>
      <w:r>
        <w:rPr>
          <w:i/>
          <w:sz w:val="24"/>
        </w:rPr>
        <w:t>outputs/</w:t>
      </w:r>
      <w:r>
        <w:rPr>
          <w:sz w:val="24"/>
        </w:rPr>
        <w:t xml:space="preserve">, </w:t>
      </w:r>
      <w:r>
        <w:rPr>
          <w:i/>
          <w:sz w:val="24"/>
        </w:rPr>
        <w:t>excel/</w:t>
      </w:r>
      <w:r>
        <w:rPr>
          <w:sz w:val="24"/>
        </w:rPr>
        <w:t xml:space="preserve">, </w:t>
      </w:r>
      <w:r>
        <w:rPr>
          <w:i/>
          <w:sz w:val="24"/>
        </w:rPr>
        <w:t>powerbi/</w:t>
      </w:r>
      <w:r>
        <w:rPr>
          <w:sz w:val="24"/>
        </w:rPr>
        <w:t xml:space="preserve"> and </w:t>
      </w:r>
      <w:r>
        <w:rPr>
          <w:i/>
          <w:sz w:val="24"/>
        </w:rPr>
        <w:t>report/</w:t>
      </w:r>
      <w:r>
        <w:rPr>
          <w:sz w:val="24"/>
        </w:rPr>
        <w:t>.</w:t>
      </w:r>
    </w:p>
    <w:p>
      <w:pPr>
        <w:pStyle w:val="Normal1"/>
        <w:numPr>
          <w:ilvl w:val="0"/>
          <w:numId w:val="201"/>
        </w:numPr>
        <w:spacing w:after="60" w:line="360" w:lineRule="auto"/>
        <w:ind w:left="720" w:hanging="360"/>
        <w:jc w:val="both"/>
      </w:pPr>
      <w:r>
        <w:rPr>
          <w:sz w:val="24"/>
        </w:rPr>
        <w:t>Learned basic Git commands (</w:t>
      </w:r>
      <w:r>
        <w:rPr>
          <w:i/>
          <w:sz w:val="24"/>
        </w:rPr>
        <w:t>clone, add, commit, push</w:t>
      </w:r>
      <w:r>
        <w:rPr>
          <w:sz w:val="24"/>
        </w:rPr>
        <w:t xml:space="preserve">) and wrote a </w:t>
      </w:r>
      <w:r>
        <w:rPr>
          <w:i/>
          <w:sz w:val="24"/>
        </w:rPr>
        <w:t>.gitignore</w:t>
      </w:r>
      <w:r>
        <w:rPr>
          <w:sz w:val="24"/>
        </w:rPr>
        <w:t xml:space="preserve"> so that large raw files are not uploaded.</w:t>
      </w:r>
    </w:p>
    <w:p>
      <w:pPr>
        <w:pStyle w:val="Normal1"/>
        <w:numPr>
          <w:ilvl w:val="0"/>
          <w:numId w:val="201"/>
        </w:numPr>
        <w:spacing w:after="60" w:line="360" w:lineRule="auto"/>
        <w:ind w:left="720" w:hanging="360"/>
        <w:jc w:val="both"/>
      </w:pPr>
      <w:r>
        <w:rPr>
          <w:sz w:val="24"/>
        </w:rPr>
        <w:t xml:space="preserve">Wrote </w:t>
      </w:r>
      <w:r>
        <w:rPr>
          <w:i/>
          <w:sz w:val="24"/>
        </w:rPr>
        <w:t>config.py</w:t>
      </w:r>
      <w:r>
        <w:rPr>
          <w:sz w:val="24"/>
        </w:rPr>
        <w:t xml:space="preserve"> to keep all paths and chart colours in one place.</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A project is only useful if someone else can run it. Keeping the code in numbered scripts (</w:t>
      </w:r>
      <w:r>
        <w:rPr>
          <w:i/>
          <w:sz w:val="24"/>
        </w:rPr>
        <w:t>01_download_data.py … 07_powerbi_export.py</w:t>
      </w:r>
      <w:r>
        <w:rPr>
          <w:sz w:val="24"/>
        </w:rPr>
        <w:t>) and the settings in one configuration file means the whole analysis can be reproduced with a few commands, locally or in Colab.</w:t>
      </w:r>
    </w:p>
    <w:p>
      <w:pPr>
        <w:pStyle w:val="Normal1"/>
        <w:keepNext/>
        <w:spacing w:before="80"/>
        <w:jc w:val="center"/>
      </w:pPr>
      <w:r>
        <w:drawing>
          <wp:inline xmlns:a="http://schemas.openxmlformats.org/drawingml/2006/main" xmlns:pic="http://schemas.openxmlformats.org/drawingml/2006/picture">
            <wp:extent cx="5760720" cy="1316453"/>
            <wp:docPr id="870917301" name="Picture 870917301"/>
            <wp:cNvGraphicFramePr>
              <a:graphicFrameLocks noChangeAspect="1"/>
            </wp:cNvGraphicFramePr>
            <a:graphic>
              <a:graphicData uri="http://schemas.openxmlformats.org/drawingml/2006/picture">
                <pic:pic>
                  <pic:nvPicPr>
                    <pic:cNvPr id="0" name="nb_cell03.png"/>
                    <pic:cNvPicPr/>
                  </pic:nvPicPr>
                  <pic:blipFill>
                    <a:blip r:embed="rId16"/>
                    <a:stretch>
                      <a:fillRect/>
                    </a:stretch>
                  </pic:blipFill>
                  <pic:spPr>
                    <a:xfrm>
                      <a:off x="0" y="0"/>
                      <a:ext cx="5760720" cy="1316453"/>
                    </a:xfrm>
                    <a:prstGeom prst="rect"/>
                  </pic:spPr>
                </pic:pic>
              </a:graphicData>
            </a:graphic>
          </wp:inline>
        </w:drawing>
      </w:r>
    </w:p>
    <w:p>
      <w:pPr>
        <w:pStyle w:val="Caption"/>
        <w:spacing w:after="160"/>
        <w:jc w:val="center"/>
      </w:pPr>
      <w:r>
        <w:rPr>
          <w:i/>
          <w:sz w:val="21"/>
        </w:rPr>
        <w:t>Figure 2.2: Importing the analysis libraries in the Colab notebook</w:t>
      </w:r>
    </w:p>
    <w:p>
      <w:pPr>
        <w:pStyle w:val="Normal1"/>
        <w:keepNext/>
        <w:spacing w:before="80"/>
        <w:jc w:val="center"/>
      </w:pPr>
      <w:r>
        <w:drawing>
          <wp:inline xmlns:a="http://schemas.openxmlformats.org/drawingml/2006/main" xmlns:pic="http://schemas.openxmlformats.org/drawingml/2006/picture">
            <wp:extent cx="4754880" cy="2095579"/>
            <wp:docPr id="870917302" name="Picture 870917302"/>
            <wp:cNvGraphicFramePr>
              <a:graphicFrameLocks noChangeAspect="1"/>
            </wp:cNvGraphicFramePr>
            <a:graphic>
              <a:graphicData uri="http://schemas.openxmlformats.org/drawingml/2006/picture">
                <pic:pic>
                  <pic:nvPicPr>
                    <pic:cNvPr id="0" name="nb_cell00.png"/>
                    <pic:cNvPicPr/>
                  </pic:nvPicPr>
                  <pic:blipFill>
                    <a:blip r:embed="rId17"/>
                    <a:stretch>
                      <a:fillRect/>
                    </a:stretch>
                  </pic:blipFill>
                  <pic:spPr>
                    <a:xfrm>
                      <a:off x="0" y="0"/>
                      <a:ext cx="4754880" cy="2095579"/>
                    </a:xfrm>
                    <a:prstGeom prst="rect"/>
                  </pic:spPr>
                </pic:pic>
              </a:graphicData>
            </a:graphic>
          </wp:inline>
        </w:drawing>
      </w:r>
    </w:p>
    <w:p>
      <w:pPr>
        <w:pStyle w:val="Caption"/>
        <w:spacing w:after="160"/>
        <w:jc w:val="center"/>
      </w:pPr>
      <w:r>
        <w:rPr>
          <w:i/>
          <w:sz w:val="21"/>
        </w:rPr>
        <w:t>Figure 2.3: Notebook overview with the Open-in-Colab link</w:t>
      </w:r>
    </w:p>
    <w:p>
      <w:pPr>
        <w:pStyle w:val="Heading2"/>
        <w:pageBreakBefore/>
      </w:pPr>
      <w:r>
        <w:rPr>
          <w:b/>
          <w:color w:val="000000"/>
          <w:sz w:val="28"/>
        </w:rPr>
        <w:t>Day-3: Python Refresher – NumPy and Pandas</w:t>
      </w:r>
    </w:p>
    <w:p>
      <w:pPr>
        <w:pStyle w:val="Normal1"/>
        <w:spacing w:after="120" w:line="360" w:lineRule="auto"/>
        <w:jc w:val="both"/>
      </w:pPr>
      <w:r>
        <w:rPr>
          <w:b/>
          <w:sz w:val="24"/>
        </w:rPr>
        <w:t>Objective:</w:t>
      </w:r>
      <w:r>
        <w:rPr>
          <w:sz w:val="24"/>
        </w:rPr>
        <w:t xml:space="preserve"> strengthen the Python data-handling skills needed for the project.</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Revised NumPy arrays, vectorised operations, broadcasting and random number generation, which are used later for bootstrapping.</w:t>
      </w:r>
    </w:p>
    <w:p>
      <w:pPr>
        <w:pStyle w:val="Normal1"/>
        <w:numPr>
          <w:ilvl w:val="0"/>
          <w:numId w:val="201"/>
        </w:numPr>
        <w:spacing w:after="60" w:line="360" w:lineRule="auto"/>
        <w:ind w:left="720" w:hanging="360"/>
        <w:jc w:val="both"/>
      </w:pPr>
      <w:r>
        <w:rPr>
          <w:sz w:val="24"/>
        </w:rPr>
        <w:t xml:space="preserve">Practised Pandas: Series and DataFrame, </w:t>
      </w:r>
      <w:r>
        <w:rPr>
          <w:i/>
          <w:sz w:val="24"/>
        </w:rPr>
        <w:t>loc/iloc</w:t>
      </w:r>
      <w:r>
        <w:rPr>
          <w:sz w:val="24"/>
        </w:rPr>
        <w:t xml:space="preserve"> indexing, boolean filtering, </w:t>
      </w:r>
      <w:r>
        <w:rPr>
          <w:i/>
          <w:sz w:val="24"/>
        </w:rPr>
        <w:t>groupby</w:t>
      </w:r>
      <w:r>
        <w:rPr>
          <w:sz w:val="24"/>
        </w:rPr>
        <w:t xml:space="preserve">, </w:t>
      </w:r>
      <w:r>
        <w:rPr>
          <w:i/>
          <w:sz w:val="24"/>
        </w:rPr>
        <w:t>agg</w:t>
      </w:r>
      <w:r>
        <w:rPr>
          <w:sz w:val="24"/>
        </w:rPr>
        <w:t xml:space="preserve">, </w:t>
      </w:r>
      <w:r>
        <w:rPr>
          <w:i/>
          <w:sz w:val="24"/>
        </w:rPr>
        <w:t>pivot_table</w:t>
      </w:r>
      <w:r>
        <w:rPr>
          <w:sz w:val="24"/>
        </w:rPr>
        <w:t xml:space="preserve">, </w:t>
      </w:r>
      <w:r>
        <w:rPr>
          <w:i/>
          <w:sz w:val="24"/>
        </w:rPr>
        <w:t>merge</w:t>
      </w:r>
      <w:r>
        <w:rPr>
          <w:sz w:val="24"/>
        </w:rPr>
        <w:t xml:space="preserve"> and </w:t>
      </w:r>
      <w:r>
        <w:rPr>
          <w:i/>
          <w:sz w:val="24"/>
        </w:rPr>
        <w:t>concat</w:t>
      </w:r>
      <w:r>
        <w:rPr>
          <w:sz w:val="24"/>
        </w:rPr>
        <w:t>.</w:t>
      </w:r>
    </w:p>
    <w:p>
      <w:pPr>
        <w:pStyle w:val="Normal1"/>
        <w:numPr>
          <w:ilvl w:val="0"/>
          <w:numId w:val="201"/>
        </w:numPr>
        <w:spacing w:after="60" w:line="360" w:lineRule="auto"/>
        <w:ind w:left="720" w:hanging="360"/>
        <w:jc w:val="both"/>
      </w:pPr>
      <w:r>
        <w:rPr>
          <w:sz w:val="24"/>
        </w:rPr>
        <w:t xml:space="preserve">Learned the </w:t>
      </w:r>
      <w:r>
        <w:rPr>
          <w:i/>
          <w:sz w:val="24"/>
        </w:rPr>
        <w:t>.str</w:t>
      </w:r>
      <w:r>
        <w:rPr>
          <w:sz w:val="24"/>
        </w:rPr>
        <w:t xml:space="preserve"> accessor for text columns: </w:t>
      </w:r>
      <w:r>
        <w:rPr>
          <w:i/>
          <w:sz w:val="24"/>
        </w:rPr>
        <w:t>contains</w:t>
      </w:r>
      <w:r>
        <w:rPr>
          <w:sz w:val="24"/>
        </w:rPr>
        <w:t xml:space="preserve">, </w:t>
      </w:r>
      <w:r>
        <w:rPr>
          <w:i/>
          <w:sz w:val="24"/>
        </w:rPr>
        <w:t>extract</w:t>
      </w:r>
      <w:r>
        <w:rPr>
          <w:sz w:val="24"/>
        </w:rPr>
        <w:t xml:space="preserve">, </w:t>
      </w:r>
      <w:r>
        <w:rPr>
          <w:i/>
          <w:sz w:val="24"/>
        </w:rPr>
        <w:t>replace</w:t>
      </w:r>
      <w:r>
        <w:rPr>
          <w:sz w:val="24"/>
        </w:rPr>
        <w:t xml:space="preserve"> and </w:t>
      </w:r>
      <w:r>
        <w:rPr>
          <w:i/>
          <w:sz w:val="24"/>
        </w:rPr>
        <w:t>split</w:t>
      </w:r>
      <w:r>
        <w:rPr>
          <w:sz w:val="24"/>
        </w:rPr>
        <w:t>.</w:t>
      </w:r>
    </w:p>
    <w:p>
      <w:pPr>
        <w:pStyle w:val="Normal1"/>
        <w:numPr>
          <w:ilvl w:val="0"/>
          <w:numId w:val="201"/>
        </w:numPr>
        <w:spacing w:after="60" w:line="360" w:lineRule="auto"/>
        <w:ind w:left="720" w:hanging="360"/>
        <w:jc w:val="both"/>
      </w:pPr>
      <w:r>
        <w:rPr>
          <w:sz w:val="24"/>
        </w:rPr>
        <w:t xml:space="preserve">Practised regular expressions such as </w:t>
      </w:r>
      <w:r>
        <w:rPr>
          <w:i/>
          <w:sz w:val="24"/>
        </w:rPr>
        <w:t>-(men|women|boys|girls)-</w:t>
      </w:r>
      <w:r>
        <w:rPr>
          <w:sz w:val="24"/>
        </w:rPr>
        <w:t>, which later pulled the gender out of Myntra product URLs.</w:t>
      </w:r>
    </w:p>
    <w:p>
      <w:pPr>
        <w:pStyle w:val="Normal1"/>
        <w:numPr>
          <w:ilvl w:val="0"/>
          <w:numId w:val="201"/>
        </w:numPr>
        <w:spacing w:after="60" w:line="360" w:lineRule="auto"/>
        <w:ind w:left="720" w:hanging="360"/>
        <w:jc w:val="both"/>
      </w:pPr>
      <w:r>
        <w:rPr>
          <w:sz w:val="24"/>
        </w:rPr>
        <w:t>Solved small exercises: average price per brand, the most expensive category, and the share of discounted items.</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Vectorised Pandas code is much faster and clearer than Python loops. Filtering about 1.6 million Amazon rows took seconds with boolean masks. Regular expressions are a powerful tool for turning free text into structured features.</w:t>
      </w:r>
    </w:p>
    <w:p>
      <w:pPr>
        <w:pStyle w:val="Normal1"/>
        <w:keepNext/>
        <w:spacing w:before="80"/>
        <w:jc w:val="center"/>
      </w:pPr>
      <w:r>
        <w:rPr>
          <w:b/>
          <w:sz w:val="22"/>
        </w:rPr>
        <w:t>Table 2.1: Pandas operations practised and where they were used</w:t>
      </w:r>
    </w:p>
    <w:tbl>
      <w:tblPr>
        <w:tblStyle w:val="TableGrid"/>
        <w:tblW w:w="9216" w:type="dxa"/>
        <w:jc w:val="center"/>
        <w:tblLayout w:type="fixed"/>
        <w:tblLook w:firstColumn="1" w:firstRow="1" w:lastColumn="0" w:lastRow="0" w:noHBand="0" w:noVBand="1" w:val="04A0"/>
      </w:tblPr>
      <w:tblGrid>
        <w:gridCol w:w="3456"/>
        <w:gridCol w:w="5760"/>
      </w:tblGrid>
      <w:tr>
        <w:trPr>
          <w:cantSplit/>
          <w:tblHeader/>
        </w:trPr>
        <w:tc>
          <w:tcPr>
            <w:tcW w:type="dxa" w:w="3456"/>
            <w:shd w:val="clear" w:color="auto" w:fill="E7E6E6"/>
          </w:tcPr>
          <w:p>
            <w:pPr>
              <w:keepNext/>
              <w:spacing w:after="20"/>
              <w:jc w:val="both"/>
            </w:pPr>
            <w:r>
              <w:rPr>
                <w:b/>
                <w:sz w:val="21"/>
              </w:rPr>
              <w:t>Operation</w:t>
            </w:r>
          </w:p>
        </w:tc>
        <w:tc>
          <w:tcPr>
            <w:tcW w:type="dxa" w:w="5760"/>
            <w:shd w:val="clear" w:color="auto" w:fill="E7E6E6"/>
          </w:tcPr>
          <w:p>
            <w:pPr>
              <w:keepNext/>
              <w:spacing w:after="20"/>
              <w:jc w:val="both"/>
            </w:pPr>
            <w:r>
              <w:rPr>
                <w:b/>
                <w:sz w:val="21"/>
              </w:rPr>
              <w:t>Used for</w:t>
            </w:r>
          </w:p>
        </w:tc>
      </w:tr>
      <w:tr>
        <w:trPr>
          <w:cantSplit/>
        </w:trPr>
        <w:tc>
          <w:tcPr>
            <w:tcW w:type="dxa" w:w="3456"/>
          </w:tcPr>
          <w:p>
            <w:pPr>
              <w:keepNext/>
              <w:spacing w:after="20"/>
              <w:jc w:val="both"/>
            </w:pPr>
            <w:r>
              <w:rPr>
                <w:sz w:val="21"/>
              </w:rPr>
              <w:t>read_csv, info, describe</w:t>
            </w:r>
          </w:p>
        </w:tc>
        <w:tc>
          <w:tcPr>
            <w:tcW w:type="dxa" w:w="5760"/>
          </w:tcPr>
          <w:p>
            <w:pPr>
              <w:keepNext/>
              <w:spacing w:after="20"/>
              <w:jc w:val="both"/>
            </w:pPr>
            <w:r>
              <w:rPr>
                <w:sz w:val="21"/>
              </w:rPr>
              <w:t>Loading and profiling the raw files</w:t>
            </w:r>
          </w:p>
        </w:tc>
      </w:tr>
      <w:tr>
        <w:trPr>
          <w:cantSplit/>
        </w:trPr>
        <w:tc>
          <w:tcPr>
            <w:tcW w:type="dxa" w:w="3456"/>
          </w:tcPr>
          <w:p>
            <w:pPr>
              <w:keepNext/>
              <w:spacing w:after="20"/>
              <w:jc w:val="both"/>
            </w:pPr>
            <w:r>
              <w:rPr>
                <w:sz w:val="21"/>
              </w:rPr>
              <w:t>str.extract / str.contains</w:t>
            </w:r>
          </w:p>
        </w:tc>
        <w:tc>
          <w:tcPr>
            <w:tcW w:type="dxa" w:w="5760"/>
          </w:tcPr>
          <w:p>
            <w:pPr>
              <w:keepNext/>
              <w:spacing w:after="20"/>
              <w:jc w:val="both"/>
            </w:pPr>
            <w:r>
              <w:rPr>
                <w:sz w:val="21"/>
              </w:rPr>
              <w:t>Gender and category tagging, pack-size extraction</w:t>
            </w:r>
          </w:p>
        </w:tc>
      </w:tr>
      <w:tr>
        <w:trPr>
          <w:cantSplit/>
        </w:trPr>
        <w:tc>
          <w:tcPr>
            <w:tcW w:type="dxa" w:w="3456"/>
          </w:tcPr>
          <w:p>
            <w:pPr>
              <w:keepNext/>
              <w:spacing w:after="20"/>
              <w:jc w:val="both"/>
            </w:pPr>
            <w:r>
              <w:rPr>
                <w:sz w:val="21"/>
              </w:rPr>
              <w:t>drop_duplicates, dropna</w:t>
            </w:r>
          </w:p>
        </w:tc>
        <w:tc>
          <w:tcPr>
            <w:tcW w:type="dxa" w:w="5760"/>
          </w:tcPr>
          <w:p>
            <w:pPr>
              <w:keepNext/>
              <w:spacing w:after="20"/>
              <w:jc w:val="both"/>
            </w:pPr>
            <w:r>
              <w:rPr>
                <w:sz w:val="21"/>
              </w:rPr>
              <w:t>Cleaning</w:t>
            </w:r>
          </w:p>
        </w:tc>
      </w:tr>
      <w:tr>
        <w:trPr>
          <w:cantSplit/>
        </w:trPr>
        <w:tc>
          <w:tcPr>
            <w:tcW w:type="dxa" w:w="3456"/>
          </w:tcPr>
          <w:p>
            <w:pPr>
              <w:keepNext/>
              <w:spacing w:after="20"/>
              <w:jc w:val="both"/>
            </w:pPr>
            <w:r>
              <w:rPr>
                <w:sz w:val="21"/>
              </w:rPr>
              <w:t>groupby + agg / transform</w:t>
            </w:r>
          </w:p>
        </w:tc>
        <w:tc>
          <w:tcPr>
            <w:tcW w:type="dxa" w:w="5760"/>
          </w:tcPr>
          <w:p>
            <w:pPr>
              <w:keepNext/>
              <w:spacing w:after="20"/>
              <w:jc w:val="both"/>
            </w:pPr>
            <w:r>
              <w:rPr>
                <w:sz w:val="21"/>
              </w:rPr>
              <w:t>Category medians, outlier limits, fixed effects</w:t>
            </w:r>
          </w:p>
        </w:tc>
      </w:tr>
      <w:tr>
        <w:trPr>
          <w:cantSplit/>
        </w:trPr>
        <w:tc>
          <w:tcPr>
            <w:tcW w:type="dxa" w:w="3456"/>
          </w:tcPr>
          <w:p>
            <w:pPr>
              <w:spacing w:after="20"/>
              <w:jc w:val="both"/>
            </w:pPr>
            <w:r>
              <w:rPr>
                <w:sz w:val="21"/>
              </w:rPr>
              <w:t>pivot_table, crosstab</w:t>
            </w:r>
          </w:p>
        </w:tc>
        <w:tc>
          <w:tcPr>
            <w:tcW w:type="dxa" w:w="5760"/>
          </w:tcPr>
          <w:p>
            <w:pPr>
              <w:spacing w:after="20"/>
              <w:jc w:val="both"/>
            </w:pPr>
            <w:r>
              <w:rPr>
                <w:sz w:val="21"/>
              </w:rPr>
              <w:t>Summary tables and brand-matched pairs</w:t>
            </w:r>
          </w:p>
        </w:tc>
      </w:tr>
    </w:tbl>
    <w:p>
      <w:pPr>
        <w:pStyle w:val="Normal1"/>
        <w:spacing w:after="40" w:line="192" w:lineRule="auto"/>
        <w:jc w:val="both"/>
      </w:pPr>
    </w:p>
    <w:p>
      <w:pPr>
        <w:pStyle w:val="Heading2"/>
        <w:pageBreakBefore/>
      </w:pPr>
      <w:r>
        <w:rPr>
          <w:b/>
          <w:color w:val="000000"/>
          <w:sz w:val="28"/>
        </w:rPr>
        <w:t>Day-4: Data Sourcing from Kaggle</w:t>
      </w:r>
    </w:p>
    <w:p>
      <w:pPr>
        <w:pStyle w:val="Normal1"/>
        <w:spacing w:after="120" w:line="360" w:lineRule="auto"/>
        <w:jc w:val="both"/>
      </w:pPr>
      <w:r>
        <w:rPr>
          <w:b/>
          <w:sz w:val="24"/>
        </w:rPr>
        <w:t>Objective:</w:t>
      </w:r>
      <w:r>
        <w:rPr>
          <w:sz w:val="24"/>
        </w:rPr>
        <w:t xml:space="preserve"> find public datasets with real Indian prices that can be tagged by gender.</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Searched Kaggle for “pink tax”, “gender price”, Myntra, Nykaa, BigBasket, Flipkart and Amazon India. No ready-made Pink Tax dataset exists, so product catalogues had to be used.</w:t>
      </w:r>
    </w:p>
    <w:p>
      <w:pPr>
        <w:pStyle w:val="Normal1"/>
        <w:numPr>
          <w:ilvl w:val="0"/>
          <w:numId w:val="201"/>
        </w:numPr>
        <w:spacing w:after="60" w:line="360" w:lineRule="auto"/>
        <w:ind w:left="720" w:hanging="360"/>
        <w:jc w:val="both"/>
      </w:pPr>
      <w:r>
        <w:rPr>
          <w:sz w:val="24"/>
        </w:rPr>
        <w:t>Evaluated candidates against four criteria: prices in ₹, a way to identify the target gender, enough products per category, and a clear licence and source.</w:t>
      </w:r>
    </w:p>
    <w:p>
      <w:pPr>
        <w:pStyle w:val="Normal1"/>
        <w:numPr>
          <w:ilvl w:val="0"/>
          <w:numId w:val="201"/>
        </w:numPr>
        <w:spacing w:after="60" w:line="360" w:lineRule="auto"/>
        <w:ind w:left="720" w:hanging="360"/>
        <w:jc w:val="both"/>
      </w:pPr>
      <w:r>
        <w:rPr>
          <w:sz w:val="24"/>
        </w:rPr>
        <w:t xml:space="preserve">Selected three datasets: </w:t>
      </w:r>
      <w:r>
        <w:rPr>
          <w:b/>
          <w:sz w:val="24"/>
        </w:rPr>
        <w:t>Myntra 168k products</w:t>
      </w:r>
      <w:r>
        <w:rPr>
          <w:sz w:val="24"/>
        </w:rPr>
        <w:t xml:space="preserve">, the </w:t>
      </w:r>
      <w:r>
        <w:rPr>
          <w:b/>
          <w:sz w:val="24"/>
        </w:rPr>
        <w:t>BigBasket product list</w:t>
      </w:r>
      <w:r>
        <w:rPr>
          <w:sz w:val="24"/>
        </w:rPr>
        <w:t xml:space="preserve"> and </w:t>
      </w:r>
      <w:r>
        <w:rPr>
          <w:b/>
          <w:sz w:val="24"/>
        </w:rPr>
        <w:t>Amazon India products 2023</w:t>
      </w:r>
      <w:r>
        <w:rPr>
          <w:sz w:val="24"/>
        </w:rPr>
        <w:t xml:space="preserve"> (1.5 million listings).</w:t>
      </w:r>
    </w:p>
    <w:p>
      <w:pPr>
        <w:pStyle w:val="Normal1"/>
        <w:numPr>
          <w:ilvl w:val="0"/>
          <w:numId w:val="201"/>
        </w:numPr>
        <w:spacing w:after="60" w:line="360" w:lineRule="auto"/>
        <w:ind w:left="720" w:hanging="360"/>
        <w:jc w:val="both"/>
      </w:pPr>
      <w:r>
        <w:rPr>
          <w:sz w:val="24"/>
        </w:rPr>
        <w:t xml:space="preserve">Wrote </w:t>
      </w:r>
      <w:r>
        <w:rPr>
          <w:i/>
          <w:sz w:val="24"/>
        </w:rPr>
        <w:t>01_download_data.py</w:t>
      </w:r>
      <w:r>
        <w:rPr>
          <w:sz w:val="24"/>
        </w:rPr>
        <w:t xml:space="preserve"> to download and unzip the files automatically through the Kaggle API, so that the download is reproducible.</w:t>
      </w:r>
    </w:p>
    <w:p>
      <w:pPr>
        <w:pStyle w:val="Normal1"/>
        <w:numPr>
          <w:ilvl w:val="0"/>
          <w:numId w:val="201"/>
        </w:numPr>
        <w:spacing w:after="60" w:line="360" w:lineRule="auto"/>
        <w:ind w:left="720" w:hanging="360"/>
        <w:jc w:val="both"/>
      </w:pPr>
      <w:r>
        <w:rPr>
          <w:sz w:val="24"/>
        </w:rPr>
        <w:t>Loaded the files and checked their shapes and columns (Figure 2.4).</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In real projects the perfect dataset rarely exists. The skill is to combine sources that each answer part of the question. Myntra covers fashion with gender in the URL, BigBasket labels men's and women's deodorants, and Amazon titles include pack sizes for unit-price comparison.</w:t>
      </w:r>
    </w:p>
    <w:p>
      <w:pPr>
        <w:pStyle w:val="Normal1"/>
        <w:keepNext/>
        <w:spacing w:before="80"/>
        <w:jc w:val="center"/>
      </w:pPr>
      <w:r>
        <w:drawing>
          <wp:inline xmlns:a="http://schemas.openxmlformats.org/drawingml/2006/main" xmlns:pic="http://schemas.openxmlformats.org/drawingml/2006/picture">
            <wp:extent cx="5760720" cy="2019221"/>
            <wp:docPr id="870917303" name="Picture 870917303"/>
            <wp:cNvGraphicFramePr>
              <a:graphicFrameLocks noChangeAspect="1"/>
            </wp:cNvGraphicFramePr>
            <a:graphic>
              <a:graphicData uri="http://schemas.openxmlformats.org/drawingml/2006/picture">
                <pic:pic>
                  <pic:nvPicPr>
                    <pic:cNvPr id="0" name="nb_cell07.png"/>
                    <pic:cNvPicPr/>
                  </pic:nvPicPr>
                  <pic:blipFill>
                    <a:blip r:embed="rId18"/>
                    <a:stretch>
                      <a:fillRect/>
                    </a:stretch>
                  </pic:blipFill>
                  <pic:spPr>
                    <a:xfrm>
                      <a:off x="0" y="0"/>
                      <a:ext cx="5760720" cy="2019221"/>
                    </a:xfrm>
                    <a:prstGeom prst="rect"/>
                  </pic:spPr>
                </pic:pic>
              </a:graphicData>
            </a:graphic>
          </wp:inline>
        </w:drawing>
      </w:r>
    </w:p>
    <w:p>
      <w:pPr>
        <w:pStyle w:val="Caption"/>
        <w:spacing w:after="160"/>
        <w:jc w:val="center"/>
      </w:pPr>
      <w:r>
        <w:rPr>
          <w:i/>
          <w:sz w:val="21"/>
        </w:rPr>
        <w:t>Figure 2.4: Loading the raw Myntra and BigBasket files with Pandas</w:t>
      </w:r>
    </w:p>
    <w:p>
      <w:pPr>
        <w:pStyle w:val="Heading2"/>
        <w:pageBreakBefore/>
      </w:pPr>
      <w:r>
        <w:rPr>
          <w:b/>
          <w:color w:val="000000"/>
          <w:sz w:val="28"/>
        </w:rPr>
        <w:t>Day-5: Data Understanding and Profiling</w:t>
      </w:r>
    </w:p>
    <w:p>
      <w:pPr>
        <w:pStyle w:val="Normal1"/>
        <w:spacing w:after="120" w:line="360" w:lineRule="auto"/>
        <w:jc w:val="both"/>
      </w:pPr>
      <w:r>
        <w:rPr>
          <w:b/>
          <w:sz w:val="24"/>
        </w:rPr>
        <w:t>Objective:</w:t>
      </w:r>
      <w:r>
        <w:rPr>
          <w:sz w:val="24"/>
        </w:rPr>
        <w:t xml:space="preserve"> understand what each column means, how the data is stored and what quality problems exist.</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 xml:space="preserve">Used </w:t>
      </w:r>
      <w:r>
        <w:rPr>
          <w:i/>
          <w:sz w:val="24"/>
        </w:rPr>
        <w:t>info()</w:t>
      </w:r>
      <w:r>
        <w:rPr>
          <w:sz w:val="24"/>
        </w:rPr>
        <w:t xml:space="preserve">, </w:t>
      </w:r>
      <w:r>
        <w:rPr>
          <w:i/>
          <w:sz w:val="24"/>
        </w:rPr>
        <w:t>describe()</w:t>
      </w:r>
      <w:r>
        <w:rPr>
          <w:sz w:val="24"/>
        </w:rPr>
        <w:t xml:space="preserve"> and </w:t>
      </w:r>
      <w:r>
        <w:rPr>
          <w:i/>
          <w:sz w:val="24"/>
        </w:rPr>
        <w:t>value_counts()</w:t>
      </w:r>
      <w:r>
        <w:rPr>
          <w:sz w:val="24"/>
        </w:rPr>
        <w:t xml:space="preserve"> to check data types, missing values and distributions.</w:t>
      </w:r>
    </w:p>
    <w:p>
      <w:pPr>
        <w:pStyle w:val="Normal1"/>
        <w:numPr>
          <w:ilvl w:val="0"/>
          <w:numId w:val="201"/>
        </w:numPr>
        <w:spacing w:after="60" w:line="360" w:lineRule="auto"/>
        <w:ind w:left="720" w:hanging="360"/>
        <w:jc w:val="both"/>
      </w:pPr>
      <w:r>
        <w:rPr>
          <w:sz w:val="24"/>
        </w:rPr>
        <w:t>Found where the gender is stored in each source: in the product URL for Myntra, in the product type for BigBasket and only in the title for Amazon.</w:t>
      </w:r>
    </w:p>
    <w:p>
      <w:pPr>
        <w:pStyle w:val="Normal1"/>
        <w:numPr>
          <w:ilvl w:val="0"/>
          <w:numId w:val="201"/>
        </w:numPr>
        <w:spacing w:after="60" w:line="360" w:lineRule="auto"/>
        <w:ind w:left="720" w:hanging="360"/>
        <w:jc w:val="both"/>
      </w:pPr>
      <w:r>
        <w:rPr>
          <w:sz w:val="24"/>
        </w:rPr>
        <w:t xml:space="preserve">Found that most Amazon titles are in </w:t>
      </w:r>
      <w:r>
        <w:rPr>
          <w:b/>
          <w:sz w:val="24"/>
        </w:rPr>
        <w:t>Hindi</w:t>
      </w:r>
      <w:r>
        <w:rPr>
          <w:sz w:val="24"/>
        </w:rPr>
        <w:t xml:space="preserve"> (for example “पुरुषों के लिए” means “for men”), so English-only keywords would miss most products.</w:t>
      </w:r>
    </w:p>
    <w:p>
      <w:pPr>
        <w:pStyle w:val="Normal1"/>
        <w:numPr>
          <w:ilvl w:val="0"/>
          <w:numId w:val="201"/>
        </w:numPr>
        <w:spacing w:after="60" w:line="360" w:lineRule="auto"/>
        <w:ind w:left="720" w:hanging="360"/>
        <w:jc w:val="both"/>
      </w:pPr>
      <w:r>
        <w:rPr>
          <w:sz w:val="24"/>
        </w:rPr>
        <w:t>Noted quality issues: zero list prices, duplicate listings, unisex and combo packs, and extreme prices.</w:t>
      </w:r>
    </w:p>
    <w:p>
      <w:pPr>
        <w:pStyle w:val="Normal1"/>
        <w:numPr>
          <w:ilvl w:val="0"/>
          <w:numId w:val="201"/>
        </w:numPr>
        <w:spacing w:after="60" w:line="360" w:lineRule="auto"/>
        <w:ind w:left="720" w:hanging="360"/>
        <w:jc w:val="both"/>
      </w:pPr>
      <w:r>
        <w:rPr>
          <w:sz w:val="24"/>
        </w:rPr>
        <w:t>Decided to use MRP as the main price and the selling price as a second measure.</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Profiling before cleaning saves time. Checking gender labels on Myntra showed 58,436 women's, 53,615 men's, 4,671 girls' and 4,209 boys' products, plus 43,823 without a gender tag. That told me how much usable data there was before writing any cleaning code.</w:t>
      </w:r>
    </w:p>
    <w:p>
      <w:pPr>
        <w:pStyle w:val="Normal1"/>
        <w:keepNext/>
        <w:spacing w:before="80"/>
        <w:jc w:val="center"/>
      </w:pPr>
      <w:r>
        <w:drawing>
          <wp:inline xmlns:a="http://schemas.openxmlformats.org/drawingml/2006/main" xmlns:pic="http://schemas.openxmlformats.org/drawingml/2006/picture">
            <wp:extent cx="5760720" cy="1093745"/>
            <wp:docPr id="870917304" name="Picture 870917304"/>
            <wp:cNvGraphicFramePr>
              <a:graphicFrameLocks noChangeAspect="1"/>
            </wp:cNvGraphicFramePr>
            <a:graphic>
              <a:graphicData uri="http://schemas.openxmlformats.org/drawingml/2006/picture">
                <pic:pic>
                  <pic:nvPicPr>
                    <pic:cNvPr id="0" name="nb_cell09.png"/>
                    <pic:cNvPicPr/>
                  </pic:nvPicPr>
                  <pic:blipFill>
                    <a:blip r:embed="rId19"/>
                    <a:stretch>
                      <a:fillRect/>
                    </a:stretch>
                  </pic:blipFill>
                  <pic:spPr>
                    <a:xfrm>
                      <a:off x="0" y="0"/>
                      <a:ext cx="5760720" cy="1093745"/>
                    </a:xfrm>
                    <a:prstGeom prst="rect"/>
                  </pic:spPr>
                </pic:pic>
              </a:graphicData>
            </a:graphic>
          </wp:inline>
        </w:drawing>
      </w:r>
    </w:p>
    <w:p>
      <w:pPr>
        <w:pStyle w:val="Caption"/>
        <w:spacing w:after="160"/>
        <w:jc w:val="center"/>
      </w:pPr>
      <w:r>
        <w:rPr>
          <w:i/>
          <w:sz w:val="21"/>
        </w:rPr>
        <w:t>Figure 2.5: Extracting the target gender from Myntra product URLs using a regular expression</w:t>
      </w:r>
    </w:p>
    <w:p>
      <w:pPr>
        <w:pStyle w:val="Heading2"/>
        <w:pageBreakBefore/>
      </w:pPr>
      <w:r>
        <w:rPr>
          <w:b/>
          <w:color w:val="000000"/>
          <w:sz w:val="28"/>
        </w:rPr>
        <w:t>Day-6: Data Cleaning</w:t>
      </w:r>
    </w:p>
    <w:p>
      <w:pPr>
        <w:pStyle w:val="Normal1"/>
        <w:spacing w:after="120" w:line="360" w:lineRule="auto"/>
        <w:jc w:val="both"/>
      </w:pPr>
      <w:r>
        <w:rPr>
          <w:b/>
          <w:sz w:val="24"/>
        </w:rPr>
        <w:t>Objective:</w:t>
      </w:r>
      <w:r>
        <w:rPr>
          <w:sz w:val="24"/>
        </w:rPr>
        <w:t xml:space="preserve"> turn the raw files into a reliable, analysis-ready table.</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Removed duplicate listings using product links, ASINs, or name + brand + price.</w:t>
      </w:r>
    </w:p>
    <w:p>
      <w:pPr>
        <w:pStyle w:val="Normal1"/>
        <w:numPr>
          <w:ilvl w:val="0"/>
          <w:numId w:val="201"/>
        </w:numPr>
        <w:spacing w:after="60" w:line="360" w:lineRule="auto"/>
        <w:ind w:left="720" w:hanging="360"/>
        <w:jc w:val="both"/>
      </w:pPr>
      <w:r>
        <w:rPr>
          <w:sz w:val="24"/>
        </w:rPr>
        <w:t>Dropped products with zero or missing prices, and capped the selling price at the MRP.</w:t>
      </w:r>
    </w:p>
    <w:p>
      <w:pPr>
        <w:pStyle w:val="Normal1"/>
        <w:numPr>
          <w:ilvl w:val="0"/>
          <w:numId w:val="201"/>
        </w:numPr>
        <w:spacing w:after="60" w:line="360" w:lineRule="auto"/>
        <w:ind w:left="720" w:hanging="360"/>
        <w:jc w:val="both"/>
      </w:pPr>
      <w:r>
        <w:rPr>
          <w:sz w:val="24"/>
        </w:rPr>
        <w:t>Removed unisex, “men and women”, couple and multipack products, because they have no single target gender.</w:t>
      </w:r>
    </w:p>
    <w:p>
      <w:pPr>
        <w:pStyle w:val="Normal1"/>
        <w:numPr>
          <w:ilvl w:val="0"/>
          <w:numId w:val="201"/>
        </w:numPr>
        <w:spacing w:after="60" w:line="360" w:lineRule="auto"/>
        <w:ind w:left="720" w:hanging="360"/>
        <w:jc w:val="both"/>
      </w:pPr>
      <w:r>
        <w:rPr>
          <w:sz w:val="24"/>
        </w:rPr>
        <w:t xml:space="preserve">Kept only categories with at least 15 products for </w:t>
      </w:r>
      <w:r>
        <w:rPr>
          <w:b/>
          <w:sz w:val="24"/>
        </w:rPr>
        <w:t>each</w:t>
      </w:r>
      <w:r>
        <w:rPr>
          <w:sz w:val="24"/>
        </w:rPr>
        <w:t xml:space="preserve"> gender, so that every comparison is between genuine alternatives.</w:t>
      </w:r>
    </w:p>
    <w:p>
      <w:pPr>
        <w:pStyle w:val="Normal1"/>
        <w:numPr>
          <w:ilvl w:val="0"/>
          <w:numId w:val="201"/>
        </w:numPr>
        <w:spacing w:after="60" w:line="360" w:lineRule="auto"/>
        <w:ind w:left="720" w:hanging="360"/>
        <w:jc w:val="both"/>
      </w:pPr>
      <w:r>
        <w:rPr>
          <w:sz w:val="24"/>
        </w:rPr>
        <w:t xml:space="preserve">Removed outliers beyond </w:t>
      </w:r>
      <w:r>
        <w:rPr>
          <w:b/>
          <w:sz w:val="24"/>
        </w:rPr>
        <w:t>3 × IQR on the log price</w:t>
      </w:r>
      <w:r>
        <w:rPr>
          <w:sz w:val="24"/>
        </w:rPr>
        <w:t xml:space="preserve"> within each category, a rule that suits right-skewed prices.</w:t>
      </w:r>
    </w:p>
    <w:p>
      <w:pPr>
        <w:pStyle w:val="Normal1"/>
        <w:numPr>
          <w:ilvl w:val="0"/>
          <w:numId w:val="201"/>
        </w:numPr>
        <w:spacing w:after="60" w:line="360" w:lineRule="auto"/>
        <w:ind w:left="720" w:hanging="360"/>
        <w:jc w:val="both"/>
      </w:pPr>
      <w:r>
        <w:rPr>
          <w:sz w:val="24"/>
        </w:rPr>
        <w:t>Recorded every step in a cleaning log (Table 2.2).</w:t>
      </w:r>
    </w:p>
    <w:p>
      <w:pPr>
        <w:pStyle w:val="Normal1"/>
        <w:spacing w:after="0" w:line="144" w:lineRule="auto"/>
        <w:jc w:val="both"/>
      </w:pPr>
    </w:p>
    <w:p>
      <w:pPr>
        <w:pStyle w:val="Normal1"/>
        <w:keepNext/>
        <w:spacing w:before="80"/>
        <w:jc w:val="center"/>
      </w:pPr>
      <w:r>
        <w:rPr>
          <w:b/>
          <w:sz w:val="22"/>
        </w:rPr>
        <w:t>Table 2.2: Cleaning log</w:t>
      </w:r>
    </w:p>
    <w:tbl>
      <w:tblPr>
        <w:tblStyle w:val="TableGrid"/>
        <w:tblW w:w="9216" w:type="dxa"/>
        <w:jc w:val="center"/>
        <w:tblLayout w:type="fixed"/>
        <w:tblLook w:firstColumn="1" w:firstRow="1" w:lastColumn="0" w:lastRow="0" w:noHBand="0" w:noVBand="1" w:val="04A0"/>
      </w:tblPr>
      <w:tblGrid>
        <w:gridCol w:w="6912"/>
        <w:gridCol w:w="2304"/>
      </w:tblGrid>
      <w:tr>
        <w:trPr>
          <w:cantSplit/>
          <w:tblHeader/>
        </w:trPr>
        <w:tc>
          <w:tcPr>
            <w:tcW w:type="dxa" w:w="6912"/>
            <w:shd w:val="clear" w:color="auto" w:fill="E7E6E6"/>
          </w:tcPr>
          <w:p>
            <w:pPr>
              <w:keepNext/>
              <w:spacing w:after="20"/>
              <w:jc w:val="both"/>
            </w:pPr>
            <w:r>
              <w:rPr>
                <w:b/>
                <w:sz w:val="21"/>
              </w:rPr>
              <w:t>Step</w:t>
            </w:r>
          </w:p>
        </w:tc>
        <w:tc>
          <w:tcPr>
            <w:tcW w:type="dxa" w:w="2304"/>
            <w:shd w:val="clear" w:color="auto" w:fill="E7E6E6"/>
          </w:tcPr>
          <w:p>
            <w:pPr>
              <w:keepNext/>
              <w:spacing w:after="20"/>
              <w:jc w:val="both"/>
            </w:pPr>
            <w:r>
              <w:rPr>
                <w:b/>
                <w:sz w:val="21"/>
              </w:rPr>
              <w:t>Rows remaining</w:t>
            </w:r>
          </w:p>
        </w:tc>
      </w:tr>
      <w:tr>
        <w:trPr>
          <w:cantSplit/>
        </w:trPr>
        <w:tc>
          <w:tcPr>
            <w:tcW w:type="dxa" w:w="6912"/>
          </w:tcPr>
          <w:p>
            <w:pPr>
              <w:keepNext/>
              <w:spacing w:after="20"/>
              <w:jc w:val="both"/>
            </w:pPr>
            <w:r>
              <w:rPr>
                <w:sz w:val="21"/>
              </w:rPr>
              <w:t>Products in scope (Myntra 72,914 + BigBasket 7,273 + Amazon 62,078)</w:t>
            </w:r>
          </w:p>
        </w:tc>
        <w:tc>
          <w:tcPr>
            <w:tcW w:type="dxa" w:w="2304"/>
          </w:tcPr>
          <w:p>
            <w:pPr>
              <w:keepNext/>
              <w:spacing w:after="20"/>
              <w:jc w:val="both"/>
            </w:pPr>
            <w:r>
              <w:rPr>
                <w:sz w:val="21"/>
              </w:rPr>
              <w:t>142,265</w:t>
            </w:r>
          </w:p>
        </w:tc>
      </w:tr>
      <w:tr>
        <w:trPr>
          <w:cantSplit/>
        </w:trPr>
        <w:tc>
          <w:tcPr>
            <w:tcW w:type="dxa" w:w="6912"/>
          </w:tcPr>
          <w:p>
            <w:pPr>
              <w:keepNext/>
              <w:spacing w:after="20"/>
              <w:jc w:val="both"/>
            </w:pPr>
            <w:r>
              <w:rPr>
                <w:sz w:val="21"/>
              </w:rPr>
              <w:t>After gender and category tagging</w:t>
            </w:r>
          </w:p>
        </w:tc>
        <w:tc>
          <w:tcPr>
            <w:tcW w:type="dxa" w:w="2304"/>
          </w:tcPr>
          <w:p>
            <w:pPr>
              <w:keepNext/>
              <w:spacing w:after="20"/>
              <w:jc w:val="both"/>
            </w:pPr>
            <w:r>
              <w:rPr>
                <w:sz w:val="21"/>
              </w:rPr>
              <w:t>80,008</w:t>
            </w:r>
          </w:p>
        </w:tc>
      </w:tr>
      <w:tr>
        <w:trPr>
          <w:cantSplit/>
        </w:trPr>
        <w:tc>
          <w:tcPr>
            <w:tcW w:type="dxa" w:w="6912"/>
          </w:tcPr>
          <w:p>
            <w:pPr>
              <w:keepNext/>
              <w:spacing w:after="20"/>
              <w:jc w:val="both"/>
            </w:pPr>
            <w:r>
              <w:rPr>
                <w:sz w:val="21"/>
              </w:rPr>
              <w:t>After removing zero or missing prices</w:t>
            </w:r>
          </w:p>
        </w:tc>
        <w:tc>
          <w:tcPr>
            <w:tcW w:type="dxa" w:w="2304"/>
          </w:tcPr>
          <w:p>
            <w:pPr>
              <w:keepNext/>
              <w:spacing w:after="20"/>
              <w:jc w:val="both"/>
            </w:pPr>
            <w:r>
              <w:rPr>
                <w:sz w:val="21"/>
              </w:rPr>
              <w:t>79,817</w:t>
            </w:r>
          </w:p>
        </w:tc>
      </w:tr>
      <w:tr>
        <w:trPr>
          <w:cantSplit/>
        </w:trPr>
        <w:tc>
          <w:tcPr>
            <w:tcW w:type="dxa" w:w="6912"/>
          </w:tcPr>
          <w:p>
            <w:pPr>
              <w:keepNext/>
              <w:spacing w:after="20"/>
              <w:jc w:val="both"/>
            </w:pPr>
            <w:r>
              <w:rPr>
                <w:sz w:val="21"/>
              </w:rPr>
              <w:t>After keeping comparable categories (≥ 15 per gender)</w:t>
            </w:r>
          </w:p>
        </w:tc>
        <w:tc>
          <w:tcPr>
            <w:tcW w:type="dxa" w:w="2304"/>
          </w:tcPr>
          <w:p>
            <w:pPr>
              <w:keepNext/>
              <w:spacing w:after="20"/>
              <w:jc w:val="both"/>
            </w:pPr>
            <w:r>
              <w:rPr>
                <w:sz w:val="21"/>
              </w:rPr>
              <w:t>79,553</w:t>
            </w:r>
          </w:p>
        </w:tc>
      </w:tr>
      <w:tr>
        <w:trPr>
          <w:cantSplit/>
        </w:trPr>
        <w:tc>
          <w:tcPr>
            <w:tcW w:type="dxa" w:w="6912"/>
          </w:tcPr>
          <w:p>
            <w:pPr>
              <w:spacing w:after="20"/>
              <w:jc w:val="both"/>
            </w:pPr>
            <w:r>
              <w:rPr>
                <w:sz w:val="21"/>
              </w:rPr>
              <w:t>After log-IQR outlier removal and final de-duplication</w:t>
            </w:r>
          </w:p>
        </w:tc>
        <w:tc>
          <w:tcPr>
            <w:tcW w:type="dxa" w:w="2304"/>
          </w:tcPr>
          <w:p>
            <w:pPr>
              <w:spacing w:after="20"/>
              <w:jc w:val="both"/>
            </w:pPr>
            <w:r>
              <w:rPr>
                <w:sz w:val="21"/>
              </w:rPr>
              <w:t>79,390</w:t>
            </w:r>
          </w:p>
        </w:tc>
      </w:tr>
    </w:tbl>
    <w:p>
      <w:pPr>
        <w:pStyle w:val="Normal1"/>
        <w:spacing w:after="40" w:line="192" w:lineRule="auto"/>
        <w:jc w:val="both"/>
      </w:pPr>
    </w:p>
    <w:p>
      <w:pPr>
        <w:pStyle w:val="Normal1"/>
        <w:keepNext/>
        <w:spacing w:before="120" w:after="40"/>
      </w:pPr>
      <w:r>
        <w:rPr>
          <w:b/>
          <w:sz w:val="25"/>
        </w:rPr>
        <w:t>Learning outcome</w:t>
      </w:r>
    </w:p>
    <w:p>
      <w:pPr>
        <w:pStyle w:val="Normal1"/>
        <w:spacing w:after="120" w:line="360" w:lineRule="auto"/>
        <w:jc w:val="both"/>
      </w:pPr>
      <w:r>
        <w:rPr>
          <w:sz w:val="24"/>
        </w:rPr>
        <w:t>Every cleaning rule is a decision that can change the result, so each rule must be justified and documented. Using the log scale for outliers was important. A normal IQR rule on raw prices would have removed many genuine premium products.</w:t>
      </w:r>
    </w:p>
    <w:p>
      <w:pPr>
        <w:pStyle w:val="Normal1"/>
        <w:keepNext/>
        <w:spacing w:before="80"/>
        <w:jc w:val="center"/>
      </w:pPr>
      <w:r>
        <w:drawing>
          <wp:inline xmlns:a="http://schemas.openxmlformats.org/drawingml/2006/main" xmlns:pic="http://schemas.openxmlformats.org/drawingml/2006/picture">
            <wp:extent cx="4572000" cy="1111577"/>
            <wp:docPr id="870917305" name="Picture 870917305"/>
            <wp:cNvGraphicFramePr>
              <a:graphicFrameLocks noChangeAspect="1"/>
            </wp:cNvGraphicFramePr>
            <a:graphic>
              <a:graphicData uri="http://schemas.openxmlformats.org/drawingml/2006/picture">
                <pic:pic>
                  <pic:nvPicPr>
                    <pic:cNvPr id="0" name="nb_cell14.png"/>
                    <pic:cNvPicPr/>
                  </pic:nvPicPr>
                  <pic:blipFill>
                    <a:blip r:embed="rId20"/>
                    <a:stretch>
                      <a:fillRect/>
                    </a:stretch>
                  </pic:blipFill>
                  <pic:spPr>
                    <a:xfrm>
                      <a:off x="0" y="0"/>
                      <a:ext cx="4572000" cy="1111577"/>
                    </a:xfrm>
                    <a:prstGeom prst="rect"/>
                  </pic:spPr>
                </pic:pic>
              </a:graphicData>
            </a:graphic>
          </wp:inline>
        </w:drawing>
      </w:r>
    </w:p>
    <w:p>
      <w:pPr>
        <w:pStyle w:val="Caption"/>
        <w:spacing w:after="160"/>
        <w:jc w:val="center"/>
      </w:pPr>
      <w:r>
        <w:rPr>
          <w:i/>
          <w:sz w:val="21"/>
        </w:rPr>
        <w:t>Figure 2.6: Cleaning log produced by the pipeline</w:t>
      </w:r>
    </w:p>
    <w:p>
      <w:pPr>
        <w:pStyle w:val="Heading2"/>
        <w:pageBreakBefore/>
      </w:pPr>
      <w:r>
        <w:rPr>
          <w:b/>
          <w:color w:val="000000"/>
          <w:sz w:val="28"/>
        </w:rPr>
        <w:t>Day-7: Feature Engineering – Gender, Category and Unit Price</w:t>
      </w:r>
    </w:p>
    <w:p>
      <w:pPr>
        <w:pStyle w:val="Normal1"/>
        <w:spacing w:after="120" w:line="360" w:lineRule="auto"/>
        <w:jc w:val="both"/>
      </w:pPr>
      <w:r>
        <w:rPr>
          <w:b/>
          <w:sz w:val="24"/>
        </w:rPr>
        <w:t>Objective:</w:t>
      </w:r>
      <w:r>
        <w:rPr>
          <w:sz w:val="24"/>
        </w:rPr>
        <w:t xml:space="preserve"> create the variables needed for a fair comparison.</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b/>
          <w:sz w:val="24"/>
        </w:rPr>
        <w:t>Gender:</w:t>
      </w:r>
      <w:r>
        <w:rPr>
          <w:sz w:val="24"/>
        </w:rPr>
        <w:t xml:space="preserve"> built keyword rules in English (men, man's, him, gents, women, her, ladies, femme …) and Hindi (पुरुष, महिला). Titles that match both genders are excluded.</w:t>
      </w:r>
    </w:p>
    <w:p>
      <w:pPr>
        <w:pStyle w:val="Normal1"/>
        <w:numPr>
          <w:ilvl w:val="0"/>
          <w:numId w:val="201"/>
        </w:numPr>
        <w:spacing w:after="60" w:line="360" w:lineRule="auto"/>
        <w:ind w:left="720" w:hanging="360"/>
        <w:jc w:val="both"/>
      </w:pPr>
      <w:r>
        <w:rPr>
          <w:b/>
          <w:sz w:val="24"/>
        </w:rPr>
        <w:t>Category:</w:t>
      </w:r>
      <w:r>
        <w:rPr>
          <w:sz w:val="24"/>
        </w:rPr>
        <w:t xml:space="preserve"> wrote ordered regular-expression rules. For example, </w:t>
      </w:r>
      <w:r>
        <w:rPr>
          <w:i/>
          <w:sz w:val="24"/>
        </w:rPr>
        <w:t>attar</w:t>
      </w:r>
      <w:r>
        <w:rPr>
          <w:sz w:val="24"/>
        </w:rPr>
        <w:t xml:space="preserve"> is tested before </w:t>
      </w:r>
      <w:r>
        <w:rPr>
          <w:i/>
          <w:sz w:val="24"/>
        </w:rPr>
        <w:t>razor</w:t>
      </w:r>
      <w:r>
        <w:rPr>
          <w:sz w:val="24"/>
        </w:rPr>
        <w:t xml:space="preserve"> because the Hindi word for “treasure” (ट्रेजर) contains the letters of “razor” (रेजर). I found and fixed this bug during spot checks.</w:t>
      </w:r>
    </w:p>
    <w:p>
      <w:pPr>
        <w:pStyle w:val="Normal1"/>
        <w:numPr>
          <w:ilvl w:val="0"/>
          <w:numId w:val="201"/>
        </w:numPr>
        <w:spacing w:after="60" w:line="360" w:lineRule="auto"/>
        <w:ind w:left="720" w:hanging="360"/>
        <w:jc w:val="both"/>
      </w:pPr>
      <w:r>
        <w:rPr>
          <w:b/>
          <w:sz w:val="24"/>
        </w:rPr>
        <w:t>Pack size and unit price:</w:t>
      </w:r>
      <w:r>
        <w:rPr>
          <w:sz w:val="24"/>
        </w:rPr>
        <w:t xml:space="preserve"> extracted ml and g values from titles and calculated </w:t>
      </w:r>
      <w:r>
        <w:rPr>
          <w:b/>
          <w:sz w:val="24"/>
        </w:rPr>
        <w:t>₹ per 100 ml</w:t>
      </w:r>
      <w:r>
        <w:rPr>
          <w:sz w:val="24"/>
        </w:rPr>
        <w:t xml:space="preserve"> for liquids.</w:t>
      </w:r>
    </w:p>
    <w:p>
      <w:pPr>
        <w:pStyle w:val="Normal1"/>
        <w:numPr>
          <w:ilvl w:val="0"/>
          <w:numId w:val="201"/>
        </w:numPr>
        <w:spacing w:after="60" w:line="360" w:lineRule="auto"/>
        <w:ind w:left="720" w:hanging="360"/>
        <w:jc w:val="both"/>
      </w:pPr>
      <w:r>
        <w:rPr>
          <w:b/>
          <w:sz w:val="24"/>
        </w:rPr>
        <w:t>Discount %</w:t>
      </w:r>
      <w:r>
        <w:rPr>
          <w:sz w:val="24"/>
        </w:rPr>
        <w:t xml:space="preserve"> = (1 − selling price / MRP) × 100.</w:t>
      </w:r>
    </w:p>
    <w:p>
      <w:pPr>
        <w:pStyle w:val="Normal1"/>
        <w:numPr>
          <w:ilvl w:val="0"/>
          <w:numId w:val="201"/>
        </w:numPr>
        <w:spacing w:after="60" w:line="360" w:lineRule="auto"/>
        <w:ind w:left="720" w:hanging="360"/>
        <w:jc w:val="both"/>
      </w:pPr>
      <w:r>
        <w:rPr>
          <w:b/>
          <w:sz w:val="24"/>
        </w:rPr>
        <w:t>Segment:</w:t>
      </w:r>
      <w:r>
        <w:rPr>
          <w:sz w:val="24"/>
        </w:rPr>
        <w:t xml:space="preserve"> grouped categories into Apparel, Footwear, Accessories and Personal Care, and added an age group (Adult or Kids).</w:t>
      </w:r>
    </w:p>
    <w:p>
      <w:pPr>
        <w:pStyle w:val="Normal1"/>
        <w:numPr>
          <w:ilvl w:val="0"/>
          <w:numId w:val="201"/>
        </w:numPr>
        <w:spacing w:after="60" w:line="360" w:lineRule="auto"/>
        <w:ind w:left="720" w:hanging="360"/>
        <w:jc w:val="both"/>
      </w:pPr>
      <w:r>
        <w:rPr>
          <w:sz w:val="24"/>
        </w:rPr>
        <w:t xml:space="preserve">Saved the tidy master table (79,390 rows × 16 columns) as </w:t>
      </w:r>
      <w:r>
        <w:rPr>
          <w:i/>
          <w:sz w:val="24"/>
        </w:rPr>
        <w:t>pinktax_master.csv</w:t>
      </w:r>
      <w:r>
        <w:rPr>
          <w:sz w:val="24"/>
        </w:rPr>
        <w:t>.</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Automatic tagging must always be checked by reading real examples. Printing random samples for each category and gender showed mistakes that summary statistics would never reveal, such as hair-removal creams being counted as razors.</w:t>
      </w:r>
    </w:p>
    <w:p>
      <w:pPr>
        <w:pStyle w:val="Normal1"/>
        <w:keepNext/>
        <w:spacing w:before="80"/>
        <w:jc w:val="center"/>
      </w:pPr>
      <w:r>
        <w:drawing>
          <wp:inline xmlns:a="http://schemas.openxmlformats.org/drawingml/2006/main" xmlns:pic="http://schemas.openxmlformats.org/drawingml/2006/picture">
            <wp:extent cx="4445274" cy="3246119"/>
            <wp:docPr id="870917306" name="Picture 870917306"/>
            <wp:cNvGraphicFramePr>
              <a:graphicFrameLocks noChangeAspect="1"/>
            </wp:cNvGraphicFramePr>
            <a:graphic>
              <a:graphicData uri="http://schemas.openxmlformats.org/drawingml/2006/picture">
                <pic:pic>
                  <pic:nvPicPr>
                    <pic:cNvPr id="0" name="nb_cell12.png"/>
                    <pic:cNvPicPr/>
                  </pic:nvPicPr>
                  <pic:blipFill>
                    <a:blip r:embed="rId21"/>
                    <a:stretch>
                      <a:fillRect/>
                    </a:stretch>
                  </pic:blipFill>
                  <pic:spPr>
                    <a:xfrm>
                      <a:off x="0" y="0"/>
                      <a:ext cx="4445274" cy="3246119"/>
                    </a:xfrm>
                    <a:prstGeom prst="rect"/>
                  </pic:spPr>
                </pic:pic>
              </a:graphicData>
            </a:graphic>
          </wp:inline>
        </w:drawing>
      </w:r>
    </w:p>
    <w:p>
      <w:pPr>
        <w:pStyle w:val="Caption"/>
        <w:spacing w:after="160"/>
        <w:jc w:val="center"/>
      </w:pPr>
      <w:r>
        <w:rPr>
          <w:i/>
          <w:sz w:val="21"/>
        </w:rPr>
        <w:t>Figure 2.7: Output of the cleaning and tagging script: products per source, category and gender</w:t>
      </w:r>
    </w:p>
    <w:p>
      <w:pPr>
        <w:pStyle w:val="Heading2"/>
        <w:pageBreakBefore/>
      </w:pPr>
      <w:r>
        <w:rPr>
          <w:b/>
          <w:color w:val="000000"/>
          <w:sz w:val="28"/>
        </w:rPr>
        <w:t>Day-8: Exploratory Data Analysis (EDA)</w:t>
      </w:r>
    </w:p>
    <w:p>
      <w:pPr>
        <w:pStyle w:val="Normal1"/>
        <w:spacing w:after="120" w:line="360" w:lineRule="auto"/>
        <w:jc w:val="both"/>
      </w:pPr>
      <w:r>
        <w:rPr>
          <w:b/>
          <w:sz w:val="24"/>
        </w:rPr>
        <w:t>Objective:</w:t>
      </w:r>
      <w:r>
        <w:rPr>
          <w:sz w:val="24"/>
        </w:rPr>
        <w:t xml:space="preserve"> understand the shape of the data before testing anything.</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Built pivot tables of product counts and median prices by source, segment and gender.</w:t>
      </w:r>
    </w:p>
    <w:p>
      <w:pPr>
        <w:pStyle w:val="Normal1"/>
        <w:numPr>
          <w:ilvl w:val="0"/>
          <w:numId w:val="201"/>
        </w:numPr>
        <w:spacing w:after="60" w:line="360" w:lineRule="auto"/>
        <w:ind w:left="720" w:hanging="360"/>
        <w:jc w:val="both"/>
      </w:pPr>
      <w:r>
        <w:rPr>
          <w:sz w:val="24"/>
        </w:rPr>
        <w:t>Checked the distributions. Prices are strongly right-skewed, so medians and log prices are better summaries than means.</w:t>
      </w:r>
    </w:p>
    <w:p>
      <w:pPr>
        <w:pStyle w:val="Normal1"/>
        <w:numPr>
          <w:ilvl w:val="0"/>
          <w:numId w:val="201"/>
        </w:numPr>
        <w:spacing w:after="60" w:line="360" w:lineRule="auto"/>
        <w:ind w:left="720" w:hanging="360"/>
        <w:jc w:val="both"/>
      </w:pPr>
      <w:r>
        <w:rPr>
          <w:sz w:val="24"/>
        </w:rPr>
        <w:t>Compared means with medians. In personal care the mean women's price is 21% higher, but the median is 7% lower, because a few expensive women's perfumes pull the mean up.</w:t>
      </w:r>
    </w:p>
    <w:p>
      <w:pPr>
        <w:pStyle w:val="Normal1"/>
        <w:numPr>
          <w:ilvl w:val="0"/>
          <w:numId w:val="201"/>
        </w:numPr>
        <w:spacing w:after="60" w:line="360" w:lineRule="auto"/>
        <w:ind w:left="720" w:hanging="360"/>
        <w:jc w:val="both"/>
      </w:pPr>
      <w:r>
        <w:rPr>
          <w:sz w:val="24"/>
        </w:rPr>
        <w:t>Found that the sample is unbalanced: Myntra lists far more men's shirts and T-shirts, and far more women's kurtas and night suits.</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 xml:space="preserve">EDA stops the analysis from reaching the wrong conclusions. Comparing overall averages would be misleading because men's and women's catalogues contain different mixes of products. Every later comparison was therefore made </w:t>
      </w:r>
      <w:r>
        <w:rPr>
          <w:b/>
          <w:sz w:val="24"/>
        </w:rPr>
        <w:t>within</w:t>
      </w:r>
      <w:r>
        <w:rPr>
          <w:sz w:val="24"/>
        </w:rPr>
        <w:t xml:space="preserve"> a category.</w:t>
      </w:r>
    </w:p>
    <w:p>
      <w:pPr>
        <w:pStyle w:val="Normal1"/>
        <w:keepNext/>
        <w:spacing w:before="80"/>
        <w:jc w:val="center"/>
      </w:pPr>
      <w:r>
        <w:drawing>
          <wp:inline xmlns:a="http://schemas.openxmlformats.org/drawingml/2006/main" xmlns:pic="http://schemas.openxmlformats.org/drawingml/2006/picture">
            <wp:extent cx="5486400" cy="2168155"/>
            <wp:docPr id="870917307" name="Picture 870917307"/>
            <wp:cNvGraphicFramePr>
              <a:graphicFrameLocks noChangeAspect="1"/>
            </wp:cNvGraphicFramePr>
            <a:graphic>
              <a:graphicData uri="http://schemas.openxmlformats.org/drawingml/2006/picture">
                <pic:pic>
                  <pic:nvPicPr>
                    <pic:cNvPr id="0" name="fig02_dataset_composition.png"/>
                    <pic:cNvPicPr/>
                  </pic:nvPicPr>
                  <pic:blipFill>
                    <a:blip r:embed="rId22"/>
                    <a:stretch>
                      <a:fillRect/>
                    </a:stretch>
                  </pic:blipFill>
                  <pic:spPr>
                    <a:xfrm>
                      <a:off x="0" y="0"/>
                      <a:ext cx="5486400" cy="2168155"/>
                    </a:xfrm>
                    <a:prstGeom prst="rect"/>
                  </pic:spPr>
                </pic:pic>
              </a:graphicData>
            </a:graphic>
          </wp:inline>
        </w:drawing>
      </w:r>
    </w:p>
    <w:p>
      <w:pPr>
        <w:pStyle w:val="Caption"/>
        <w:spacing w:after="160"/>
        <w:jc w:val="center"/>
      </w:pPr>
      <w:r>
        <w:rPr>
          <w:i/>
          <w:sz w:val="21"/>
        </w:rPr>
        <w:t>Figure 2.8: Composition of the final dataset by source, segment and gender</w:t>
      </w:r>
    </w:p>
    <w:p>
      <w:pPr>
        <w:pStyle w:val="Normal1"/>
        <w:keepNext/>
        <w:spacing w:before="80"/>
        <w:jc w:val="center"/>
      </w:pPr>
      <w:r>
        <w:drawing>
          <wp:inline xmlns:a="http://schemas.openxmlformats.org/drawingml/2006/main" xmlns:pic="http://schemas.openxmlformats.org/drawingml/2006/picture">
            <wp:extent cx="5120640" cy="1438530"/>
            <wp:docPr id="870917308" name="Picture 870917308"/>
            <wp:cNvGraphicFramePr>
              <a:graphicFrameLocks noChangeAspect="1"/>
            </wp:cNvGraphicFramePr>
            <a:graphic>
              <a:graphicData uri="http://schemas.openxmlformats.org/drawingml/2006/picture">
                <pic:pic>
                  <pic:nvPicPr>
                    <pic:cNvPr id="0" name="nb_cell16.png"/>
                    <pic:cNvPicPr/>
                  </pic:nvPicPr>
                  <pic:blipFill>
                    <a:blip r:embed="rId23"/>
                    <a:stretch>
                      <a:fillRect/>
                    </a:stretch>
                  </pic:blipFill>
                  <pic:spPr>
                    <a:xfrm>
                      <a:off x="0" y="0"/>
                      <a:ext cx="5120640" cy="1438530"/>
                    </a:xfrm>
                    <a:prstGeom prst="rect"/>
                  </pic:spPr>
                </pic:pic>
              </a:graphicData>
            </a:graphic>
          </wp:inline>
        </w:drawing>
      </w:r>
    </w:p>
    <w:p>
      <w:pPr>
        <w:pStyle w:val="Caption"/>
        <w:spacing w:after="160"/>
        <w:jc w:val="center"/>
      </w:pPr>
      <w:r>
        <w:rPr>
          <w:i/>
          <w:sz w:val="21"/>
        </w:rPr>
        <w:t>Figure 2.9: Pivot table of product counts and median MRP</w:t>
      </w:r>
    </w:p>
    <w:p>
      <w:pPr>
        <w:pStyle w:val="Heading2"/>
        <w:pageBreakBefore/>
      </w:pPr>
      <w:r>
        <w:rPr>
          <w:b/>
          <w:color w:val="000000"/>
          <w:sz w:val="28"/>
        </w:rPr>
        <w:t>Day-9: Data Visualisation with Matplotlib, Seaborn and Plotly</w:t>
      </w:r>
    </w:p>
    <w:p>
      <w:pPr>
        <w:pStyle w:val="Normal1"/>
        <w:spacing w:after="120" w:line="360" w:lineRule="auto"/>
        <w:jc w:val="both"/>
      </w:pPr>
      <w:r>
        <w:rPr>
          <w:b/>
          <w:sz w:val="24"/>
        </w:rPr>
        <w:t>Objective:</w:t>
      </w:r>
      <w:r>
        <w:rPr>
          <w:sz w:val="24"/>
        </w:rPr>
        <w:t xml:space="preserve"> design clear and honest charts that explain the data.</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Chose one colour for women (pink) and one for men (blue) and checked that the pair can be told apart by colour-blind readers. The same colours are used in Python, Excel and Power BI.</w:t>
      </w:r>
    </w:p>
    <w:p>
      <w:pPr>
        <w:pStyle w:val="Normal1"/>
        <w:numPr>
          <w:ilvl w:val="0"/>
          <w:numId w:val="201"/>
        </w:numPr>
        <w:spacing w:after="60" w:line="360" w:lineRule="auto"/>
        <w:ind w:left="720" w:hanging="360"/>
        <w:jc w:val="both"/>
      </w:pPr>
      <w:r>
        <w:rPr>
          <w:sz w:val="24"/>
        </w:rPr>
        <w:t>Drew box plots on a log scale (Figure 2.10), grouped bar charts, dot plots with confidence intervals, histograms and a correlation heatmap.</w:t>
      </w:r>
    </w:p>
    <w:p>
      <w:pPr>
        <w:pStyle w:val="Normal1"/>
        <w:numPr>
          <w:ilvl w:val="0"/>
          <w:numId w:val="201"/>
        </w:numPr>
        <w:spacing w:after="60" w:line="360" w:lineRule="auto"/>
        <w:ind w:left="720" w:hanging="360"/>
        <w:jc w:val="both"/>
      </w:pPr>
      <w:r>
        <w:rPr>
          <w:sz w:val="24"/>
        </w:rPr>
        <w:t>Followed chart design rules: direct labels, a single axis, light grid lines, and titles that state what the chart shows.</w:t>
      </w:r>
    </w:p>
    <w:p>
      <w:pPr>
        <w:pStyle w:val="Normal1"/>
        <w:numPr>
          <w:ilvl w:val="0"/>
          <w:numId w:val="201"/>
        </w:numPr>
        <w:spacing w:after="60" w:line="360" w:lineRule="auto"/>
        <w:ind w:left="720" w:hanging="360"/>
        <w:jc w:val="both"/>
      </w:pPr>
      <w:r>
        <w:rPr>
          <w:sz w:val="24"/>
        </w:rPr>
        <w:t>Built an interactive Plotly chart where hovering over a category shows the sample sizes, medians and p-value.</w:t>
      </w:r>
    </w:p>
    <w:p>
      <w:pPr>
        <w:pStyle w:val="Normal1"/>
        <w:spacing w:after="0" w:line="144" w:lineRule="auto"/>
        <w:jc w:val="both"/>
      </w:pPr>
    </w:p>
    <w:p>
      <w:pPr>
        <w:pStyle w:val="Normal1"/>
        <w:keepNext/>
        <w:spacing w:before="80"/>
        <w:jc w:val="center"/>
      </w:pPr>
      <w:r>
        <w:drawing>
          <wp:inline xmlns:a="http://schemas.openxmlformats.org/drawingml/2006/main" xmlns:pic="http://schemas.openxmlformats.org/drawingml/2006/picture">
            <wp:extent cx="5486400" cy="2644210"/>
            <wp:docPr id="870917309" name="Picture 870917309"/>
            <wp:cNvGraphicFramePr>
              <a:graphicFrameLocks noChangeAspect="1"/>
            </wp:cNvGraphicFramePr>
            <a:graphic>
              <a:graphicData uri="http://schemas.openxmlformats.org/drawingml/2006/picture">
                <pic:pic>
                  <pic:nvPicPr>
                    <pic:cNvPr id="0" name="fig03_price_distribution.png"/>
                    <pic:cNvPicPr/>
                  </pic:nvPicPr>
                  <pic:blipFill>
                    <a:blip r:embed="rId24"/>
                    <a:stretch>
                      <a:fillRect/>
                    </a:stretch>
                  </pic:blipFill>
                  <pic:spPr>
                    <a:xfrm>
                      <a:off x="0" y="0"/>
                      <a:ext cx="5486400" cy="2644210"/>
                    </a:xfrm>
                    <a:prstGeom prst="rect"/>
                  </pic:spPr>
                </pic:pic>
              </a:graphicData>
            </a:graphic>
          </wp:inline>
        </w:drawing>
      </w:r>
    </w:p>
    <w:p>
      <w:pPr>
        <w:pStyle w:val="Caption"/>
        <w:spacing w:after="160"/>
        <w:jc w:val="center"/>
      </w:pPr>
      <w:r>
        <w:rPr>
          <w:i/>
          <w:sz w:val="21"/>
        </w:rPr>
        <w:t>Figure 2.10: MRP distribution by segment and gender (adults)</w:t>
      </w:r>
    </w:p>
    <w:p>
      <w:pPr>
        <w:pStyle w:val="Normal1"/>
        <w:keepNext/>
        <w:spacing w:before="120" w:after="40"/>
      </w:pPr>
      <w:r>
        <w:rPr>
          <w:b/>
          <w:sz w:val="25"/>
        </w:rPr>
        <w:t>Learning outcome</w:t>
      </w:r>
    </w:p>
    <w:p>
      <w:pPr>
        <w:pStyle w:val="Normal1"/>
        <w:spacing w:after="120" w:line="360" w:lineRule="auto"/>
        <w:jc w:val="both"/>
      </w:pPr>
      <w:r>
        <w:rPr>
          <w:sz w:val="24"/>
        </w:rPr>
        <w:t>A chart is an argument. The log scale made both cheap socks and expensive watches readable on one axis. The box plots already hint that adult women's median prices are not higher than men's in apparel and footwear.</w:t>
      </w:r>
    </w:p>
    <w:p>
      <w:pPr>
        <w:pStyle w:val="Normal1"/>
        <w:keepNext/>
        <w:spacing w:before="80"/>
        <w:jc w:val="center"/>
      </w:pPr>
      <w:r>
        <w:drawing>
          <wp:inline xmlns:a="http://schemas.openxmlformats.org/drawingml/2006/main" xmlns:pic="http://schemas.openxmlformats.org/drawingml/2006/picture">
            <wp:extent cx="5760720" cy="3246951"/>
            <wp:docPr id="870917310" name="Picture 870917310"/>
            <wp:cNvGraphicFramePr>
              <a:graphicFrameLocks noChangeAspect="1"/>
            </wp:cNvGraphicFramePr>
            <a:graphic>
              <a:graphicData uri="http://schemas.openxmlformats.org/drawingml/2006/picture">
                <pic:pic>
                  <pic:nvPicPr>
                    <pic:cNvPr id="0" name="plotly_interactive.png"/>
                    <pic:cNvPicPr/>
                  </pic:nvPicPr>
                  <pic:blipFill>
                    <a:blip r:embed="rId25"/>
                    <a:stretch>
                      <a:fillRect/>
                    </a:stretch>
                  </pic:blipFill>
                  <pic:spPr>
                    <a:xfrm>
                      <a:off x="0" y="0"/>
                      <a:ext cx="5760720" cy="3246951"/>
                    </a:xfrm>
                    <a:prstGeom prst="rect"/>
                  </pic:spPr>
                </pic:pic>
              </a:graphicData>
            </a:graphic>
          </wp:inline>
        </w:drawing>
      </w:r>
    </w:p>
    <w:p>
      <w:pPr>
        <w:pStyle w:val="Caption"/>
        <w:spacing w:after="160"/>
        <w:jc w:val="center"/>
      </w:pPr>
      <w:r>
        <w:rPr>
          <w:i/>
          <w:sz w:val="21"/>
        </w:rPr>
        <w:t>Figure 2.11: Interactive Plotly chart with hover details</w:t>
      </w:r>
    </w:p>
    <w:p>
      <w:pPr>
        <w:pStyle w:val="Heading2"/>
        <w:pageBreakBefore/>
      </w:pPr>
      <w:r>
        <w:rPr>
          <w:b/>
          <w:color w:val="000000"/>
          <w:sz w:val="28"/>
        </w:rPr>
        <w:t>Day-10: Hypothesis Testing Across 44 Categories</w:t>
      </w:r>
    </w:p>
    <w:p>
      <w:pPr>
        <w:pStyle w:val="Normal1"/>
        <w:spacing w:after="120" w:line="360" w:lineRule="auto"/>
        <w:jc w:val="both"/>
      </w:pPr>
      <w:r>
        <w:rPr>
          <w:b/>
          <w:sz w:val="24"/>
        </w:rPr>
        <w:t>Objective:</w:t>
      </w:r>
      <w:r>
        <w:rPr>
          <w:sz w:val="24"/>
        </w:rPr>
        <w:t xml:space="preserve"> test, category by category, whether women's and men's prices differ.</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 xml:space="preserve">Used the </w:t>
      </w:r>
      <w:r>
        <w:rPr>
          <w:b/>
          <w:sz w:val="24"/>
        </w:rPr>
        <w:t>Mann-Whitney U test</w:t>
      </w:r>
      <w:r>
        <w:rPr>
          <w:sz w:val="24"/>
        </w:rPr>
        <w:t xml:space="preserve">, which does not assume a normal distribution, and </w:t>
      </w:r>
      <w:r>
        <w:rPr>
          <w:b/>
          <w:sz w:val="24"/>
        </w:rPr>
        <w:t>Welch's t-test on log price</w:t>
      </w:r>
      <w:r>
        <w:rPr>
          <w:sz w:val="24"/>
        </w:rPr>
        <w:t>, which allows unequal variances.</w:t>
      </w:r>
    </w:p>
    <w:p>
      <w:pPr>
        <w:pStyle w:val="Normal1"/>
        <w:numPr>
          <w:ilvl w:val="0"/>
          <w:numId w:val="201"/>
        </w:numPr>
        <w:spacing w:after="60" w:line="360" w:lineRule="auto"/>
        <w:ind w:left="720" w:hanging="360"/>
        <w:jc w:val="both"/>
      </w:pPr>
      <w:r>
        <w:rPr>
          <w:sz w:val="24"/>
        </w:rPr>
        <w:t xml:space="preserve">Measured the effect size with </w:t>
      </w:r>
      <w:r>
        <w:rPr>
          <w:b/>
          <w:sz w:val="24"/>
        </w:rPr>
        <w:t>Cohen's d</w:t>
      </w:r>
      <w:r>
        <w:rPr>
          <w:sz w:val="24"/>
        </w:rPr>
        <w:t xml:space="preserve"> and computed </w:t>
      </w:r>
      <w:r>
        <w:rPr>
          <w:b/>
          <w:sz w:val="24"/>
        </w:rPr>
        <w:t>bootstrap 95% confidence intervals</w:t>
      </w:r>
      <w:r>
        <w:rPr>
          <w:sz w:val="24"/>
        </w:rPr>
        <w:t xml:space="preserve"> (2,000 resamples) for the median premium.</w:t>
      </w:r>
    </w:p>
    <w:p>
      <w:pPr>
        <w:pStyle w:val="Normal1"/>
        <w:numPr>
          <w:ilvl w:val="0"/>
          <w:numId w:val="201"/>
        </w:numPr>
        <w:spacing w:after="60" w:line="360" w:lineRule="auto"/>
        <w:ind w:left="720" w:hanging="360"/>
        <w:jc w:val="both"/>
      </w:pPr>
      <w:r>
        <w:rPr>
          <w:sz w:val="24"/>
        </w:rPr>
        <w:t xml:space="preserve">Corrected for testing 44 categories at once with the </w:t>
      </w:r>
      <w:r>
        <w:rPr>
          <w:b/>
          <w:sz w:val="24"/>
        </w:rPr>
        <w:t>Benjamini-Hochberg</w:t>
      </w:r>
      <w:r>
        <w:rPr>
          <w:sz w:val="24"/>
        </w:rPr>
        <w:t xml:space="preserve"> false-discovery-rate method.</w:t>
      </w:r>
    </w:p>
    <w:p>
      <w:pPr>
        <w:pStyle w:val="Normal1"/>
        <w:numPr>
          <w:ilvl w:val="0"/>
          <w:numId w:val="201"/>
        </w:numPr>
        <w:spacing w:after="60" w:line="360" w:lineRule="auto"/>
        <w:ind w:left="720" w:hanging="360"/>
        <w:jc w:val="both"/>
      </w:pPr>
      <w:r>
        <w:rPr>
          <w:sz w:val="24"/>
        </w:rPr>
        <w:t>Worked example: adult T-shirts on Myntra had a median of ₹999 for women vs ₹1,299 for men (−23%, p &lt; 10⁻¹⁰⁰).</w:t>
      </w:r>
    </w:p>
    <w:p>
      <w:pPr>
        <w:pStyle w:val="Normal1"/>
        <w:spacing w:after="0" w:line="144" w:lineRule="auto"/>
        <w:jc w:val="both"/>
      </w:pPr>
    </w:p>
    <w:p>
      <w:pPr>
        <w:pStyle w:val="Normal1"/>
        <w:keepNext/>
        <w:spacing w:before="120" w:after="40"/>
      </w:pPr>
      <w:r>
        <w:rPr>
          <w:b/>
          <w:sz w:val="25"/>
        </w:rPr>
        <w:t>Result</w:t>
      </w:r>
    </w:p>
    <w:p>
      <w:pPr>
        <w:pStyle w:val="Normal1"/>
        <w:spacing w:after="120" w:line="360" w:lineRule="auto"/>
        <w:jc w:val="both"/>
      </w:pPr>
      <w:r>
        <w:rPr>
          <w:sz w:val="24"/>
        </w:rPr>
        <w:t xml:space="preserve">Women pay significantly more in </w:t>
      </w:r>
      <w:r>
        <w:rPr>
          <w:b/>
          <w:sz w:val="24"/>
        </w:rPr>
        <w:t>4 of 44</w:t>
      </w:r>
      <w:r>
        <w:rPr>
          <w:sz w:val="24"/>
        </w:rPr>
        <w:t xml:space="preserve"> categories: girls' night suits (+78%), innerwear (+33%), kids' clothing sets (+11%) and sports shoes (+5%). Men pay more in </w:t>
      </w:r>
      <w:r>
        <w:rPr>
          <w:b/>
          <w:sz w:val="24"/>
        </w:rPr>
        <w:t>22</w:t>
      </w:r>
      <w:r>
        <w:rPr>
          <w:sz w:val="24"/>
        </w:rPr>
        <w:t xml:space="preserve"> categories, including belts (−43%), blazers (−36%), sunglasses (−32%) and jackets (−25%). The other 18 categories show no significant gap.</w:t>
      </w:r>
    </w:p>
    <w:p>
      <w:pPr>
        <w:pStyle w:val="Normal1"/>
        <w:keepNext/>
        <w:spacing w:before="80"/>
        <w:jc w:val="center"/>
      </w:pPr>
      <w:r>
        <w:drawing>
          <wp:inline xmlns:a="http://schemas.openxmlformats.org/drawingml/2006/main" xmlns:pic="http://schemas.openxmlformats.org/drawingml/2006/picture">
            <wp:extent cx="4068666" cy="3977640"/>
            <wp:docPr id="870917311" name="Picture 870917311"/>
            <wp:cNvGraphicFramePr>
              <a:graphicFrameLocks noChangeAspect="1"/>
            </wp:cNvGraphicFramePr>
            <a:graphic>
              <a:graphicData uri="http://schemas.openxmlformats.org/drawingml/2006/picture">
                <pic:pic>
                  <pic:nvPicPr>
                    <pic:cNvPr id="0" name="fig04_category_premium.png"/>
                    <pic:cNvPicPr/>
                  </pic:nvPicPr>
                  <pic:blipFill>
                    <a:blip r:embed="rId26"/>
                    <a:stretch>
                      <a:fillRect/>
                    </a:stretch>
                  </pic:blipFill>
                  <pic:spPr>
                    <a:xfrm>
                      <a:off x="0" y="0"/>
                      <a:ext cx="4068666" cy="3977640"/>
                    </a:xfrm>
                    <a:prstGeom prst="rect"/>
                  </pic:spPr>
                </pic:pic>
              </a:graphicData>
            </a:graphic>
          </wp:inline>
        </w:drawing>
      </w:r>
    </w:p>
    <w:p>
      <w:pPr>
        <w:pStyle w:val="Caption"/>
        <w:spacing w:after="160"/>
        <w:jc w:val="center"/>
      </w:pPr>
      <w:r>
        <w:rPr>
          <w:i/>
          <w:sz w:val="21"/>
        </w:rPr>
        <w:t>Figure 2.12: Median price gap for 44 categories with 95% confidence intervals</w:t>
      </w:r>
    </w:p>
    <w:p>
      <w:pPr>
        <w:pStyle w:val="Heading2"/>
        <w:pageBreakBefore/>
      </w:pPr>
      <w:r>
        <w:rPr>
          <w:b/>
          <w:color w:val="000000"/>
          <w:sz w:val="28"/>
        </w:rPr>
        <w:t>Day-11: Comparing Like with Like – Unit Price and Brand-Matched Pairs</w:t>
      </w:r>
    </w:p>
    <w:p>
      <w:pPr>
        <w:pStyle w:val="Normal1"/>
        <w:spacing w:after="120" w:line="360" w:lineRule="auto"/>
        <w:jc w:val="both"/>
      </w:pPr>
      <w:r>
        <w:rPr>
          <w:b/>
          <w:sz w:val="24"/>
        </w:rPr>
        <w:t>Objective:</w:t>
      </w:r>
      <w:r>
        <w:rPr>
          <w:sz w:val="24"/>
        </w:rPr>
        <w:t xml:space="preserve"> remove the effect of pack size and brand from the comparison.</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 xml:space="preserve">Compared </w:t>
      </w:r>
      <w:r>
        <w:rPr>
          <w:b/>
          <w:sz w:val="24"/>
        </w:rPr>
        <w:t>₹ per 100 ml</w:t>
      </w:r>
      <w:r>
        <w:rPr>
          <w:sz w:val="24"/>
        </w:rPr>
        <w:t xml:space="preserve"> for deodorants, perfumes, body wash, face wash and shampoo. No category showed a significant gap. Deodorant, for example, was ₹210 vs ₹201 per 100 ml (+4.6%, p = 0.80).</w:t>
      </w:r>
    </w:p>
    <w:p>
      <w:pPr>
        <w:pStyle w:val="Normal1"/>
        <w:numPr>
          <w:ilvl w:val="0"/>
          <w:numId w:val="201"/>
        </w:numPr>
        <w:spacing w:after="60" w:line="360" w:lineRule="auto"/>
        <w:ind w:left="720" w:hanging="360"/>
        <w:jc w:val="both"/>
      </w:pPr>
      <w:r>
        <w:rPr>
          <w:sz w:val="24"/>
        </w:rPr>
        <w:t xml:space="preserve">Built </w:t>
      </w:r>
      <w:r>
        <w:rPr>
          <w:b/>
          <w:sz w:val="24"/>
        </w:rPr>
        <w:t>860 brand-matched pairs</w:t>
      </w:r>
      <w:r>
        <w:rPr>
          <w:sz w:val="24"/>
        </w:rPr>
        <w:t>, each one brand selling both a men's and a women's line in the same category, and compared the two median prices.</w:t>
      </w:r>
    </w:p>
    <w:p>
      <w:pPr>
        <w:pStyle w:val="Normal1"/>
        <w:numPr>
          <w:ilvl w:val="0"/>
          <w:numId w:val="201"/>
        </w:numPr>
        <w:spacing w:after="60" w:line="360" w:lineRule="auto"/>
        <w:ind w:left="720" w:hanging="360"/>
        <w:jc w:val="both"/>
      </w:pPr>
      <w:r>
        <w:rPr>
          <w:sz w:val="24"/>
        </w:rPr>
        <w:t xml:space="preserve">Tested the pairs with the </w:t>
      </w:r>
      <w:r>
        <w:rPr>
          <w:b/>
          <w:sz w:val="24"/>
        </w:rPr>
        <w:t>Wilcoxon signed-rank test</w:t>
      </w:r>
      <w:r>
        <w:rPr>
          <w:sz w:val="24"/>
        </w:rPr>
        <w:t xml:space="preserve"> and a </w:t>
      </w:r>
      <w:r>
        <w:rPr>
          <w:b/>
          <w:sz w:val="24"/>
        </w:rPr>
        <w:t>sign test</w:t>
      </w:r>
      <w:r>
        <w:rPr>
          <w:sz w:val="24"/>
        </w:rPr>
        <w:t>, and used a chi-square test to check whether the outcomes differ by segment.</w:t>
      </w:r>
    </w:p>
    <w:p>
      <w:pPr>
        <w:pStyle w:val="Normal1"/>
        <w:spacing w:after="0" w:line="144" w:lineRule="auto"/>
        <w:jc w:val="both"/>
      </w:pPr>
    </w:p>
    <w:p>
      <w:pPr>
        <w:pStyle w:val="Normal1"/>
        <w:keepNext/>
        <w:spacing w:before="80"/>
        <w:jc w:val="center"/>
      </w:pPr>
      <w:r>
        <w:drawing>
          <wp:inline xmlns:a="http://schemas.openxmlformats.org/drawingml/2006/main" xmlns:pic="http://schemas.openxmlformats.org/drawingml/2006/picture">
            <wp:extent cx="3830702" cy="3246119"/>
            <wp:docPr id="870917312" name="Picture 870917312"/>
            <wp:cNvGraphicFramePr>
              <a:graphicFrameLocks noChangeAspect="1"/>
            </wp:cNvGraphicFramePr>
            <a:graphic>
              <a:graphicData uri="http://schemas.openxmlformats.org/drawingml/2006/picture">
                <pic:pic>
                  <pic:nvPicPr>
                    <pic:cNvPr id="0" name="fig06_brand_pairs_scatter.png"/>
                    <pic:cNvPicPr/>
                  </pic:nvPicPr>
                  <pic:blipFill>
                    <a:blip r:embed="rId27"/>
                    <a:stretch>
                      <a:fillRect/>
                    </a:stretch>
                  </pic:blipFill>
                  <pic:spPr>
                    <a:xfrm>
                      <a:off x="0" y="0"/>
                      <a:ext cx="3830702" cy="3246119"/>
                    </a:xfrm>
                    <a:prstGeom prst="rect"/>
                  </pic:spPr>
                </pic:pic>
              </a:graphicData>
            </a:graphic>
          </wp:inline>
        </w:drawing>
      </w:r>
    </w:p>
    <w:p>
      <w:pPr>
        <w:pStyle w:val="Caption"/>
        <w:spacing w:after="160"/>
        <w:jc w:val="center"/>
      </w:pPr>
      <w:r>
        <w:rPr>
          <w:i/>
          <w:sz w:val="21"/>
        </w:rPr>
        <w:t>Figure 2.13: Brand-matched pairs. Points above the line mean the women's line is dearer</w:t>
      </w:r>
    </w:p>
    <w:p>
      <w:pPr>
        <w:pStyle w:val="Normal1"/>
        <w:keepNext/>
        <w:spacing w:before="120" w:after="40"/>
      </w:pPr>
      <w:r>
        <w:rPr>
          <w:b/>
          <w:sz w:val="25"/>
        </w:rPr>
        <w:t>Result</w:t>
      </w:r>
    </w:p>
    <w:p>
      <w:pPr>
        <w:pStyle w:val="Normal1"/>
        <w:spacing w:after="120" w:line="360" w:lineRule="auto"/>
        <w:jc w:val="both"/>
      </w:pPr>
      <w:r>
        <w:rPr>
          <w:sz w:val="24"/>
        </w:rPr>
        <w:t xml:space="preserve">The women's version was dearer in </w:t>
      </w:r>
      <w:r>
        <w:rPr>
          <w:b/>
          <w:sz w:val="24"/>
        </w:rPr>
        <w:t>27%</w:t>
      </w:r>
      <w:r>
        <w:rPr>
          <w:sz w:val="24"/>
        </w:rPr>
        <w:t xml:space="preserve"> of pairs, the men's in </w:t>
      </w:r>
      <w:r>
        <w:rPr>
          <w:b/>
          <w:sz w:val="24"/>
        </w:rPr>
        <w:t>54%</w:t>
      </w:r>
      <w:r>
        <w:rPr>
          <w:sz w:val="24"/>
        </w:rPr>
        <w:t xml:space="preserve">, and 18% were within ±2%. The typical gap was </w:t>
      </w:r>
      <w:r>
        <w:rPr>
          <w:b/>
          <w:sz w:val="24"/>
        </w:rPr>
        <w:t>−5.9%</w:t>
      </w:r>
      <w:r>
        <w:rPr>
          <w:sz w:val="24"/>
        </w:rPr>
        <w:t xml:space="preserve"> (95% CI −7.7% to −4.0%, p &lt; 0.001). Personal care was the only balanced segment (35% vs 37%, p = 0.93), and the outcome depends on the segment (χ² = 37.0, p &lt; 0.001).</w:t>
      </w:r>
    </w:p>
    <w:p>
      <w:pPr>
        <w:pStyle w:val="Normal1"/>
        <w:keepNext/>
        <w:spacing w:before="80"/>
        <w:jc w:val="center"/>
      </w:pPr>
      <w:r>
        <w:drawing>
          <wp:inline xmlns:a="http://schemas.openxmlformats.org/drawingml/2006/main" xmlns:pic="http://schemas.openxmlformats.org/drawingml/2006/picture">
            <wp:extent cx="5120640" cy="2196137"/>
            <wp:docPr id="870917313" name="Picture 870917313"/>
            <wp:cNvGraphicFramePr>
              <a:graphicFrameLocks noChangeAspect="1"/>
            </wp:cNvGraphicFramePr>
            <a:graphic>
              <a:graphicData uri="http://schemas.openxmlformats.org/drawingml/2006/picture">
                <pic:pic>
                  <pic:nvPicPr>
                    <pic:cNvPr id="0" name="fig07_pairs_outcome.png"/>
                    <pic:cNvPicPr/>
                  </pic:nvPicPr>
                  <pic:blipFill>
                    <a:blip r:embed="rId28"/>
                    <a:stretch>
                      <a:fillRect/>
                    </a:stretch>
                  </pic:blipFill>
                  <pic:spPr>
                    <a:xfrm>
                      <a:off x="0" y="0"/>
                      <a:ext cx="5120640" cy="2196137"/>
                    </a:xfrm>
                    <a:prstGeom prst="rect"/>
                  </pic:spPr>
                </pic:pic>
              </a:graphicData>
            </a:graphic>
          </wp:inline>
        </w:drawing>
      </w:r>
    </w:p>
    <w:p>
      <w:pPr>
        <w:pStyle w:val="Caption"/>
        <w:spacing w:after="160"/>
        <w:jc w:val="center"/>
      </w:pPr>
      <w:r>
        <w:rPr>
          <w:i/>
          <w:sz w:val="21"/>
        </w:rPr>
        <w:t>Figure 2.14: Share of pairs where each version is dearer, by segment</w:t>
      </w:r>
    </w:p>
    <w:p>
      <w:pPr>
        <w:pStyle w:val="Heading2"/>
        <w:pageBreakBefore/>
      </w:pPr>
      <w:r>
        <w:rPr>
          <w:b/>
          <w:color w:val="000000"/>
          <w:sz w:val="28"/>
        </w:rPr>
        <w:t>Day-12: Regression with Fixed Effects (Statsmodels)</w:t>
      </w:r>
    </w:p>
    <w:p>
      <w:pPr>
        <w:pStyle w:val="Normal1"/>
        <w:spacing w:after="120" w:line="360" w:lineRule="auto"/>
        <w:jc w:val="both"/>
      </w:pPr>
      <w:r>
        <w:rPr>
          <w:b/>
          <w:sz w:val="24"/>
        </w:rPr>
        <w:t>Objective:</w:t>
      </w:r>
      <w:r>
        <w:rPr>
          <w:sz w:val="24"/>
        </w:rPr>
        <w:t xml:space="preserve"> estimate the gender premium while controlling for brand and category.</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 xml:space="preserve">Fitted OLS models of the form </w:t>
      </w:r>
      <w:r>
        <w:rPr>
          <w:b/>
          <w:sz w:val="24"/>
        </w:rPr>
        <w:t>log(MRP) = β·Female + group effects</w:t>
      </w:r>
      <w:r>
        <w:rPr>
          <w:sz w:val="24"/>
        </w:rPr>
        <w:t>, where eᵝ − 1 is the percentage premium.</w:t>
      </w:r>
    </w:p>
    <w:p>
      <w:pPr>
        <w:pStyle w:val="Normal1"/>
        <w:numPr>
          <w:ilvl w:val="0"/>
          <w:numId w:val="201"/>
        </w:numPr>
        <w:spacing w:after="60" w:line="360" w:lineRule="auto"/>
        <w:ind w:left="720" w:hanging="360"/>
        <w:jc w:val="both"/>
      </w:pPr>
      <w:r>
        <w:rPr>
          <w:sz w:val="24"/>
        </w:rPr>
        <w:t xml:space="preserve">Used the </w:t>
      </w:r>
      <w:r>
        <w:rPr>
          <w:i/>
          <w:sz w:val="24"/>
        </w:rPr>
        <w:t>within</w:t>
      </w:r>
      <w:r>
        <w:rPr>
          <w:sz w:val="24"/>
        </w:rPr>
        <w:t xml:space="preserve"> (demeaning) estimator for brand × category fixed effects and </w:t>
      </w:r>
      <w:r>
        <w:rPr>
          <w:b/>
          <w:sz w:val="24"/>
        </w:rPr>
        <w:t>clustered standard errors by brand</w:t>
      </w:r>
      <w:r>
        <w:rPr>
          <w:sz w:val="24"/>
        </w:rPr>
        <w:t>.</w:t>
      </w:r>
    </w:p>
    <w:p>
      <w:pPr>
        <w:pStyle w:val="Normal1"/>
        <w:numPr>
          <w:ilvl w:val="0"/>
          <w:numId w:val="201"/>
        </w:numPr>
        <w:spacing w:after="60" w:line="360" w:lineRule="auto"/>
        <w:ind w:left="720" w:hanging="360"/>
        <w:jc w:val="both"/>
      </w:pPr>
      <w:r>
        <w:rPr>
          <w:sz w:val="24"/>
        </w:rPr>
        <w:t>Estimated separate models for each segment, for kids, and for price per 100 ml.</w:t>
      </w:r>
    </w:p>
    <w:p>
      <w:pPr>
        <w:pStyle w:val="Normal1"/>
        <w:numPr>
          <w:ilvl w:val="0"/>
          <w:numId w:val="201"/>
        </w:numPr>
        <w:spacing w:after="60" w:line="360" w:lineRule="auto"/>
        <w:ind w:left="720" w:hanging="360"/>
        <w:jc w:val="both"/>
      </w:pPr>
      <w:r>
        <w:rPr>
          <w:sz w:val="24"/>
        </w:rPr>
        <w:t xml:space="preserve">Checked for a </w:t>
      </w:r>
      <w:r>
        <w:rPr>
          <w:b/>
          <w:sz w:val="24"/>
        </w:rPr>
        <w:t>composition effect</w:t>
      </w:r>
      <w:r>
        <w:rPr>
          <w:sz w:val="24"/>
        </w:rPr>
        <w:t>: kids' products look 18% dearer for girls overall, but the gap disappears within categories because girls' categories (kurta sets, clothing sets) are pricier in general.</w:t>
      </w:r>
    </w:p>
    <w:p>
      <w:pPr>
        <w:pStyle w:val="Normal1"/>
        <w:spacing w:after="0" w:line="144" w:lineRule="auto"/>
        <w:jc w:val="both"/>
      </w:pPr>
    </w:p>
    <w:p>
      <w:pPr>
        <w:pStyle w:val="Normal1"/>
        <w:keepNext/>
        <w:spacing w:before="80"/>
        <w:jc w:val="center"/>
      </w:pPr>
      <w:r>
        <w:drawing>
          <wp:inline xmlns:a="http://schemas.openxmlformats.org/drawingml/2006/main" xmlns:pic="http://schemas.openxmlformats.org/drawingml/2006/picture">
            <wp:extent cx="5486400" cy="2291754"/>
            <wp:docPr id="870917314" name="Picture 870917314"/>
            <wp:cNvGraphicFramePr>
              <a:graphicFrameLocks noChangeAspect="1"/>
            </wp:cNvGraphicFramePr>
            <a:graphic>
              <a:graphicData uri="http://schemas.openxmlformats.org/drawingml/2006/picture">
                <pic:pic>
                  <pic:nvPicPr>
                    <pic:cNvPr id="0" name="fig08_regression_forest.png"/>
                    <pic:cNvPicPr/>
                  </pic:nvPicPr>
                  <pic:blipFill>
                    <a:blip r:embed="rId29"/>
                    <a:stretch>
                      <a:fillRect/>
                    </a:stretch>
                  </pic:blipFill>
                  <pic:spPr>
                    <a:xfrm>
                      <a:off x="0" y="0"/>
                      <a:ext cx="5486400" cy="2291754"/>
                    </a:xfrm>
                    <a:prstGeom prst="rect"/>
                  </pic:spPr>
                </pic:pic>
              </a:graphicData>
            </a:graphic>
          </wp:inline>
        </w:drawing>
      </w:r>
    </w:p>
    <w:p>
      <w:pPr>
        <w:pStyle w:val="Caption"/>
        <w:spacing w:after="160"/>
        <w:jc w:val="center"/>
      </w:pPr>
      <w:r>
        <w:rPr>
          <w:i/>
          <w:sz w:val="21"/>
        </w:rPr>
        <w:t>Figure 2.15: Fixed-effects estimates of the women's price premium</w:t>
      </w:r>
    </w:p>
    <w:p>
      <w:pPr>
        <w:pStyle w:val="Normal1"/>
        <w:keepNext/>
        <w:spacing w:before="120" w:after="40"/>
      </w:pPr>
      <w:r>
        <w:rPr>
          <w:b/>
          <w:sz w:val="25"/>
        </w:rPr>
        <w:t>Result</w:t>
      </w:r>
    </w:p>
    <w:p>
      <w:pPr>
        <w:pStyle w:val="Normal1"/>
        <w:spacing w:after="120" w:line="360" w:lineRule="auto"/>
        <w:jc w:val="both"/>
      </w:pPr>
      <w:r>
        <w:rPr>
          <w:sz w:val="24"/>
        </w:rPr>
        <w:t xml:space="preserve">Within the same brand and category, adult women's products are </w:t>
      </w:r>
      <w:r>
        <w:rPr>
          <w:b/>
          <w:sz w:val="24"/>
        </w:rPr>
        <w:t>7.7% cheaper</w:t>
      </w:r>
      <w:r>
        <w:rPr>
          <w:sz w:val="24"/>
        </w:rPr>
        <w:t xml:space="preserve"> (95% CI −9.8% to −5.6%). Accessories show no gap (+0.4%, p = 0.93), and personal care per 100 ml shows no gap (+1.2%, p = 0.63). The kids' premium is not significant (−4.8%, p = 0.38).</w:t>
      </w:r>
    </w:p>
    <w:p>
      <w:pPr>
        <w:pStyle w:val="Normal1"/>
        <w:keepNext/>
        <w:spacing w:before="80"/>
        <w:jc w:val="center"/>
      </w:pPr>
      <w:r>
        <w:drawing>
          <wp:inline xmlns:a="http://schemas.openxmlformats.org/drawingml/2006/main" xmlns:pic="http://schemas.openxmlformats.org/drawingml/2006/picture">
            <wp:extent cx="4937760" cy="2285011"/>
            <wp:docPr id="870917315" name="Picture 870917315"/>
            <wp:cNvGraphicFramePr>
              <a:graphicFrameLocks noChangeAspect="1"/>
            </wp:cNvGraphicFramePr>
            <a:graphic>
              <a:graphicData uri="http://schemas.openxmlformats.org/drawingml/2006/picture">
                <pic:pic>
                  <pic:nvPicPr>
                    <pic:cNvPr id="0" name="fig11_composition_effect.png"/>
                    <pic:cNvPicPr/>
                  </pic:nvPicPr>
                  <pic:blipFill>
                    <a:blip r:embed="rId30"/>
                    <a:stretch>
                      <a:fillRect/>
                    </a:stretch>
                  </pic:blipFill>
                  <pic:spPr>
                    <a:xfrm>
                      <a:off x="0" y="0"/>
                      <a:ext cx="4937760" cy="2285011"/>
                    </a:xfrm>
                    <a:prstGeom prst="rect"/>
                  </pic:spPr>
                </pic:pic>
              </a:graphicData>
            </a:graphic>
          </wp:inline>
        </w:drawing>
      </w:r>
    </w:p>
    <w:p>
      <w:pPr>
        <w:pStyle w:val="Caption"/>
        <w:spacing w:after="160"/>
        <w:jc w:val="center"/>
      </w:pPr>
      <w:r>
        <w:rPr>
          <w:i/>
          <w:sz w:val="21"/>
        </w:rPr>
        <w:t>Figure 2.16: How the answer changes when like is compared with like</w:t>
      </w:r>
    </w:p>
    <w:p>
      <w:pPr>
        <w:pStyle w:val="Heading2"/>
        <w:pageBreakBefore/>
      </w:pPr>
      <w:r>
        <w:rPr>
          <w:b/>
          <w:color w:val="000000"/>
          <w:sz w:val="28"/>
        </w:rPr>
        <w:t>Day-13: Discount Analysis and Machine Learning (scikit-learn)</w:t>
      </w:r>
    </w:p>
    <w:p>
      <w:pPr>
        <w:pStyle w:val="Normal1"/>
        <w:spacing w:after="120" w:line="360" w:lineRule="auto"/>
        <w:jc w:val="both"/>
      </w:pPr>
      <w:r>
        <w:rPr>
          <w:b/>
          <w:sz w:val="24"/>
        </w:rPr>
        <w:t>Objective:</w:t>
      </w:r>
      <w:r>
        <w:rPr>
          <w:sz w:val="24"/>
        </w:rPr>
        <w:t xml:space="preserve"> check whether discounts change the picture, and measure how much gender really explains price.</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Compared discounts. Women's items carry deeper discounts (</w:t>
      </w:r>
      <w:r>
        <w:rPr>
          <w:b/>
          <w:sz w:val="24"/>
        </w:rPr>
        <w:t>36.7% vs 32.9%</w:t>
      </w:r>
      <w:r>
        <w:rPr>
          <w:sz w:val="24"/>
        </w:rPr>
        <w:t>, p &lt; 0.001), especially in apparel and accessories.</w:t>
      </w:r>
    </w:p>
    <w:p>
      <w:pPr>
        <w:pStyle w:val="Normal1"/>
        <w:numPr>
          <w:ilvl w:val="0"/>
          <w:numId w:val="201"/>
        </w:numPr>
        <w:spacing w:after="60" w:line="360" w:lineRule="auto"/>
        <w:ind w:left="720" w:hanging="360"/>
        <w:jc w:val="both"/>
      </w:pPr>
      <w:r>
        <w:rPr>
          <w:sz w:val="24"/>
        </w:rPr>
        <w:t xml:space="preserve">Repeated the category tests on the </w:t>
      </w:r>
      <w:r>
        <w:rPr>
          <w:b/>
          <w:sz w:val="24"/>
        </w:rPr>
        <w:t>selling price</w:t>
      </w:r>
      <w:r>
        <w:rPr>
          <w:sz w:val="24"/>
        </w:rPr>
        <w:t xml:space="preserve">. The innerwear premium flips from +33% on MRP to −11% after discounts. BigBasket women's deodorants go from no gap to </w:t>
      </w:r>
      <w:r>
        <w:rPr>
          <w:b/>
          <w:sz w:val="24"/>
        </w:rPr>
        <w:t>+17%</w:t>
      </w:r>
      <w:r>
        <w:rPr>
          <w:sz w:val="24"/>
        </w:rPr>
        <w:t>, because they are discounted less. This is a Pink Tax at the point of sale.</w:t>
      </w:r>
    </w:p>
    <w:p>
      <w:pPr>
        <w:pStyle w:val="Normal1"/>
        <w:numPr>
          <w:ilvl w:val="0"/>
          <w:numId w:val="201"/>
        </w:numPr>
        <w:spacing w:after="60" w:line="360" w:lineRule="auto"/>
        <w:ind w:left="720" w:hanging="360"/>
        <w:jc w:val="both"/>
      </w:pPr>
      <w:r>
        <w:rPr>
          <w:sz w:val="24"/>
        </w:rPr>
        <w:t xml:space="preserve">Trained a </w:t>
      </w:r>
      <w:r>
        <w:rPr>
          <w:b/>
          <w:sz w:val="24"/>
        </w:rPr>
        <w:t>random-forest</w:t>
      </w:r>
      <w:r>
        <w:rPr>
          <w:sz w:val="24"/>
        </w:rPr>
        <w:t xml:space="preserve"> model (scikit-learn) to predict log price from category, segment, retailer, brand (target-encoded) and gender. It reached a test R² of 0.78.</w:t>
      </w:r>
    </w:p>
    <w:p>
      <w:pPr>
        <w:pStyle w:val="Normal1"/>
        <w:numPr>
          <w:ilvl w:val="0"/>
          <w:numId w:val="201"/>
        </w:numPr>
        <w:spacing w:after="60" w:line="360" w:lineRule="auto"/>
        <w:ind w:left="720" w:hanging="360"/>
        <w:jc w:val="both"/>
      </w:pPr>
      <w:r>
        <w:rPr>
          <w:sz w:val="24"/>
        </w:rPr>
        <w:t xml:space="preserve">Used </w:t>
      </w:r>
      <w:r>
        <w:rPr>
          <w:b/>
          <w:sz w:val="24"/>
        </w:rPr>
        <w:t>permutation importance</w:t>
      </w:r>
      <w:r>
        <w:rPr>
          <w:sz w:val="24"/>
        </w:rPr>
        <w:t xml:space="preserve"> to rank the features.</w:t>
      </w:r>
    </w:p>
    <w:p>
      <w:pPr>
        <w:pStyle w:val="Normal1"/>
        <w:spacing w:after="0" w:line="144" w:lineRule="auto"/>
        <w:jc w:val="both"/>
      </w:pPr>
    </w:p>
    <w:p>
      <w:pPr>
        <w:pStyle w:val="Normal1"/>
        <w:keepNext/>
        <w:spacing w:before="80"/>
        <w:jc w:val="center"/>
      </w:pPr>
      <w:r>
        <w:drawing>
          <wp:inline xmlns:a="http://schemas.openxmlformats.org/drawingml/2006/main" xmlns:pic="http://schemas.openxmlformats.org/drawingml/2006/picture">
            <wp:extent cx="5486400" cy="2221616"/>
            <wp:docPr id="870917316" name="Picture 870917316"/>
            <wp:cNvGraphicFramePr>
              <a:graphicFrameLocks noChangeAspect="1"/>
            </wp:cNvGraphicFramePr>
            <a:graphic>
              <a:graphicData uri="http://schemas.openxmlformats.org/drawingml/2006/picture">
                <pic:pic>
                  <pic:nvPicPr>
                    <pic:cNvPr id="0" name="fig15_ml_feature_importance.png"/>
                    <pic:cNvPicPr/>
                  </pic:nvPicPr>
                  <pic:blipFill>
                    <a:blip r:embed="rId31"/>
                    <a:stretch>
                      <a:fillRect/>
                    </a:stretch>
                  </pic:blipFill>
                  <pic:spPr>
                    <a:xfrm>
                      <a:off x="0" y="0"/>
                      <a:ext cx="5486400" cy="2221616"/>
                    </a:xfrm>
                    <a:prstGeom prst="rect"/>
                  </pic:spPr>
                </pic:pic>
              </a:graphicData>
            </a:graphic>
          </wp:inline>
        </w:drawing>
      </w:r>
    </w:p>
    <w:p>
      <w:pPr>
        <w:pStyle w:val="Caption"/>
        <w:spacing w:after="160"/>
        <w:jc w:val="center"/>
      </w:pPr>
      <w:r>
        <w:rPr>
          <w:i/>
          <w:sz w:val="21"/>
        </w:rPr>
        <w:t>Figure 2.17: Permutation importance of each feature in the random-forest model</w:t>
      </w:r>
    </w:p>
    <w:p>
      <w:pPr>
        <w:pStyle w:val="Normal1"/>
        <w:keepNext/>
        <w:spacing w:before="120" w:after="40"/>
      </w:pPr>
      <w:r>
        <w:rPr>
          <w:b/>
          <w:sz w:val="25"/>
        </w:rPr>
        <w:t>Result</w:t>
      </w:r>
    </w:p>
    <w:p>
      <w:pPr>
        <w:pStyle w:val="Normal1"/>
        <w:spacing w:after="120" w:line="360" w:lineRule="auto"/>
        <w:jc w:val="both"/>
      </w:pPr>
      <w:r>
        <w:rPr>
          <w:sz w:val="24"/>
        </w:rPr>
        <w:t xml:space="preserve">Brand (importance 0.97) and category (0.35) explain most of the price. Target gender adds only 0.02. Price is driven by </w:t>
      </w:r>
      <w:r>
        <w:rPr>
          <w:i/>
          <w:sz w:val="24"/>
        </w:rPr>
        <w:t>what</w:t>
      </w:r>
      <w:r>
        <w:rPr>
          <w:sz w:val="24"/>
        </w:rPr>
        <w:t xml:space="preserve"> the product is and </w:t>
      </w:r>
      <w:r>
        <w:rPr>
          <w:i/>
          <w:sz w:val="24"/>
        </w:rPr>
        <w:t>who makes it</w:t>
      </w:r>
      <w:r>
        <w:rPr>
          <w:sz w:val="24"/>
        </w:rPr>
        <w:t xml:space="preserve">, not by </w:t>
      </w:r>
      <w:r>
        <w:rPr>
          <w:i/>
          <w:sz w:val="24"/>
        </w:rPr>
        <w:t>who it is marketed to</w:t>
      </w:r>
      <w:r>
        <w:rPr>
          <w:sz w:val="24"/>
        </w:rPr>
        <w:t>.</w:t>
      </w:r>
    </w:p>
    <w:p>
      <w:pPr>
        <w:pStyle w:val="Normal1"/>
        <w:keepNext/>
        <w:spacing w:before="80"/>
        <w:jc w:val="center"/>
      </w:pPr>
      <w:r>
        <w:drawing>
          <wp:inline xmlns:a="http://schemas.openxmlformats.org/drawingml/2006/main" xmlns:pic="http://schemas.openxmlformats.org/drawingml/2006/picture">
            <wp:extent cx="4937760" cy="2323464"/>
            <wp:docPr id="870917317" name="Picture 870917317"/>
            <wp:cNvGraphicFramePr>
              <a:graphicFrameLocks noChangeAspect="1"/>
            </wp:cNvGraphicFramePr>
            <a:graphic>
              <a:graphicData uri="http://schemas.openxmlformats.org/drawingml/2006/picture">
                <pic:pic>
                  <pic:nvPicPr>
                    <pic:cNvPr id="0" name="fig09_discount.png"/>
                    <pic:cNvPicPr/>
                  </pic:nvPicPr>
                  <pic:blipFill>
                    <a:blip r:embed="rId32"/>
                    <a:stretch>
                      <a:fillRect/>
                    </a:stretch>
                  </pic:blipFill>
                  <pic:spPr>
                    <a:xfrm>
                      <a:off x="0" y="0"/>
                      <a:ext cx="4937760" cy="2323464"/>
                    </a:xfrm>
                    <a:prstGeom prst="rect"/>
                  </pic:spPr>
                </pic:pic>
              </a:graphicData>
            </a:graphic>
          </wp:inline>
        </w:drawing>
      </w:r>
    </w:p>
    <w:p>
      <w:pPr>
        <w:pStyle w:val="Caption"/>
        <w:spacing w:after="160"/>
        <w:jc w:val="center"/>
      </w:pPr>
      <w:r>
        <w:rPr>
          <w:i/>
          <w:sz w:val="21"/>
        </w:rPr>
        <w:t>Figure 2.18: Average discount by segment and gender</w:t>
      </w:r>
    </w:p>
    <w:p>
      <w:pPr>
        <w:pStyle w:val="Heading2"/>
        <w:pageBreakBefore/>
      </w:pPr>
      <w:r>
        <w:rPr>
          <w:b/>
          <w:color w:val="000000"/>
          <w:sz w:val="28"/>
        </w:rPr>
        <w:t>Day-14: Excel Workbook – Formulas, Pivot Summaries and Charts</w:t>
      </w:r>
    </w:p>
    <w:p>
      <w:pPr>
        <w:pStyle w:val="Normal1"/>
        <w:spacing w:after="120" w:line="360" w:lineRule="auto"/>
        <w:jc w:val="both"/>
      </w:pPr>
      <w:r>
        <w:rPr>
          <w:b/>
          <w:sz w:val="24"/>
        </w:rPr>
        <w:t>Objective:</w:t>
      </w:r>
      <w:r>
        <w:rPr>
          <w:sz w:val="24"/>
        </w:rPr>
        <w:t xml:space="preserve"> make the analysis available to Excel users without Python.</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 xml:space="preserve">Loaded all 79,390 products into an </w:t>
      </w:r>
      <w:r>
        <w:rPr>
          <w:b/>
          <w:sz w:val="24"/>
        </w:rPr>
        <w:t>Excel Table</w:t>
      </w:r>
      <w:r>
        <w:rPr>
          <w:sz w:val="24"/>
        </w:rPr>
        <w:t xml:space="preserve"> (</w:t>
      </w:r>
      <w:r>
        <w:rPr>
          <w:i/>
          <w:sz w:val="24"/>
        </w:rPr>
        <w:t>tbl_Products</w:t>
      </w:r>
      <w:r>
        <w:rPr>
          <w:sz w:val="24"/>
        </w:rPr>
        <w:t>) so that it can be filtered, sorted and pivoted.</w:t>
      </w:r>
    </w:p>
    <w:p>
      <w:pPr>
        <w:pStyle w:val="Normal1"/>
        <w:numPr>
          <w:ilvl w:val="0"/>
          <w:numId w:val="201"/>
        </w:numPr>
        <w:spacing w:after="60" w:line="360" w:lineRule="auto"/>
        <w:ind w:left="720" w:hanging="360"/>
        <w:jc w:val="both"/>
      </w:pPr>
      <w:r>
        <w:rPr>
          <w:sz w:val="24"/>
        </w:rPr>
        <w:t xml:space="preserve">Built a </w:t>
      </w:r>
      <w:r>
        <w:rPr>
          <w:b/>
          <w:sz w:val="24"/>
        </w:rPr>
        <w:t>Category_Summary</w:t>
      </w:r>
      <w:r>
        <w:rPr>
          <w:sz w:val="24"/>
        </w:rPr>
        <w:t xml:space="preserve"> sheet with live </w:t>
      </w:r>
      <w:r>
        <w:rPr>
          <w:b/>
          <w:sz w:val="24"/>
        </w:rPr>
        <w:t>COUNTIFS</w:t>
      </w:r>
      <w:r>
        <w:rPr>
          <w:sz w:val="24"/>
        </w:rPr>
        <w:t xml:space="preserve"> and </w:t>
      </w:r>
      <w:r>
        <w:rPr>
          <w:b/>
          <w:sz w:val="24"/>
        </w:rPr>
        <w:t>AVERAGEIFS</w:t>
      </w:r>
      <w:r>
        <w:rPr>
          <w:sz w:val="24"/>
        </w:rPr>
        <w:t xml:space="preserve"> formulas, for example =AVERAGEIFS(MRP, Source, A5, Category, D5, Gender, "Women"), next to the medians, confidence intervals and p-values from Python.</w:t>
      </w:r>
    </w:p>
    <w:p>
      <w:pPr>
        <w:pStyle w:val="Normal1"/>
        <w:numPr>
          <w:ilvl w:val="0"/>
          <w:numId w:val="201"/>
        </w:numPr>
        <w:spacing w:after="60" w:line="360" w:lineRule="auto"/>
        <w:ind w:left="720" w:hanging="360"/>
        <w:jc w:val="both"/>
      </w:pPr>
      <w:r>
        <w:rPr>
          <w:sz w:val="24"/>
        </w:rPr>
        <w:t xml:space="preserve">Built a pivot-style </w:t>
      </w:r>
      <w:r>
        <w:rPr>
          <w:b/>
          <w:sz w:val="24"/>
        </w:rPr>
        <w:t>segment × gender</w:t>
      </w:r>
      <w:r>
        <w:rPr>
          <w:sz w:val="24"/>
        </w:rPr>
        <w:t xml:space="preserve"> summary, a </w:t>
      </w:r>
      <w:r>
        <w:rPr>
          <w:b/>
          <w:sz w:val="24"/>
        </w:rPr>
        <w:t>Matched_Pairs</w:t>
      </w:r>
      <w:r>
        <w:rPr>
          <w:sz w:val="24"/>
        </w:rPr>
        <w:t xml:space="preserve"> sheet with data bars, and a </w:t>
      </w:r>
      <w:r>
        <w:rPr>
          <w:b/>
          <w:sz w:val="24"/>
        </w:rPr>
        <w:t>Stats_Tests</w:t>
      </w:r>
      <w:r>
        <w:rPr>
          <w:sz w:val="24"/>
        </w:rPr>
        <w:t xml:space="preserve"> sheet.</w:t>
      </w:r>
    </w:p>
    <w:p>
      <w:pPr>
        <w:pStyle w:val="Normal1"/>
        <w:numPr>
          <w:ilvl w:val="0"/>
          <w:numId w:val="201"/>
        </w:numPr>
        <w:spacing w:after="60" w:line="360" w:lineRule="auto"/>
        <w:ind w:left="720" w:hanging="360"/>
        <w:jc w:val="both"/>
      </w:pPr>
      <w:r>
        <w:rPr>
          <w:sz w:val="24"/>
        </w:rPr>
        <w:t xml:space="preserve">Applied </w:t>
      </w:r>
      <w:r>
        <w:rPr>
          <w:b/>
          <w:sz w:val="24"/>
        </w:rPr>
        <w:t>conditional formatting</w:t>
      </w:r>
      <w:r>
        <w:rPr>
          <w:sz w:val="24"/>
        </w:rPr>
        <w:t>: a blue-to-pink colour scale on the premium and coloured result labels.</w:t>
      </w:r>
    </w:p>
    <w:p>
      <w:pPr>
        <w:pStyle w:val="Normal1"/>
        <w:numPr>
          <w:ilvl w:val="0"/>
          <w:numId w:val="201"/>
        </w:numPr>
        <w:spacing w:after="60" w:line="360" w:lineRule="auto"/>
        <w:ind w:left="720" w:hanging="360"/>
        <w:jc w:val="both"/>
      </w:pPr>
      <w:r>
        <w:rPr>
          <w:sz w:val="24"/>
        </w:rPr>
        <w:t>Added native Excel bar charts and checked that the formulas give the same numbers as Python.</w:t>
      </w:r>
    </w:p>
    <w:p>
      <w:pPr>
        <w:pStyle w:val="Normal1"/>
        <w:spacing w:after="0" w:line="144" w:lineRule="auto"/>
        <w:jc w:val="both"/>
      </w:pPr>
    </w:p>
    <w:p>
      <w:pPr>
        <w:pStyle w:val="Normal1"/>
        <w:keepNext/>
        <w:spacing w:before="80"/>
        <w:jc w:val="center"/>
      </w:pPr>
      <w:r>
        <w:drawing>
          <wp:inline xmlns:a="http://schemas.openxmlformats.org/drawingml/2006/main" xmlns:pic="http://schemas.openxmlformats.org/drawingml/2006/picture">
            <wp:extent cx="5760720" cy="1659868"/>
            <wp:docPr id="870917318" name="Picture 870917318"/>
            <wp:cNvGraphicFramePr>
              <a:graphicFrameLocks noChangeAspect="1"/>
            </wp:cNvGraphicFramePr>
            <a:graphic>
              <a:graphicData uri="http://schemas.openxmlformats.org/drawingml/2006/picture">
                <pic:pic>
                  <pic:nvPicPr>
                    <pic:cNvPr id="0" name="excel_category_summary_zoom.png"/>
                    <pic:cNvPicPr/>
                  </pic:nvPicPr>
                  <pic:blipFill>
                    <a:blip r:embed="rId33"/>
                    <a:stretch>
                      <a:fillRect/>
                    </a:stretch>
                  </pic:blipFill>
                  <pic:spPr>
                    <a:xfrm>
                      <a:off x="0" y="0"/>
                      <a:ext cx="5760720" cy="1659868"/>
                    </a:xfrm>
                    <a:prstGeom prst="rect"/>
                  </pic:spPr>
                </pic:pic>
              </a:graphicData>
            </a:graphic>
          </wp:inline>
        </w:drawing>
      </w:r>
    </w:p>
    <w:p>
      <w:pPr>
        <w:pStyle w:val="Caption"/>
        <w:spacing w:after="160"/>
        <w:jc w:val="center"/>
      </w:pPr>
      <w:r>
        <w:rPr>
          <w:i/>
          <w:sz w:val="21"/>
        </w:rPr>
        <w:t>Figure 2.19: Category_Summary sheet with formulas and conditional formatting</w:t>
      </w:r>
    </w:p>
    <w:p>
      <w:pPr>
        <w:pStyle w:val="Normal1"/>
        <w:keepNext/>
        <w:spacing w:before="120" w:after="40"/>
      </w:pPr>
      <w:r>
        <w:rPr>
          <w:b/>
          <w:sz w:val="25"/>
        </w:rPr>
        <w:t>Learning outcome</w:t>
      </w:r>
    </w:p>
    <w:p>
      <w:pPr>
        <w:pStyle w:val="Normal1"/>
        <w:spacing w:after="120" w:line="360" w:lineRule="auto"/>
        <w:jc w:val="both"/>
      </w:pPr>
      <w:r>
        <w:rPr>
          <w:sz w:val="24"/>
        </w:rPr>
        <w:t>Excel is still the most widely used analysis tool. Formulas that update when the data changes make a workbook reusable. Checking that the Excel formulas give the same numbers as Python is a quick way to validate both.</w:t>
      </w:r>
    </w:p>
    <w:p>
      <w:pPr>
        <w:pStyle w:val="Normal1"/>
        <w:keepNext/>
        <w:spacing w:before="80"/>
        <w:jc w:val="center"/>
      </w:pPr>
      <w:r>
        <w:drawing>
          <wp:inline xmlns:a="http://schemas.openxmlformats.org/drawingml/2006/main" xmlns:pic="http://schemas.openxmlformats.org/drawingml/2006/picture">
            <wp:extent cx="5760720" cy="3749190"/>
            <wp:docPr id="870917319" name="Picture 870917319"/>
            <wp:cNvGraphicFramePr>
              <a:graphicFrameLocks noChangeAspect="1"/>
            </wp:cNvGraphicFramePr>
            <a:graphic>
              <a:graphicData uri="http://schemas.openxmlformats.org/drawingml/2006/picture">
                <pic:pic>
                  <pic:nvPicPr>
                    <pic:cNvPr id="0" name="excel_charts.png"/>
                    <pic:cNvPicPr/>
                  </pic:nvPicPr>
                  <pic:blipFill>
                    <a:blip r:embed="rId34"/>
                    <a:stretch>
                      <a:fillRect/>
                    </a:stretch>
                  </pic:blipFill>
                  <pic:spPr>
                    <a:xfrm>
                      <a:off x="0" y="0"/>
                      <a:ext cx="5760720" cy="3749190"/>
                    </a:xfrm>
                    <a:prstGeom prst="rect"/>
                  </pic:spPr>
                </pic:pic>
              </a:graphicData>
            </a:graphic>
          </wp:inline>
        </w:drawing>
      </w:r>
    </w:p>
    <w:p>
      <w:pPr>
        <w:pStyle w:val="Caption"/>
        <w:spacing w:after="160"/>
        <w:jc w:val="center"/>
      </w:pPr>
      <w:r>
        <w:rPr>
          <w:i/>
          <w:sz w:val="21"/>
        </w:rPr>
        <w:t>Figure 2.20: Native Excel charts</w:t>
      </w:r>
    </w:p>
    <w:p>
      <w:pPr>
        <w:pStyle w:val="Heading2"/>
        <w:pageBreakBefore/>
      </w:pPr>
      <w:r>
        <w:rPr>
          <w:b/>
          <w:color w:val="000000"/>
          <w:sz w:val="28"/>
        </w:rPr>
        <w:t>Day-15: Power BI Dashboard, GitHub Publishing and Report</w:t>
      </w:r>
    </w:p>
    <w:p>
      <w:pPr>
        <w:pStyle w:val="Normal1"/>
        <w:spacing w:after="120" w:line="360" w:lineRule="auto"/>
        <w:jc w:val="both"/>
      </w:pPr>
      <w:r>
        <w:rPr>
          <w:b/>
          <w:sz w:val="24"/>
        </w:rPr>
        <w:t>Objective:</w:t>
      </w:r>
      <w:r>
        <w:rPr>
          <w:sz w:val="24"/>
        </w:rPr>
        <w:t xml:space="preserve"> build an interactive dashboard and publish the complete project.</w:t>
      </w:r>
    </w:p>
    <w:p>
      <w:pPr>
        <w:pStyle w:val="Normal1"/>
        <w:keepNext/>
        <w:spacing w:before="120" w:after="40"/>
      </w:pPr>
      <w:r>
        <w:rPr>
          <w:b/>
          <w:sz w:val="25"/>
        </w:rPr>
        <w:t>Activities performed</w:t>
      </w:r>
    </w:p>
    <w:p>
      <w:pPr>
        <w:pStyle w:val="Normal1"/>
        <w:numPr>
          <w:ilvl w:val="0"/>
          <w:numId w:val="201"/>
        </w:numPr>
        <w:spacing w:after="60" w:line="360" w:lineRule="auto"/>
        <w:ind w:left="720" w:hanging="360"/>
        <w:jc w:val="both"/>
      </w:pPr>
      <w:r>
        <w:rPr>
          <w:sz w:val="24"/>
        </w:rPr>
        <w:t xml:space="preserve">Exported Power BI-ready tables and designed a </w:t>
      </w:r>
      <w:r>
        <w:rPr>
          <w:b/>
          <w:sz w:val="24"/>
        </w:rPr>
        <w:t>star schema</w:t>
      </w:r>
      <w:r>
        <w:rPr>
          <w:sz w:val="24"/>
        </w:rPr>
        <w:t xml:space="preserve">: </w:t>
      </w:r>
      <w:r>
        <w:rPr>
          <w:i/>
          <w:sz w:val="24"/>
        </w:rPr>
        <w:t>fact_products</w:t>
      </w:r>
      <w:r>
        <w:rPr>
          <w:sz w:val="24"/>
        </w:rPr>
        <w:t xml:space="preserve"> linked to </w:t>
      </w:r>
      <w:r>
        <w:rPr>
          <w:i/>
          <w:sz w:val="24"/>
        </w:rPr>
        <w:t>dim_category</w:t>
      </w:r>
      <w:r>
        <w:rPr>
          <w:sz w:val="24"/>
        </w:rPr>
        <w:t xml:space="preserve">, with </w:t>
      </w:r>
      <w:r>
        <w:rPr>
          <w:i/>
          <w:sz w:val="24"/>
        </w:rPr>
        <w:t>category_premium</w:t>
      </w:r>
      <w:r>
        <w:rPr>
          <w:sz w:val="24"/>
        </w:rPr>
        <w:t xml:space="preserve"> and </w:t>
      </w:r>
      <w:r>
        <w:rPr>
          <w:i/>
          <w:sz w:val="24"/>
        </w:rPr>
        <w:t>brand_pairs</w:t>
      </w:r>
      <w:r>
        <w:rPr>
          <w:sz w:val="24"/>
        </w:rPr>
        <w:t xml:space="preserve"> as result tables.</w:t>
      </w:r>
    </w:p>
    <w:p>
      <w:pPr>
        <w:pStyle w:val="Normal1"/>
        <w:numPr>
          <w:ilvl w:val="0"/>
          <w:numId w:val="201"/>
        </w:numPr>
        <w:spacing w:after="60" w:line="360" w:lineRule="auto"/>
        <w:ind w:left="720" w:hanging="360"/>
        <w:jc w:val="both"/>
      </w:pPr>
      <w:r>
        <w:rPr>
          <w:sz w:val="24"/>
        </w:rPr>
        <w:t xml:space="preserve">Loaded them through </w:t>
      </w:r>
      <w:r>
        <w:rPr>
          <w:b/>
          <w:sz w:val="24"/>
        </w:rPr>
        <w:t>Power Query</w:t>
      </w:r>
      <w:r>
        <w:rPr>
          <w:sz w:val="24"/>
        </w:rPr>
        <w:t xml:space="preserve">, set the data types and created </w:t>
      </w:r>
      <w:r>
        <w:rPr>
          <w:b/>
          <w:sz w:val="24"/>
        </w:rPr>
        <w:t>DAX measures</w:t>
      </w:r>
      <w:r>
        <w:rPr>
          <w:sz w:val="24"/>
        </w:rPr>
        <w:t xml:space="preserve"> such as </w:t>
      </w:r>
      <w:r>
        <w:rPr>
          <w:i/>
          <w:sz w:val="24"/>
        </w:rPr>
        <w:t>Median MRP (Women)</w:t>
      </w:r>
      <w:r>
        <w:rPr>
          <w:sz w:val="24"/>
        </w:rPr>
        <w:t xml:space="preserve">, </w:t>
      </w:r>
      <w:r>
        <w:rPr>
          <w:i/>
          <w:sz w:val="24"/>
        </w:rPr>
        <w:t>Pink Tax % = DIVIDE([Median MRP (Women)], [Median MRP (Men)]) − 1</w:t>
      </w:r>
      <w:r>
        <w:rPr>
          <w:sz w:val="24"/>
        </w:rPr>
        <w:t xml:space="preserve">, </w:t>
      </w:r>
      <w:r>
        <w:rPr>
          <w:i/>
          <w:sz w:val="24"/>
        </w:rPr>
        <w:t>Pairs Women Dearer %</w:t>
      </w:r>
      <w:r>
        <w:rPr>
          <w:sz w:val="24"/>
        </w:rPr>
        <w:t xml:space="preserve"> and a conditional-colour measure.</w:t>
      </w:r>
    </w:p>
    <w:p>
      <w:pPr>
        <w:pStyle w:val="Normal1"/>
        <w:numPr>
          <w:ilvl w:val="0"/>
          <w:numId w:val="201"/>
        </w:numPr>
        <w:spacing w:after="60" w:line="360" w:lineRule="auto"/>
        <w:ind w:left="720" w:hanging="360"/>
        <w:jc w:val="both"/>
      </w:pPr>
      <w:r>
        <w:rPr>
          <w:sz w:val="24"/>
        </w:rPr>
        <w:t>Built the dashboard: six KPI cards, a category gap chart, segment medians, a brand-pair outcome chart, a table of the Pink Tax pockets, and slicers for source, segment, age group and category. Applied a custom JSON theme.</w:t>
      </w:r>
    </w:p>
    <w:p>
      <w:pPr>
        <w:pStyle w:val="Normal1"/>
        <w:numPr>
          <w:ilvl w:val="0"/>
          <w:numId w:val="201"/>
        </w:numPr>
        <w:spacing w:after="60" w:line="360" w:lineRule="auto"/>
        <w:ind w:left="720" w:hanging="360"/>
        <w:jc w:val="both"/>
      </w:pPr>
      <w:r>
        <w:rPr>
          <w:sz w:val="24"/>
        </w:rPr>
        <w:t>Wrote the README, pushed everything to GitHub and completed this report.</w:t>
      </w:r>
    </w:p>
    <w:p>
      <w:pPr>
        <w:pStyle w:val="Normal1"/>
        <w:spacing w:after="0" w:line="144" w:lineRule="auto"/>
        <w:jc w:val="both"/>
      </w:pPr>
    </w:p>
    <w:p>
      <w:pPr>
        <w:pStyle w:val="Normal1"/>
        <w:keepNext/>
        <w:spacing w:before="120" w:after="40"/>
      </w:pPr>
      <w:r>
        <w:rPr>
          <w:b/>
          <w:sz w:val="25"/>
        </w:rPr>
        <w:t>Learning outcome</w:t>
      </w:r>
    </w:p>
    <w:p>
      <w:pPr>
        <w:pStyle w:val="Normal1"/>
        <w:spacing w:after="120" w:line="360" w:lineRule="auto"/>
        <w:jc w:val="both"/>
      </w:pPr>
      <w:r>
        <w:rPr>
          <w:sz w:val="24"/>
        </w:rPr>
        <w:t>A dashboard lets a non-technical user explore the result: selecting “Kids” or “Personal Care” in a slicer immediately updates every visual. Publishing the code and data on GitHub makes the whole study transparent and reproducible.</w:t>
      </w:r>
    </w:p>
    <w:p>
      <w:pPr>
        <w:pStyle w:val="Normal1"/>
        <w:keepNext/>
        <w:spacing w:before="80"/>
        <w:jc w:val="center"/>
      </w:pPr>
      <w:r>
        <w:drawing>
          <wp:inline xmlns:a="http://schemas.openxmlformats.org/drawingml/2006/main" xmlns:pic="http://schemas.openxmlformats.org/drawingml/2006/picture">
            <wp:extent cx="5715993" cy="3246119"/>
            <wp:docPr id="870917320" name="Picture 870917320"/>
            <wp:cNvGraphicFramePr>
              <a:graphicFrameLocks noChangeAspect="1"/>
            </wp:cNvGraphicFramePr>
            <a:graphic>
              <a:graphicData uri="http://schemas.openxmlformats.org/drawingml/2006/picture">
                <pic:pic>
                  <pic:nvPicPr>
                    <pic:cNvPr id="0" name="dashboard_layout.png"/>
                    <pic:cNvPicPr/>
                  </pic:nvPicPr>
                  <pic:blipFill>
                    <a:blip r:embed="rId35"/>
                    <a:stretch>
                      <a:fillRect/>
                    </a:stretch>
                  </pic:blipFill>
                  <pic:spPr>
                    <a:xfrm>
                      <a:off x="0" y="0"/>
                      <a:ext cx="5715993" cy="3246119"/>
                    </a:xfrm>
                    <a:prstGeom prst="rect"/>
                  </pic:spPr>
                </pic:pic>
              </a:graphicData>
            </a:graphic>
          </wp:inline>
        </w:drawing>
      </w:r>
    </w:p>
    <w:p>
      <w:pPr>
        <w:pStyle w:val="Caption"/>
        <w:spacing w:after="160"/>
        <w:jc w:val="center"/>
      </w:pPr>
      <w:r>
        <w:rPr>
          <w:i/>
          <w:sz w:val="21"/>
        </w:rPr>
        <w:t>Figure 2.21: Pink Tax dashboard design (Power BI)</w:t>
      </w:r>
    </w:p>
    <w:p>
      <w:pPr>
        <w:pStyle w:val="Heading1"/>
        <w:pageBreakBefore/>
      </w:pPr>
      <w:r>
        <w:rPr>
          <w:b/>
          <w:color w:val="000000"/>
          <w:sz w:val="32"/>
        </w:rPr>
        <w:t>Chapter 3: Conclusion</w:t>
      </w:r>
    </w:p>
    <w:p>
      <w:pPr>
        <w:pStyle w:val="Heading2"/>
      </w:pPr>
      <w:r>
        <w:rPr>
          <w:b/>
          <w:color w:val="000000"/>
          <w:sz w:val="28"/>
        </w:rPr>
        <w:t>3.1 Summary of Findings</w:t>
      </w:r>
    </w:p>
    <w:p>
      <w:pPr>
        <w:pStyle w:val="Normal1"/>
        <w:spacing w:after="120" w:line="360" w:lineRule="auto"/>
        <w:jc w:val="both"/>
      </w:pPr>
      <w:r>
        <w:rPr>
          <w:sz w:val="24"/>
        </w:rPr>
        <w:t xml:space="preserve">This project set out to answer a simple question with real data: do products marketed to women in India cost more than comparable products marketed to men? After analysing 79,390 products from Myntra, BigBasket and Amazon.in, the answer is </w:t>
      </w:r>
      <w:r>
        <w:rPr>
          <w:b/>
          <w:sz w:val="24"/>
        </w:rPr>
        <w:t>“not in general, but yes in specific places.”</w:t>
      </w:r>
    </w:p>
    <w:p>
      <w:pPr>
        <w:pStyle w:val="Normal1"/>
        <w:numPr>
          <w:ilvl w:val="0"/>
          <w:numId w:val="203"/>
        </w:numPr>
        <w:spacing w:after="60" w:line="360" w:lineRule="auto"/>
        <w:ind w:left="720" w:hanging="360"/>
        <w:jc w:val="both"/>
      </w:pPr>
      <w:r>
        <w:rPr>
          <w:b/>
          <w:sz w:val="24"/>
        </w:rPr>
        <w:t>No blanket Pink Tax.</w:t>
      </w:r>
      <w:r>
        <w:rPr>
          <w:sz w:val="24"/>
        </w:rPr>
        <w:t xml:space="preserve"> Women pay significantly more in 4 of 44 categories and men pay more in 22. Within the same brand and category, adult women's products are about 7.7% cheaper.</w:t>
      </w:r>
    </w:p>
    <w:p>
      <w:pPr>
        <w:pStyle w:val="Normal1"/>
        <w:numPr>
          <w:ilvl w:val="0"/>
          <w:numId w:val="203"/>
        </w:numPr>
        <w:spacing w:after="60" w:line="360" w:lineRule="auto"/>
        <w:ind w:left="720" w:hanging="360"/>
        <w:jc w:val="both"/>
      </w:pPr>
      <w:r>
        <w:rPr>
          <w:b/>
          <w:sz w:val="24"/>
        </w:rPr>
        <w:t>The Pink Tax is concentrated</w:t>
      </w:r>
      <w:r>
        <w:rPr>
          <w:sz w:val="24"/>
        </w:rPr>
        <w:t xml:space="preserve"> in girls' night suits (+78%), innerwear (+33%), kids' clothing sets (+11%) and sports shoes (+5%) at MRP, and in women's deodorants at the selling price (+17%).</w:t>
      </w:r>
    </w:p>
    <w:p>
      <w:pPr>
        <w:pStyle w:val="Normal1"/>
        <w:numPr>
          <w:ilvl w:val="0"/>
          <w:numId w:val="203"/>
        </w:numPr>
        <w:spacing w:after="60" w:line="360" w:lineRule="auto"/>
        <w:ind w:left="720" w:hanging="360"/>
        <w:jc w:val="both"/>
      </w:pPr>
      <w:r>
        <w:rPr>
          <w:b/>
          <w:sz w:val="24"/>
        </w:rPr>
        <w:t>Like-for-like comparisons remove most gaps.</w:t>
      </w:r>
      <w:r>
        <w:rPr>
          <w:sz w:val="24"/>
        </w:rPr>
        <w:t xml:space="preserve"> Personal care per 100 ml shows no significant difference, and the raw kids' premium disappears within categories.</w:t>
      </w:r>
    </w:p>
    <w:p>
      <w:pPr>
        <w:pStyle w:val="Normal1"/>
        <w:numPr>
          <w:ilvl w:val="0"/>
          <w:numId w:val="203"/>
        </w:numPr>
        <w:spacing w:after="60" w:line="360" w:lineRule="auto"/>
        <w:ind w:left="720" w:hanging="360"/>
        <w:jc w:val="both"/>
      </w:pPr>
      <w:r>
        <w:rPr>
          <w:b/>
          <w:sz w:val="24"/>
        </w:rPr>
        <w:t>Brand and category drive price; gender barely does.</w:t>
      </w:r>
      <w:r>
        <w:rPr>
          <w:sz w:val="24"/>
        </w:rPr>
        <w:t xml:space="preserve"> In the machine-learning model gender adds about 0.02 to R², compared with 0.97 for brand.</w:t>
      </w:r>
    </w:p>
    <w:p>
      <w:pPr>
        <w:pStyle w:val="Normal1"/>
        <w:numPr>
          <w:ilvl w:val="0"/>
          <w:numId w:val="203"/>
        </w:numPr>
        <w:spacing w:after="60" w:line="360" w:lineRule="auto"/>
        <w:ind w:left="720" w:hanging="360"/>
        <w:jc w:val="both"/>
      </w:pPr>
      <w:r>
        <w:rPr>
          <w:b/>
          <w:sz w:val="24"/>
        </w:rPr>
        <w:t>Discounts matter.</w:t>
      </w:r>
      <w:r>
        <w:rPr>
          <w:sz w:val="24"/>
        </w:rPr>
        <w:t xml:space="preserve"> Women's items are discounted more deeply on average, so the MRP and the price actually paid can tell different stories.</w:t>
      </w:r>
    </w:p>
    <w:p>
      <w:pPr>
        <w:pStyle w:val="Normal1"/>
        <w:spacing w:after="0" w:line="144" w:lineRule="auto"/>
        <w:jc w:val="both"/>
      </w:pPr>
    </w:p>
    <w:p>
      <w:pPr>
        <w:pStyle w:val="Normal1"/>
        <w:spacing w:after="120" w:line="360" w:lineRule="auto"/>
        <w:jc w:val="both"/>
      </w:pPr>
      <w:r>
        <w:rPr>
          <w:sz w:val="24"/>
        </w:rPr>
        <w:t xml:space="preserve">These results agree with recent research that finds no systematic premium for identical products. The gaps reported in earlier studies mostly come from comparing differentiated products and different brand mixes. For consumers the practical advice is to compare </w:t>
      </w:r>
      <w:r>
        <w:rPr>
          <w:b/>
          <w:sz w:val="24"/>
        </w:rPr>
        <w:t>unit prices</w:t>
      </w:r>
      <w:r>
        <w:rPr>
          <w:sz w:val="24"/>
        </w:rPr>
        <w:t xml:space="preserve"> and to look at the other gender's version of simple products such as razors, deodorants and basic clothing.</w:t>
      </w:r>
    </w:p>
    <w:p>
      <w:pPr>
        <w:pStyle w:val="Heading2"/>
      </w:pPr>
      <w:r>
        <w:rPr>
          <w:b/>
          <w:color w:val="000000"/>
          <w:sz w:val="28"/>
        </w:rPr>
        <w:t>3.2 What I Learned from the Internship</w:t>
      </w:r>
    </w:p>
    <w:p>
      <w:pPr>
        <w:pStyle w:val="Normal1"/>
        <w:numPr>
          <w:ilvl w:val="0"/>
          <w:numId w:val="201"/>
        </w:numPr>
        <w:spacing w:after="60" w:line="360" w:lineRule="auto"/>
        <w:ind w:left="720" w:hanging="360"/>
        <w:jc w:val="both"/>
      </w:pPr>
      <w:r>
        <w:rPr>
          <w:b/>
          <w:sz w:val="24"/>
        </w:rPr>
        <w:t>Technical:</w:t>
      </w:r>
      <w:r>
        <w:rPr>
          <w:sz w:val="24"/>
        </w:rPr>
        <w:t xml:space="preserve"> writing a complete, reproducible data pipeline in Python; advanced Pandas and regular expressions (including Hindi text); visualisation with Matplotlib, Seaborn and Plotly; Excel formulas and conditional formatting; Power Query, data modelling and DAX in Power BI; Git and GitHub.</w:t>
      </w:r>
    </w:p>
    <w:p>
      <w:pPr>
        <w:pStyle w:val="Normal1"/>
        <w:numPr>
          <w:ilvl w:val="0"/>
          <w:numId w:val="201"/>
        </w:numPr>
        <w:spacing w:after="60" w:line="360" w:lineRule="auto"/>
        <w:ind w:left="720" w:hanging="360"/>
        <w:jc w:val="both"/>
      </w:pPr>
      <w:r>
        <w:rPr>
          <w:b/>
          <w:sz w:val="24"/>
        </w:rPr>
        <w:t>Statistical:</w:t>
      </w:r>
      <w:r>
        <w:rPr>
          <w:sz w:val="24"/>
        </w:rPr>
        <w:t xml:space="preserve"> choosing non-parametric tests for skewed data, bootstrap confidence intervals, multiple-testing correction, effect sizes, fixed-effects regression with clustered errors, composition effects (Simpson's paradox) and model interpretation with permutation importance.</w:t>
      </w:r>
    </w:p>
    <w:p>
      <w:pPr>
        <w:pStyle w:val="Normal1"/>
        <w:numPr>
          <w:ilvl w:val="0"/>
          <w:numId w:val="201"/>
        </w:numPr>
        <w:spacing w:after="60" w:line="360" w:lineRule="auto"/>
        <w:ind w:left="720" w:hanging="360"/>
        <w:jc w:val="both"/>
      </w:pPr>
      <w:r>
        <w:rPr>
          <w:b/>
          <w:sz w:val="24"/>
        </w:rPr>
        <w:t>Analytical thinking:</w:t>
      </w:r>
      <w:r>
        <w:rPr>
          <w:sz w:val="24"/>
        </w:rPr>
        <w:t xml:space="preserve"> a headline number such as “women pay X% more” depends on </w:t>
      </w:r>
      <w:r>
        <w:rPr>
          <w:i/>
          <w:sz w:val="24"/>
        </w:rPr>
        <w:t>what is compared with what</w:t>
      </w:r>
      <w:r>
        <w:rPr>
          <w:sz w:val="24"/>
        </w:rPr>
        <w:t>. Checking assumptions and reading real examples matters as much as writing code.</w:t>
      </w:r>
    </w:p>
    <w:p>
      <w:pPr>
        <w:pStyle w:val="Normal1"/>
        <w:numPr>
          <w:ilvl w:val="0"/>
          <w:numId w:val="201"/>
        </w:numPr>
        <w:spacing w:after="60" w:line="360" w:lineRule="auto"/>
        <w:ind w:left="720" w:hanging="360"/>
        <w:jc w:val="both"/>
      </w:pPr>
      <w:r>
        <w:rPr>
          <w:b/>
          <w:sz w:val="24"/>
        </w:rPr>
        <w:t>Professional:</w:t>
      </w:r>
      <w:r>
        <w:rPr>
          <w:sz w:val="24"/>
        </w:rPr>
        <w:t xml:space="preserve"> planning work in daily milestones, documenting decisions, and presenting findings honestly even when they differ from the popular expectation.</w:t>
      </w:r>
    </w:p>
    <w:p>
      <w:pPr>
        <w:pStyle w:val="Normal1"/>
        <w:spacing w:after="0" w:line="144" w:lineRule="auto"/>
        <w:jc w:val="both"/>
      </w:pPr>
    </w:p>
    <w:p>
      <w:pPr>
        <w:pStyle w:val="Heading2"/>
      </w:pPr>
      <w:r>
        <w:rPr>
          <w:b/>
          <w:color w:val="000000"/>
          <w:sz w:val="28"/>
        </w:rPr>
        <w:t>3.3 Limitations and Future Scope</w:t>
      </w:r>
    </w:p>
    <w:p>
      <w:pPr>
        <w:pStyle w:val="Normal1"/>
        <w:numPr>
          <w:ilvl w:val="0"/>
          <w:numId w:val="201"/>
        </w:numPr>
        <w:spacing w:after="60" w:line="360" w:lineRule="auto"/>
        <w:ind w:left="720" w:hanging="360"/>
        <w:jc w:val="both"/>
      </w:pPr>
      <w:r>
        <w:rPr>
          <w:sz w:val="24"/>
        </w:rPr>
        <w:t>Gender and category tags are based on keywords, so a small share of products may be mislabelled.</w:t>
      </w:r>
    </w:p>
    <w:p>
      <w:pPr>
        <w:pStyle w:val="Normal1"/>
        <w:numPr>
          <w:ilvl w:val="0"/>
          <w:numId w:val="201"/>
        </w:numPr>
        <w:spacing w:after="60" w:line="360" w:lineRule="auto"/>
        <w:ind w:left="720" w:hanging="360"/>
        <w:jc w:val="both"/>
      </w:pPr>
      <w:r>
        <w:rPr>
          <w:sz w:val="24"/>
        </w:rPr>
        <w:t>“Comparable” is approximated by same category and same brand. Differences in fabric, fit and design remain.</w:t>
      </w:r>
    </w:p>
    <w:p>
      <w:pPr>
        <w:pStyle w:val="Normal1"/>
        <w:numPr>
          <w:ilvl w:val="0"/>
          <w:numId w:val="201"/>
        </w:numPr>
        <w:spacing w:after="60" w:line="360" w:lineRule="auto"/>
        <w:ind w:left="720" w:hanging="360"/>
        <w:jc w:val="both"/>
      </w:pPr>
      <w:r>
        <w:rPr>
          <w:sz w:val="24"/>
        </w:rPr>
        <w:t>The data are one-time snapshots (2022–2023) of listed prices and do not include sales volumes.</w:t>
      </w:r>
    </w:p>
    <w:p>
      <w:pPr>
        <w:pStyle w:val="Normal1"/>
        <w:numPr>
          <w:ilvl w:val="0"/>
          <w:numId w:val="201"/>
        </w:numPr>
        <w:spacing w:after="60" w:line="360" w:lineRule="auto"/>
        <w:ind w:left="720" w:hanging="360"/>
        <w:jc w:val="both"/>
      </w:pPr>
      <w:r>
        <w:rPr>
          <w:b/>
          <w:sz w:val="24"/>
        </w:rPr>
        <w:t>Future work:</w:t>
      </w:r>
      <w:r>
        <w:rPr>
          <w:sz w:val="24"/>
        </w:rPr>
        <w:t xml:space="preserve"> track prices over time with web scraping, match exact twin products (same SKU except gender), add offline stores and services such as salons and dry-cleaning, and use text similarity models to find near-identical products automatically.</w:t>
      </w:r>
    </w:p>
    <w:p>
      <w:pPr>
        <w:pStyle w:val="Normal1"/>
        <w:spacing w:after="0" w:line="144" w:lineRule="auto"/>
        <w:jc w:val="both"/>
      </w:pPr>
    </w:p>
    <w:p>
      <w:pPr>
        <w:pStyle w:val="Heading1"/>
        <w:pageBreakBefore/>
      </w:pPr>
      <w:r>
        <w:rPr>
          <w:b/>
          <w:color w:val="000000"/>
          <w:sz w:val="32"/>
        </w:rPr>
        <w:t>References</w:t>
      </w:r>
    </w:p>
    <w:p>
      <w:pPr>
        <w:pStyle w:val="Normal1"/>
        <w:spacing w:after="120" w:line="360" w:lineRule="auto"/>
        <w:ind w:left="576" w:hanging="576"/>
        <w:jc w:val="both"/>
      </w:pPr>
      <w:r>
        <w:rPr>
          <w:sz w:val="24"/>
        </w:rPr>
        <w:t xml:space="preserve">New York City Department of Consumer Affairs (2015). </w:t>
      </w:r>
      <w:r>
        <w:rPr>
          <w:i/>
          <w:sz w:val="24"/>
        </w:rPr>
        <w:t>From Cradle to Cane: The Cost of Being a Female Consumer – A Study of Gender Pricing in New York City.</w:t>
      </w:r>
    </w:p>
    <w:p>
      <w:pPr>
        <w:pStyle w:val="Normal1"/>
        <w:spacing w:after="120" w:line="360" w:lineRule="auto"/>
        <w:ind w:left="576" w:hanging="576"/>
        <w:jc w:val="both"/>
      </w:pPr>
      <w:r>
        <w:rPr>
          <w:sz w:val="24"/>
        </w:rPr>
        <w:t xml:space="preserve">U.S. Government Accountability Office (2018). </w:t>
      </w:r>
      <w:r>
        <w:rPr>
          <w:i/>
          <w:sz w:val="24"/>
        </w:rPr>
        <w:t>Consumer Protection: Gender-Related Price Differences for Goods and Services</w:t>
      </w:r>
      <w:r>
        <w:rPr>
          <w:sz w:val="24"/>
        </w:rPr>
        <w:t xml:space="preserve"> (GAO-18-500).</w:t>
      </w:r>
    </w:p>
    <w:p>
      <w:pPr>
        <w:pStyle w:val="Normal1"/>
        <w:spacing w:after="120" w:line="360" w:lineRule="auto"/>
        <w:ind w:left="576" w:hanging="576"/>
        <w:jc w:val="both"/>
      </w:pPr>
      <w:r>
        <w:rPr>
          <w:sz w:val="24"/>
        </w:rPr>
        <w:t xml:space="preserve">Moshary, S., Tuchman, A., &amp; Bhatia, N. (2021). </w:t>
      </w:r>
      <w:r>
        <w:rPr>
          <w:i/>
          <w:sz w:val="24"/>
        </w:rPr>
        <w:t>Investigating the Pink Tax: Evidence against a Systematic Price Premium for Women in CPG.</w:t>
      </w:r>
      <w:r>
        <w:rPr>
          <w:sz w:val="24"/>
        </w:rPr>
        <w:t xml:space="preserve"> SSRN Working Paper.</w:t>
      </w:r>
    </w:p>
    <w:p>
      <w:pPr>
        <w:pStyle w:val="Normal1"/>
        <w:spacing w:after="120" w:line="360" w:lineRule="auto"/>
        <w:ind w:left="576" w:hanging="576"/>
        <w:jc w:val="both"/>
      </w:pPr>
      <w:r>
        <w:rPr>
          <w:sz w:val="24"/>
        </w:rPr>
        <w:t xml:space="preserve">Duesterhaus, M., Grauerholz, L., Weichsel, R., &amp; Guittar, N. A. (2011). The cost of doing femininity: Gendered disparities in pricing of personal care products and services. </w:t>
      </w:r>
      <w:r>
        <w:rPr>
          <w:i/>
          <w:sz w:val="24"/>
        </w:rPr>
        <w:t>Gender Issues</w:t>
      </w:r>
      <w:r>
        <w:rPr>
          <w:sz w:val="24"/>
        </w:rPr>
        <w:t>, 28(4), 175–191.</w:t>
      </w:r>
    </w:p>
    <w:p>
      <w:pPr>
        <w:pStyle w:val="Normal1"/>
        <w:spacing w:after="120" w:line="360" w:lineRule="auto"/>
        <w:ind w:left="576" w:hanging="576"/>
        <w:jc w:val="both"/>
      </w:pPr>
      <w:r>
        <w:rPr>
          <w:sz w:val="24"/>
        </w:rPr>
        <w:t xml:space="preserve">State of California. </w:t>
      </w:r>
      <w:r>
        <w:rPr>
          <w:i/>
          <w:sz w:val="24"/>
        </w:rPr>
        <w:t>Gender Tax Repeal Act of 1995</w:t>
      </w:r>
      <w:r>
        <w:rPr>
          <w:sz w:val="24"/>
        </w:rPr>
        <w:t xml:space="preserve"> (Civil Code §51.6) and Assembly Bill AB-1287 (2022), </w:t>
      </w:r>
      <w:r>
        <w:rPr>
          <w:i/>
          <w:sz w:val="24"/>
        </w:rPr>
        <w:t>Price discrimination: gender</w:t>
      </w:r>
      <w:r>
        <w:rPr>
          <w:sz w:val="24"/>
        </w:rPr>
        <w:t>.</w:t>
      </w:r>
    </w:p>
    <w:p>
      <w:pPr>
        <w:pStyle w:val="Normal1"/>
        <w:spacing w:after="120" w:line="360" w:lineRule="auto"/>
        <w:ind w:left="576" w:hanging="576"/>
        <w:jc w:val="both"/>
      </w:pPr>
      <w:r>
        <w:rPr>
          <w:sz w:val="24"/>
        </w:rPr>
        <w:t>Government of India, GST Council (2018). Exemption of sanitary napkins from GST, effective 27 July 2018.</w:t>
      </w:r>
    </w:p>
    <w:p>
      <w:pPr>
        <w:pStyle w:val="Normal1"/>
        <w:spacing w:after="120" w:line="360" w:lineRule="auto"/>
        <w:ind w:left="576" w:hanging="576"/>
        <w:jc w:val="both"/>
      </w:pPr>
      <w:r>
        <w:rPr>
          <w:sz w:val="24"/>
        </w:rPr>
        <w:t xml:space="preserve">Kaggle datasets: </w:t>
      </w:r>
      <w:r>
        <w:rPr>
          <w:i/>
          <w:sz w:val="24"/>
        </w:rPr>
        <w:t>Myntra 168k Products</w:t>
      </w:r>
      <w:r>
        <w:rPr>
          <w:sz w:val="24"/>
        </w:rPr>
        <w:t xml:space="preserve"> (ashishjangra27); </w:t>
      </w:r>
      <w:r>
        <w:rPr>
          <w:i/>
          <w:sz w:val="24"/>
        </w:rPr>
        <w:t>BigBasket Entire Product List</w:t>
      </w:r>
      <w:r>
        <w:rPr>
          <w:sz w:val="24"/>
        </w:rPr>
        <w:t xml:space="preserve"> (surajjha101); </w:t>
      </w:r>
      <w:r>
        <w:rPr>
          <w:i/>
          <w:sz w:val="24"/>
        </w:rPr>
        <w:t>Amazon India Products 2023</w:t>
      </w:r>
      <w:r>
        <w:rPr>
          <w:sz w:val="24"/>
        </w:rPr>
        <w:t xml:space="preserve"> (asaniczka).</w:t>
      </w:r>
    </w:p>
    <w:p>
      <w:pPr>
        <w:pStyle w:val="Normal1"/>
        <w:spacing w:after="120" w:line="360" w:lineRule="auto"/>
        <w:ind w:left="576" w:hanging="576"/>
        <w:jc w:val="both"/>
      </w:pPr>
      <w:r>
        <w:rPr>
          <w:sz w:val="24"/>
        </w:rPr>
        <w:t xml:space="preserve">McKinney, W. (2022). </w:t>
      </w:r>
      <w:r>
        <w:rPr>
          <w:i/>
          <w:sz w:val="24"/>
        </w:rPr>
        <w:t>Python for Data Analysis</w:t>
      </w:r>
      <w:r>
        <w:rPr>
          <w:sz w:val="24"/>
        </w:rPr>
        <w:t xml:space="preserve"> (3rd ed.). O'Reilly Media.</w:t>
      </w:r>
    </w:p>
    <w:p>
      <w:pPr>
        <w:pStyle w:val="Normal1"/>
        <w:spacing w:after="120" w:line="360" w:lineRule="auto"/>
        <w:ind w:left="576" w:hanging="576"/>
        <w:jc w:val="both"/>
      </w:pPr>
      <w:r>
        <w:rPr>
          <w:sz w:val="24"/>
        </w:rPr>
        <w:t xml:space="preserve">Benjamini, Y., &amp; Hochberg, Y. (1995). Controlling the false discovery rate. </w:t>
      </w:r>
      <w:r>
        <w:rPr>
          <w:i/>
          <w:sz w:val="24"/>
        </w:rPr>
        <w:t>Journal of the Royal Statistical Society: Series B</w:t>
      </w:r>
      <w:r>
        <w:rPr>
          <w:sz w:val="24"/>
        </w:rPr>
        <w:t>, 57(1), 289–300.</w:t>
      </w:r>
    </w:p>
    <w:p>
      <w:pPr>
        <w:pStyle w:val="Normal1"/>
        <w:spacing w:after="120" w:line="360" w:lineRule="auto"/>
        <w:ind w:left="576" w:hanging="576"/>
        <w:jc w:val="both"/>
      </w:pPr>
      <w:r>
        <w:rPr>
          <w:sz w:val="24"/>
        </w:rPr>
        <w:t>Project repository: https://github.com/mppyxx/PinkTax</w:t>
      </w:r>
    </w:p>
    <w:sectPr w:rsidR="007F75CD" w:rsidSect="007F75CD">
      <w:headerReference w:type="default" r:id="rId10"/>
      <w:footerReference w:type="default" r:id="rId11"/>
      <w:headerReference w:type="first" r:id="rId12"/>
      <w:pgSz w:w="11920" w:h="16840"/>
      <w:pgMar w:top="1152" w:right="1452" w:bottom="1366" w:left="996" w:header="454" w:footer="567"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5393" w:rsidRDefault="00795393" w:rsidP="007F75CD">
      <w:r>
        <w:separator/>
      </w:r>
    </w:p>
  </w:endnote>
  <w:endnote w:type="continuationSeparator" w:id="1">
    <w:p w:rsidR="00795393" w:rsidRDefault="00795393" w:rsidP="007F75C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Liberation Sans">
    <w:panose1 w:val="00000000000000000000"/>
    <w:charset w:val="00"/>
    <w:family w:val="roman"/>
    <w:notTrueType/>
    <w:pitch w:val="default"/>
    <w:sig w:usb0="00000000" w:usb1="00000000" w:usb2="00000000" w:usb3="00000000" w:csb0="00000000" w:csb1="00000000"/>
  </w:font>
  <w:font w:name="Droid Sans Fallback">
    <w:panose1 w:val="00000000000000000000"/>
    <w:charset w:val="00"/>
    <w:family w:val="roman"/>
    <w:notTrueType/>
    <w:pitch w:val="default"/>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5CD" w:rsidRDefault="007F75CD">
    <w:pPr>
      <w:pStyle w:val="Normal1"/>
      <w:pBdr>
        <w:top w:val="nil"/>
        <w:left w:val="nil"/>
        <w:bottom w:val="nil"/>
        <w:right w:val="nil"/>
        <w:between w:val="nil"/>
      </w:pBdr>
      <w:tabs>
        <w:tab w:val="center" w:pos="4320"/>
        <w:tab w:val="right" w:pos="8640"/>
      </w:tabs>
      <w:jc w:val="center"/>
    </w:pPr>
    <w:r>
      <w:fldChar w:fldCharType="begin"/>
    </w:r>
    <w:r>
      <w:instrText xml:space="preserve"> PAGE </w:instrText>
    </w:r>
    <w:r>
      <w:fldChar w:fldCharType="separate"/>
    </w:r>
    <w:r>
      <w:t>1</w:t>
    </w:r>
    <w:r>
      <w:fldChar w:fldCharType="end"/>
    </w:r>
  </w:p>
  <w:p w:rsidR="007F75CD" w:rsidRDefault="00F17F04">
    <w:pPr>
      <w:pStyle w:val="Normal1"/>
      <w:pBdr>
        <w:top w:val="nil"/>
        <w:left w:val="nil"/>
        <w:bottom w:val="nil"/>
        <w:right w:val="nil"/>
        <w:between w:val="nil"/>
      </w:pBdr>
      <w:tabs>
        <w:tab w:val="center" w:pos="4320"/>
        <w:tab w:val="right" w:pos="8640"/>
      </w:tabs>
      <w:rPr>
        <w:sz w:val="20"/>
        <w:szCs w:val="20"/>
      </w:rPr>
    </w:pPr>
    <w:r>
      <w:rPr>
        <w:sz w:val="20"/>
        <w:szCs w:val="20"/>
      </w:rPr>
      <w:t>GUJARAT TECHNOLOGICAL UNIVERSITY</w:t>
    </w:r>
    <w:r>
      <w:rPr>
        <w:sz w:val="20"/>
        <w:szCs w:val="20"/>
      </w:rPr>
      <w:tab/>
      <w:t xml:space="preserve">                        SAL ENGINEERING &amp; TECHNICAL INSTITUTE</w:t>
    </w:r>
  </w:p>
  <w:p w:rsidR="007F75CD" w:rsidRDefault="007F75CD">
    <w:pPr>
      <w:pStyle w:val="Normal1"/>
      <w:pBdr>
        <w:top w:val="nil"/>
        <w:left w:val="nil"/>
        <w:bottom w:val="nil"/>
        <w:right w:val="nil"/>
        <w:between w:val="nil"/>
      </w:pBdr>
      <w:tabs>
        <w:tab w:val="center" w:pos="4320"/>
        <w:tab w:val="right" w:pos="8640"/>
      </w:tabs>
      <w:ind w:right="36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5393" w:rsidRDefault="00795393" w:rsidP="007F75CD">
      <w:r>
        <w:separator/>
      </w:r>
    </w:p>
  </w:footnote>
  <w:footnote w:type="continuationSeparator" w:id="1">
    <w:p w:rsidR="00795393" w:rsidRDefault="00795393" w:rsidP="007F75C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5CD" w:rsidRDefault="00F17F04">
    <w:pPr>
      <w:pStyle w:val="Normal1"/>
      <w:pBdr>
        <w:top w:val="nil"/>
        <w:left w:val="nil"/>
        <w:bottom w:val="nil"/>
        <w:right w:val="nil"/>
        <w:between w:val="nil"/>
      </w:pBdr>
      <w:tabs>
        <w:tab w:val="center" w:pos="4320"/>
        <w:tab w:val="right" w:pos="8640"/>
      </w:tabs>
    </w:pPr>
    <w:r>
      <w:t xml:space="preserve">Summer Internship (3170001) </w:t>
    </w:r>
    <w:r>
      <w:tab/>
    </w:r>
    <w:r>
      <w:tab/>
      <w:t xml:space="preserve">           231260131051</w:t>
    </w:r>
  </w:p>
  <w:p w:rsidR="007F75CD" w:rsidRDefault="007F75CD">
    <w:pPr>
      <w:pStyle w:val="Normal1"/>
      <w:pBdr>
        <w:top w:val="nil"/>
        <w:left w:val="nil"/>
        <w:bottom w:val="nil"/>
        <w:right w:val="nil"/>
        <w:between w:val="nil"/>
      </w:pBdr>
      <w:tabs>
        <w:tab w:val="center" w:pos="4320"/>
        <w:tab w:val="right" w:pos="864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5CD" w:rsidRDefault="007F75CD">
    <w:pPr>
      <w:pStyle w:val="Normal1"/>
      <w:pBdr>
        <w:top w:val="nil"/>
        <w:left w:val="nil"/>
        <w:bottom w:val="nil"/>
        <w:right w:val="nil"/>
        <w:between w:val="nil"/>
      </w:pBdr>
      <w:tabs>
        <w:tab w:val="center" w:pos="4320"/>
        <w:tab w:val="right" w:pos="864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F0CAE"/>
    <w:multiLevelType w:val="multilevel"/>
    <w:tmpl w:val="941A285C"/>
    <w:lvl w:ilvl="0">
      <w:start w:val="2"/>
      <w:numFmt w:val="decimal"/>
      <w:lvlText w:val="%1"/>
      <w:lvlJc w:val="left"/>
      <w:pPr>
        <w:ind w:left="2787" w:hanging="701"/>
        <w:jc w:val="left"/>
      </w:pPr>
      <w:rPr>
        <w:rFonts w:hint="default"/>
        <w:lang w:val="en-US" w:eastAsia="en-US" w:bidi="ar-SA"/>
      </w:rPr>
    </w:lvl>
    <w:lvl w:ilvl="1">
      <w:start w:val="1"/>
      <w:numFmt w:val="decimal"/>
      <w:lvlText w:val="%1.%2"/>
      <w:lvlJc w:val="left"/>
      <w:pPr>
        <w:ind w:left="2787" w:hanging="70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4413" w:hanging="701"/>
      </w:pPr>
      <w:rPr>
        <w:rFonts w:hint="default"/>
        <w:lang w:val="en-US" w:eastAsia="en-US" w:bidi="ar-SA"/>
      </w:rPr>
    </w:lvl>
    <w:lvl w:ilvl="3">
      <w:numFmt w:val="bullet"/>
      <w:lvlText w:val="•"/>
      <w:lvlJc w:val="left"/>
      <w:pPr>
        <w:ind w:left="5230" w:hanging="701"/>
      </w:pPr>
      <w:rPr>
        <w:rFonts w:hint="default"/>
        <w:lang w:val="en-US" w:eastAsia="en-US" w:bidi="ar-SA"/>
      </w:rPr>
    </w:lvl>
    <w:lvl w:ilvl="4">
      <w:numFmt w:val="bullet"/>
      <w:lvlText w:val="•"/>
      <w:lvlJc w:val="left"/>
      <w:pPr>
        <w:ind w:left="6047" w:hanging="701"/>
      </w:pPr>
      <w:rPr>
        <w:rFonts w:hint="default"/>
        <w:lang w:val="en-US" w:eastAsia="en-US" w:bidi="ar-SA"/>
      </w:rPr>
    </w:lvl>
    <w:lvl w:ilvl="5">
      <w:numFmt w:val="bullet"/>
      <w:lvlText w:val="•"/>
      <w:lvlJc w:val="left"/>
      <w:pPr>
        <w:ind w:left="6864" w:hanging="701"/>
      </w:pPr>
      <w:rPr>
        <w:rFonts w:hint="default"/>
        <w:lang w:val="en-US" w:eastAsia="en-US" w:bidi="ar-SA"/>
      </w:rPr>
    </w:lvl>
    <w:lvl w:ilvl="6">
      <w:numFmt w:val="bullet"/>
      <w:lvlText w:val="•"/>
      <w:lvlJc w:val="left"/>
      <w:pPr>
        <w:ind w:left="7681" w:hanging="701"/>
      </w:pPr>
      <w:rPr>
        <w:rFonts w:hint="default"/>
        <w:lang w:val="en-US" w:eastAsia="en-US" w:bidi="ar-SA"/>
      </w:rPr>
    </w:lvl>
    <w:lvl w:ilvl="7">
      <w:numFmt w:val="bullet"/>
      <w:lvlText w:val="•"/>
      <w:lvlJc w:val="left"/>
      <w:pPr>
        <w:ind w:left="8498" w:hanging="701"/>
      </w:pPr>
      <w:rPr>
        <w:rFonts w:hint="default"/>
        <w:lang w:val="en-US" w:eastAsia="en-US" w:bidi="ar-SA"/>
      </w:rPr>
    </w:lvl>
    <w:lvl w:ilvl="8">
      <w:numFmt w:val="bullet"/>
      <w:lvlText w:val="•"/>
      <w:lvlJc w:val="left"/>
      <w:pPr>
        <w:ind w:left="9315" w:hanging="701"/>
      </w:pPr>
      <w:rPr>
        <w:rFonts w:hint="default"/>
        <w:lang w:val="en-US" w:eastAsia="en-US" w:bidi="ar-SA"/>
      </w:rPr>
    </w:lvl>
  </w:abstractNum>
  <w:abstractNum w:abstractNumId="90">
    <w:multiLevelType w:val="singleLevel"/>
    <w:lvl w:ilvl="0">
      <w:start w:val="1"/>
      <w:numFmt w:val="bullet"/>
      <w:lvlText w:val="•"/>
      <w:lvlJc w:val="left"/>
      <w:pPr>
        <w:ind w:left="720" w:hanging="360"/>
      </w:pPr>
      <w:rPr>
        <w:rFonts w:ascii="Times New Roman" w:hAnsi="Times New Roman" w:hint="default"/>
      </w:rPr>
    </w:lvl>
  </w:abstractNum>
  <w:abstractNum w:abstractNumId="91">
    <w:multiLevelType w:val="singleLevel"/>
    <w:lvl w:ilvl="0">
      <w:start w:val="1"/>
      <w:numFmt w:val="decimal"/>
      <w:lvlText w:val="%1."/>
      <w:lvlJc w:val="left"/>
      <w:pPr>
        <w:ind w:left="720" w:hanging="360"/>
      </w:pPr>
    </w:lvl>
  </w:abstractNum>
  <w:num w:numId="1">
    <w:abstractNumId w:val="0"/>
  </w:num>
  <w:num w:numId="201">
    <w:abstractNumId w:val="90"/>
    <w:lvlOverride w:ilvl="0">
      <w:startOverride w:val="1"/>
    </w:lvlOverride>
  </w:num>
  <w:num w:numId="202">
    <w:abstractNumId w:val="91"/>
    <w:lvlOverride w:ilvl="0">
      <w:startOverride w:val="1"/>
    </w:lvlOverride>
  </w:num>
  <w:num w:numId="203">
    <w:abstractNumId w:val="9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F75CD"/>
    <w:rsid w:val="00566865"/>
    <w:rsid w:val="005E1840"/>
    <w:rsid w:val="00606FC5"/>
    <w:rsid w:val="00695089"/>
    <w:rsid w:val="00795393"/>
    <w:rsid w:val="007F75CD"/>
    <w:rsid w:val="00815D5E"/>
    <w:rsid w:val="008C5AB3"/>
    <w:rsid w:val="00AA4535"/>
    <w:rsid w:val="00B32CFB"/>
    <w:rsid w:val="00C52395"/>
    <w:rsid w:val="00DA74E0"/>
    <w:rsid w:val="00F17F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A"/>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840"/>
  </w:style>
  <w:style w:type="paragraph" w:styleId="Heading1">
    <w:name w:val="heading 1"/>
    <w:basedOn w:val="Normal1"/>
    <w:next w:val="Normal1"/>
    <w:link w:val="Heading1Char"/>
    <w:rsid w:val="007F75CD"/>
    <w:pPr>
      <w:keepNext/>
      <w:spacing w:before="0" w:after="280"/>
      <w:ind w:left="0" w:firstLine="0"/>
      <w:jc w:val="center"/>
      <w:outlineLvl w:val="0"/>
    </w:pPr>
    <w:rPr>
      <w:rFonts w:ascii="Times New Roman" w:hAnsi="Times New Roman"/>
      <w:b/>
      <w:i w:val="0"/>
      <w:smallCaps w:val="0"/>
      <w:color w:val="000000"/>
      <w:sz w:val="32"/>
      <w:szCs w:val="20"/>
    </w:rPr>
  </w:style>
  <w:style w:type="paragraph" w:styleId="Heading2">
    <w:name w:val="heading 2"/>
    <w:basedOn w:val="Normal1"/>
    <w:next w:val="Normal1"/>
    <w:link w:val="Heading2Char"/>
    <w:rsid w:val="007F75CD"/>
    <w:pPr>
      <w:keepNext/>
      <w:spacing w:before="200" w:after="120"/>
      <w:ind w:left="0" w:firstLine="0"/>
      <w:jc w:val="left"/>
      <w:outlineLvl w:val="1"/>
    </w:pPr>
    <w:rPr>
      <w:rFonts w:ascii="Times New Roman" w:hAnsi="Times New Roman"/>
      <w:b/>
      <w:i w:val="0"/>
      <w:smallCaps w:val="0"/>
      <w:color w:val="000000"/>
      <w:sz w:val="28"/>
      <w:szCs w:val="20"/>
    </w:rPr>
  </w:style>
  <w:style w:type="paragraph" w:styleId="Heading3">
    <w:name w:val="heading 3"/>
    <w:basedOn w:val="Normal1"/>
    <w:next w:val="Normal1"/>
    <w:link w:val="Heading3Char"/>
    <w:rsid w:val="007F75CD"/>
    <w:pPr>
      <w:keepNext/>
      <w:ind w:left="2160" w:hanging="720"/>
      <w:outlineLvl w:val="2"/>
    </w:pPr>
    <w:rPr>
      <w:i/>
      <w:color w:val="000000"/>
      <w:sz w:val="20"/>
      <w:szCs w:val="20"/>
    </w:rPr>
  </w:style>
  <w:style w:type="paragraph" w:styleId="Heading4">
    <w:name w:val="heading 4"/>
    <w:basedOn w:val="Normal1"/>
    <w:next w:val="Normal1"/>
    <w:link w:val="Heading4Char"/>
    <w:rsid w:val="007F75CD"/>
    <w:pPr>
      <w:keepNext/>
      <w:spacing w:before="240" w:after="60"/>
      <w:ind w:left="2880" w:hanging="720"/>
      <w:outlineLvl w:val="3"/>
    </w:pPr>
    <w:rPr>
      <w:i/>
      <w:color w:val="000000"/>
      <w:sz w:val="18"/>
      <w:szCs w:val="18"/>
    </w:rPr>
  </w:style>
  <w:style w:type="paragraph" w:styleId="Heading5">
    <w:name w:val="heading 5"/>
    <w:basedOn w:val="Normal1"/>
    <w:next w:val="Normal1"/>
    <w:link w:val="Heading5Char"/>
    <w:rsid w:val="007F75CD"/>
    <w:pPr>
      <w:spacing w:before="240" w:after="60"/>
      <w:ind w:left="3600" w:hanging="720"/>
      <w:outlineLvl w:val="4"/>
    </w:pPr>
    <w:rPr>
      <w:color w:val="000000"/>
      <w:sz w:val="18"/>
      <w:szCs w:val="18"/>
    </w:rPr>
  </w:style>
  <w:style w:type="paragraph" w:styleId="Heading6">
    <w:name w:val="heading 6"/>
    <w:basedOn w:val="Normal1"/>
    <w:next w:val="Normal1"/>
    <w:link w:val="Heading6Char"/>
    <w:rsid w:val="007F75CD"/>
    <w:pPr>
      <w:spacing w:before="240" w:after="60"/>
      <w:ind w:left="4320" w:hanging="720"/>
      <w:outlineLvl w:val="5"/>
    </w:pPr>
    <w:rPr>
      <w:i/>
      <w:color w:val="000000"/>
      <w:sz w:val="16"/>
      <w:szCs w:val="16"/>
    </w:rPr>
  </w:style>
  <w:style w:type="paragraph" w:styleId="Heading7">
    <w:name w:val="heading 7"/>
    <w:basedOn w:val="Normal1"/>
    <w:next w:val="Normal1"/>
    <w:link w:val="Heading7Char"/>
    <w:qFormat/>
    <w:rsid w:val="00FB4994"/>
    <w:pPr>
      <w:tabs>
        <w:tab w:val="num" w:pos="5040"/>
      </w:tabs>
      <w:autoSpaceDE w:val="0"/>
      <w:autoSpaceDN w:val="0"/>
      <w:spacing w:before="240" w:after="60"/>
      <w:ind w:left="5040" w:hanging="720"/>
      <w:outlineLvl w:val="6"/>
    </w:pPr>
    <w:rPr>
      <w:color w:val="auto"/>
      <w:sz w:val="16"/>
      <w:szCs w:val="16"/>
      <w:lang w:val="en-US"/>
    </w:rPr>
  </w:style>
  <w:style w:type="paragraph" w:styleId="Heading8">
    <w:name w:val="heading 8"/>
    <w:basedOn w:val="Normal1"/>
    <w:next w:val="Normal1"/>
    <w:link w:val="Heading8Char"/>
    <w:qFormat/>
    <w:rsid w:val="00FB4994"/>
    <w:pPr>
      <w:tabs>
        <w:tab w:val="num" w:pos="5760"/>
      </w:tabs>
      <w:autoSpaceDE w:val="0"/>
      <w:autoSpaceDN w:val="0"/>
      <w:spacing w:before="240" w:after="60"/>
      <w:ind w:left="5760" w:hanging="720"/>
      <w:outlineLvl w:val="7"/>
    </w:pPr>
    <w:rPr>
      <w:i/>
      <w:iCs/>
      <w:color w:val="auto"/>
      <w:sz w:val="16"/>
      <w:szCs w:val="16"/>
      <w:lang w:val="en-US"/>
    </w:rPr>
  </w:style>
  <w:style w:type="paragraph" w:styleId="Heading9">
    <w:name w:val="heading 9"/>
    <w:basedOn w:val="Normal1"/>
    <w:next w:val="Normal1"/>
    <w:link w:val="Heading9Char"/>
    <w:qFormat/>
    <w:rsid w:val="00FB4994"/>
    <w:pPr>
      <w:tabs>
        <w:tab w:val="num" w:pos="6480"/>
      </w:tabs>
      <w:autoSpaceDE w:val="0"/>
      <w:autoSpaceDN w:val="0"/>
      <w:spacing w:before="240" w:after="60"/>
      <w:ind w:left="6480" w:hanging="720"/>
      <w:outlineLvl w:val="8"/>
    </w:pPr>
    <w:rPr>
      <w:color w:val="auto"/>
      <w:sz w:val="16"/>
      <w:szCs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75CD"/>
    <w:tblPr>
      <w:tblCellMar>
        <w:top w:w="100" w:type="dxa"/>
        <w:left w:w="100" w:type="dxa"/>
        <w:bottom w:w="100" w:type="dxa"/>
        <w:right w:w="100" w:type="dxa"/>
      </w:tblCellMar>
    </w:tblPr>
  </w:style>
  <w:style w:type="paragraph" w:customStyle="1" w:styleId="Normal1">
    <w:name w:val="Normal1"/>
    <w:rsid w:val="007F75CD"/>
  </w:style>
  <w:style w:type="paragraph" w:styleId="Title">
    <w:name w:val="Title"/>
    <w:basedOn w:val="Normal1"/>
    <w:next w:val="Normal1"/>
    <w:rsid w:val="007F75CD"/>
    <w:pPr>
      <w:keepNext/>
      <w:keepLines/>
      <w:pBdr>
        <w:top w:val="nil"/>
        <w:left w:val="nil"/>
        <w:bottom w:val="nil"/>
        <w:right w:val="nil"/>
        <w:between w:val="nil"/>
      </w:pBdr>
      <w:spacing w:before="480" w:after="120"/>
    </w:pPr>
    <w:rPr>
      <w:b/>
      <w:sz w:val="72"/>
      <w:szCs w:val="72"/>
    </w:rPr>
  </w:style>
  <w:style w:type="paragraph" w:customStyle="1" w:styleId="Normal10">
    <w:name w:val="Normal1"/>
    <w:rsid w:val="00D34A57"/>
  </w:style>
  <w:style w:type="paragraph" w:customStyle="1" w:styleId="Normal2">
    <w:name w:val="Normal2"/>
    <w:rsid w:val="00D34A57"/>
  </w:style>
  <w:style w:type="character" w:styleId="PageNumber">
    <w:name w:val="page number"/>
    <w:basedOn w:val="DefaultParagraphFont"/>
    <w:rsid w:val="002C538B"/>
  </w:style>
  <w:style w:type="character" w:customStyle="1" w:styleId="IEEEAbstractHeadingChar">
    <w:name w:val="IEEE Abstract Heading Char"/>
    <w:basedOn w:val="DefaultParagraphFont"/>
    <w:link w:val="IEEEAbstractHeading"/>
    <w:rsid w:val="00DD5C0C"/>
    <w:rPr>
      <w:rFonts w:eastAsia="SimSun"/>
      <w:b/>
      <w:i/>
      <w:sz w:val="18"/>
      <w:szCs w:val="24"/>
      <w:lang w:val="en-GB" w:eastAsia="en-GB" w:bidi="ar-SA"/>
    </w:rPr>
  </w:style>
  <w:style w:type="character" w:customStyle="1" w:styleId="IEEEAbtractChar">
    <w:name w:val="IEEE Abtract Char"/>
    <w:basedOn w:val="DefaultParagraphFont"/>
    <w:link w:val="IEEEAbtract"/>
    <w:rsid w:val="00DD5C0C"/>
    <w:rPr>
      <w:rFonts w:eastAsia="SimSun"/>
      <w:b/>
      <w:sz w:val="18"/>
      <w:szCs w:val="24"/>
      <w:lang w:val="en-GB" w:eastAsia="en-GB" w:bidi="ar-SA"/>
    </w:rPr>
  </w:style>
  <w:style w:type="character" w:customStyle="1" w:styleId="BalloonTextChar">
    <w:name w:val="Balloon Text Char"/>
    <w:basedOn w:val="DefaultParagraphFont"/>
    <w:link w:val="BalloonText"/>
    <w:uiPriority w:val="99"/>
    <w:semiHidden/>
    <w:rsid w:val="00F44CA3"/>
    <w:rPr>
      <w:rFonts w:ascii="Tahoma" w:hAnsi="Tahoma" w:cs="Tahoma"/>
      <w:sz w:val="16"/>
      <w:szCs w:val="16"/>
      <w:lang w:val="en-IN"/>
    </w:rPr>
  </w:style>
  <w:style w:type="character" w:customStyle="1" w:styleId="InternetLink">
    <w:name w:val="Internet Link"/>
    <w:basedOn w:val="DefaultParagraphFont"/>
    <w:uiPriority w:val="99"/>
    <w:unhideWhenUsed/>
    <w:rsid w:val="00982334"/>
    <w:rPr>
      <w:color w:val="0000FF"/>
      <w:u w:val="single"/>
    </w:rPr>
  </w:style>
  <w:style w:type="character" w:customStyle="1" w:styleId="ListLabel1">
    <w:name w:val="ListLabel 1"/>
    <w:rsid w:val="00B46E1D"/>
    <w:rPr>
      <w:rFonts w:eastAsia="Times New Roman" w:cs="Times New Roman"/>
      <w:i w:val="0"/>
    </w:rPr>
  </w:style>
  <w:style w:type="character" w:customStyle="1" w:styleId="ListLabel2">
    <w:name w:val="ListLabel 2"/>
    <w:rsid w:val="00B46E1D"/>
    <w:rPr>
      <w:rFonts w:cs="Courier New"/>
    </w:rPr>
  </w:style>
  <w:style w:type="paragraph" w:customStyle="1" w:styleId="Heading">
    <w:name w:val="Heading"/>
    <w:basedOn w:val="Normal1"/>
    <w:next w:val="TextBody"/>
    <w:rsid w:val="00B46E1D"/>
    <w:pPr>
      <w:keepNext/>
      <w:spacing w:before="240" w:after="120"/>
    </w:pPr>
    <w:rPr>
      <w:rFonts w:ascii="Liberation Sans" w:eastAsia="Droid Sans Fallback" w:hAnsi="Liberation Sans" w:cs="FreeSans"/>
      <w:sz w:val="28"/>
      <w:szCs w:val="28"/>
    </w:rPr>
  </w:style>
  <w:style w:type="paragraph" w:customStyle="1" w:styleId="TextBody">
    <w:name w:val="Text Body"/>
    <w:basedOn w:val="Normal1"/>
    <w:rsid w:val="00B46E1D"/>
    <w:pPr>
      <w:spacing w:after="140" w:line="288" w:lineRule="auto"/>
    </w:pPr>
  </w:style>
  <w:style w:type="paragraph" w:styleId="List">
    <w:name w:val="List"/>
    <w:basedOn w:val="TextBody"/>
    <w:rsid w:val="00B46E1D"/>
    <w:rPr>
      <w:rFonts w:cs="FreeSans"/>
    </w:rPr>
  </w:style>
  <w:style w:type="paragraph" w:styleId="Caption">
    <w:name w:val="caption"/>
    <w:basedOn w:val="Normal1"/>
    <w:rsid w:val="00B46E1D"/>
    <w:pPr>
      <w:suppressLineNumbers/>
      <w:spacing w:before="120" w:after="120"/>
    </w:pPr>
    <w:rPr>
      <w:rFonts w:cs="FreeSans"/>
      <w:i/>
      <w:iCs/>
    </w:rPr>
  </w:style>
  <w:style w:type="paragraph" w:customStyle="1" w:styleId="Index">
    <w:name w:val="Index"/>
    <w:basedOn w:val="Normal1"/>
    <w:rsid w:val="00B46E1D"/>
    <w:pPr>
      <w:suppressLineNumbers/>
    </w:pPr>
    <w:rPr>
      <w:rFonts w:cs="FreeSans"/>
    </w:rPr>
  </w:style>
  <w:style w:type="paragraph" w:styleId="Header">
    <w:name w:val="header"/>
    <w:basedOn w:val="Normal1"/>
    <w:link w:val="HeaderChar"/>
    <w:uiPriority w:val="99"/>
    <w:rsid w:val="00F74F7C"/>
    <w:pPr>
      <w:tabs>
        <w:tab w:val="center" w:pos="4320"/>
        <w:tab w:val="right" w:pos="8640"/>
      </w:tabs>
    </w:pPr>
  </w:style>
  <w:style w:type="paragraph" w:styleId="Footer">
    <w:name w:val="footer"/>
    <w:basedOn w:val="Normal1"/>
    <w:link w:val="FooterChar"/>
    <w:uiPriority w:val="99"/>
    <w:rsid w:val="00F74F7C"/>
    <w:pPr>
      <w:tabs>
        <w:tab w:val="center" w:pos="4320"/>
        <w:tab w:val="right" w:pos="8640"/>
      </w:tabs>
    </w:pPr>
  </w:style>
  <w:style w:type="paragraph" w:customStyle="1" w:styleId="IEEEAbstractHeading">
    <w:name w:val="IEEE Abstract Heading"/>
    <w:link w:val="IEEEAbstractHeadingChar"/>
    <w:rsid w:val="00DD5C0C"/>
    <w:pPr>
      <w:widowControl w:val="0"/>
      <w:suppressAutoHyphens/>
    </w:pPr>
    <w:rPr>
      <w:i/>
    </w:rPr>
  </w:style>
  <w:style w:type="paragraph" w:customStyle="1" w:styleId="IEEEAbtract">
    <w:name w:val="IEEE Abtract"/>
    <w:basedOn w:val="Normal1"/>
    <w:next w:val="Normal1"/>
    <w:link w:val="IEEEAbtractChar"/>
    <w:rsid w:val="00DD5C0C"/>
    <w:pPr>
      <w:jc w:val="both"/>
    </w:pPr>
    <w:rPr>
      <w:rFonts w:eastAsia="SimSun"/>
      <w:b/>
      <w:sz w:val="18"/>
      <w:lang w:val="en-GB" w:eastAsia="en-GB"/>
    </w:rPr>
  </w:style>
  <w:style w:type="paragraph" w:customStyle="1" w:styleId="IEEEFigureCaptionSingle-Line">
    <w:name w:val="IEEE Figure Caption Single-Line"/>
    <w:basedOn w:val="Normal1"/>
    <w:next w:val="Normal1"/>
    <w:rsid w:val="00856C19"/>
    <w:pPr>
      <w:spacing w:before="120" w:after="120"/>
      <w:jc w:val="center"/>
    </w:pPr>
    <w:rPr>
      <w:rFonts w:eastAsia="SimSun"/>
      <w:sz w:val="16"/>
      <w:lang w:val="en-AU" w:eastAsia="zh-CN"/>
    </w:rPr>
  </w:style>
  <w:style w:type="paragraph" w:styleId="BalloonText">
    <w:name w:val="Balloon Text"/>
    <w:basedOn w:val="Normal1"/>
    <w:link w:val="BalloonTextChar"/>
    <w:uiPriority w:val="99"/>
    <w:semiHidden/>
    <w:unhideWhenUsed/>
    <w:rsid w:val="00F44CA3"/>
    <w:rPr>
      <w:rFonts w:ascii="Tahoma" w:hAnsi="Tahoma" w:cs="Tahoma"/>
      <w:sz w:val="16"/>
      <w:szCs w:val="16"/>
    </w:rPr>
  </w:style>
  <w:style w:type="table" w:styleId="TableGrid">
    <w:name w:val="Table Grid"/>
    <w:basedOn w:val="TableNormal"/>
    <w:uiPriority w:val="59"/>
    <w:rsid w:val="00DE6F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1"/>
    <w:uiPriority w:val="34"/>
    <w:qFormat/>
    <w:rsid w:val="00FA78F0"/>
    <w:pPr>
      <w:ind w:left="720"/>
      <w:contextualSpacing/>
    </w:pPr>
  </w:style>
  <w:style w:type="character" w:customStyle="1" w:styleId="Heading1Char">
    <w:name w:val="Heading 1 Char"/>
    <w:basedOn w:val="DefaultParagraphFont"/>
    <w:link w:val="Heading1"/>
    <w:rsid w:val="00FB4994"/>
    <w:rPr>
      <w:smallCaps/>
      <w:color w:val="auto"/>
      <w:kern w:val="28"/>
      <w:sz w:val="20"/>
      <w:szCs w:val="20"/>
      <w:lang w:val="en-US"/>
    </w:rPr>
  </w:style>
  <w:style w:type="character" w:customStyle="1" w:styleId="Heading2Char">
    <w:name w:val="Heading 2 Char"/>
    <w:basedOn w:val="DefaultParagraphFont"/>
    <w:link w:val="Heading2"/>
    <w:rsid w:val="00FB4994"/>
    <w:rPr>
      <w:i/>
      <w:iCs/>
      <w:color w:val="auto"/>
      <w:sz w:val="20"/>
      <w:szCs w:val="20"/>
      <w:lang w:val="en-US"/>
    </w:rPr>
  </w:style>
  <w:style w:type="character" w:customStyle="1" w:styleId="Heading3Char">
    <w:name w:val="Heading 3 Char"/>
    <w:basedOn w:val="DefaultParagraphFont"/>
    <w:link w:val="Heading3"/>
    <w:rsid w:val="00FB4994"/>
    <w:rPr>
      <w:i/>
      <w:iCs/>
      <w:color w:val="auto"/>
      <w:sz w:val="20"/>
      <w:szCs w:val="20"/>
      <w:lang w:val="en-US"/>
    </w:rPr>
  </w:style>
  <w:style w:type="character" w:customStyle="1" w:styleId="Heading4Char">
    <w:name w:val="Heading 4 Char"/>
    <w:basedOn w:val="DefaultParagraphFont"/>
    <w:link w:val="Heading4"/>
    <w:rsid w:val="00FB4994"/>
    <w:rPr>
      <w:i/>
      <w:iCs/>
      <w:color w:val="auto"/>
      <w:sz w:val="18"/>
      <w:szCs w:val="18"/>
      <w:lang w:val="en-US"/>
    </w:rPr>
  </w:style>
  <w:style w:type="character" w:customStyle="1" w:styleId="Heading5Char">
    <w:name w:val="Heading 5 Char"/>
    <w:basedOn w:val="DefaultParagraphFont"/>
    <w:link w:val="Heading5"/>
    <w:rsid w:val="00FB4994"/>
    <w:rPr>
      <w:color w:val="auto"/>
      <w:sz w:val="18"/>
      <w:szCs w:val="18"/>
      <w:lang w:val="en-US"/>
    </w:rPr>
  </w:style>
  <w:style w:type="character" w:customStyle="1" w:styleId="Heading6Char">
    <w:name w:val="Heading 6 Char"/>
    <w:basedOn w:val="DefaultParagraphFont"/>
    <w:link w:val="Heading6"/>
    <w:rsid w:val="00FB4994"/>
    <w:rPr>
      <w:i/>
      <w:iCs/>
      <w:color w:val="auto"/>
      <w:sz w:val="16"/>
      <w:szCs w:val="16"/>
      <w:lang w:val="en-US"/>
    </w:rPr>
  </w:style>
  <w:style w:type="character" w:customStyle="1" w:styleId="Heading7Char">
    <w:name w:val="Heading 7 Char"/>
    <w:basedOn w:val="DefaultParagraphFont"/>
    <w:link w:val="Heading7"/>
    <w:rsid w:val="00FB4994"/>
    <w:rPr>
      <w:color w:val="auto"/>
      <w:sz w:val="16"/>
      <w:szCs w:val="16"/>
      <w:lang w:val="en-US"/>
    </w:rPr>
  </w:style>
  <w:style w:type="character" w:customStyle="1" w:styleId="Heading8Char">
    <w:name w:val="Heading 8 Char"/>
    <w:basedOn w:val="DefaultParagraphFont"/>
    <w:link w:val="Heading8"/>
    <w:rsid w:val="00FB4994"/>
    <w:rPr>
      <w:i/>
      <w:iCs/>
      <w:color w:val="auto"/>
      <w:sz w:val="16"/>
      <w:szCs w:val="16"/>
      <w:lang w:val="en-US"/>
    </w:rPr>
  </w:style>
  <w:style w:type="character" w:customStyle="1" w:styleId="Heading9Char">
    <w:name w:val="Heading 9 Char"/>
    <w:basedOn w:val="DefaultParagraphFont"/>
    <w:link w:val="Heading9"/>
    <w:rsid w:val="00FB4994"/>
    <w:rPr>
      <w:color w:val="auto"/>
      <w:sz w:val="16"/>
      <w:szCs w:val="16"/>
      <w:lang w:val="en-US"/>
    </w:rPr>
  </w:style>
  <w:style w:type="paragraph" w:styleId="NormalWeb">
    <w:name w:val="Normal (Web)"/>
    <w:basedOn w:val="Normal1"/>
    <w:unhideWhenUsed/>
    <w:rsid w:val="00FB4994"/>
    <w:pPr>
      <w:spacing w:before="100" w:beforeAutospacing="1" w:after="100" w:afterAutospacing="1"/>
    </w:pPr>
    <w:rPr>
      <w:color w:val="auto"/>
    </w:rPr>
  </w:style>
  <w:style w:type="character" w:customStyle="1" w:styleId="FooterChar">
    <w:name w:val="Footer Char"/>
    <w:basedOn w:val="DefaultParagraphFont"/>
    <w:link w:val="Footer"/>
    <w:uiPriority w:val="99"/>
    <w:rsid w:val="00601FDE"/>
    <w:rPr>
      <w:color w:val="00000A"/>
      <w:sz w:val="24"/>
      <w:szCs w:val="24"/>
      <w:lang w:val="en-IN"/>
    </w:rPr>
  </w:style>
  <w:style w:type="table" w:customStyle="1" w:styleId="a">
    <w:basedOn w:val="TableNormal"/>
    <w:rsid w:val="00D34A57"/>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D34A57"/>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D34A57"/>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D34A57"/>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D34A57"/>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D34A57"/>
    <w:tblPr>
      <w:tblStyleRowBandSize w:val="1"/>
      <w:tblStyleColBandSize w:val="1"/>
      <w:tblInd w:w="0" w:type="dxa"/>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076273"/>
  </w:style>
  <w:style w:type="paragraph" w:styleId="Subtitle">
    <w:name w:val="Subtitle"/>
    <w:basedOn w:val="Normal1"/>
    <w:next w:val="Normal1"/>
    <w:rsid w:val="007F75CD"/>
    <w:pPr>
      <w:keepNext/>
      <w:keepLines/>
      <w:spacing w:before="360" w:after="80"/>
    </w:pPr>
    <w:rPr>
      <w:rFonts w:ascii="Georgia" w:eastAsia="Georgia" w:hAnsi="Georgia" w:cs="Georgia"/>
      <w:i/>
      <w:color w:val="666666"/>
      <w:sz w:val="48"/>
      <w:szCs w:val="48"/>
    </w:rPr>
  </w:style>
  <w:style w:type="table" w:customStyle="1" w:styleId="a5">
    <w:basedOn w:val="TableNormal"/>
    <w:rsid w:val="007F75CD"/>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7F75CD"/>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7F75CD"/>
    <w:tblPr>
      <w:tblStyleRowBandSize w:val="1"/>
      <w:tblStyleColBandSize w:val="1"/>
      <w:tblInd w:w="0" w:type="dxa"/>
      <w:tblCellMar>
        <w:top w:w="0" w:type="dxa"/>
        <w:left w:w="108" w:type="dxa"/>
        <w:bottom w:w="0" w:type="dxa"/>
        <w:right w:w="108" w:type="dxa"/>
      </w:tblCellMar>
    </w:tblPr>
  </w:style>
  <w:style w:type="paragraph" w:styleId="TOC1">
    <w:name w:val="toc 1"/>
    <w:basedOn w:val="Normal"/>
    <w:uiPriority w:val="1"/>
    <w:qFormat/>
    <w:rsid w:val="00695089"/>
    <w:pPr>
      <w:widowControl w:val="0"/>
      <w:autoSpaceDE w:val="0"/>
      <w:autoSpaceDN w:val="0"/>
      <w:spacing w:before="276"/>
      <w:ind w:left="545"/>
    </w:pPr>
    <w:rPr>
      <w:b/>
      <w:bCs/>
      <w:color w:val="auto"/>
      <w:lang w:val="en-US" w:eastAsia="en-US"/>
    </w:rPr>
  </w:style>
  <w:style w:type="paragraph" w:styleId="TOC2">
    <w:name w:val="toc 2"/>
    <w:basedOn w:val="Normal"/>
    <w:uiPriority w:val="1"/>
    <w:qFormat/>
    <w:rsid w:val="00695089"/>
    <w:pPr>
      <w:widowControl w:val="0"/>
      <w:autoSpaceDE w:val="0"/>
      <w:autoSpaceDN w:val="0"/>
      <w:ind w:left="2787" w:hanging="701"/>
    </w:pPr>
    <w:rPr>
      <w:color w:val="auto"/>
      <w:lang w:val="en-US" w:eastAsia="en-US"/>
    </w:rPr>
  </w:style>
  <w:style w:type="paragraph" w:customStyle="1" w:styleId="TableParagraph">
    <w:name w:val="Table Paragraph"/>
    <w:basedOn w:val="Normal"/>
    <w:uiPriority w:val="1"/>
    <w:qFormat/>
    <w:rsid w:val="00695089"/>
    <w:pPr>
      <w:widowControl w:val="0"/>
      <w:autoSpaceDE w:val="0"/>
      <w:autoSpaceDN w:val="0"/>
    </w:pPr>
    <w:rPr>
      <w:color w:val="auto"/>
      <w:sz w:val="22"/>
      <w:szCs w:val="22"/>
      <w:lang w:val="en-US" w:eastAsia="en-U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3yWKft2qG6HSLmdjXET/No2SQ==">CgMxLjA4AHIhMVNEa05jTzJBbnFheGRFZ0FzZVdGcU9KN0h4TWN4MC01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COmputer</cp:lastModifiedBy>
  <cp:revision>10</cp:revision>
  <dcterms:created xsi:type="dcterms:W3CDTF">2021-06-15T08:17:00Z</dcterms:created>
  <dcterms:modified xsi:type="dcterms:W3CDTF">2026-09-03T11:50:00Z</dcterms:modified>
  <dc:title>Pink Tax: A Data-Driven Analysis of Gender-Based Price Differences in Indian Online Retail</dc:title>
  <dc:subject>Summer Internship (3170001)</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346ab2a283147cadb827e123290059063973ba0059dd42dd8e344283de00d1d3</vt:lpwstr>
  </property>
</Properties>
</file>