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80" w:lineRule="exact"/>
        <w:ind w:firstLine="640" w:firstLineChars="200"/>
        <w:rPr>
          <w:rFonts w:ascii="Times New Roman" w:hAnsi="Times New Roman" w:eastAsia="仿宋_GB2312"/>
          <w:color w:val="000000" w:themeColor="text1"/>
          <w:sz w:val="32"/>
          <w:szCs w:val="32"/>
          <w14:textFill>
            <w14:solidFill>
              <w14:schemeClr w14:val="tx1"/>
            </w14:solidFill>
          </w14:textFill>
        </w:rPr>
      </w:pPr>
    </w:p>
    <w:p>
      <w:pPr>
        <w:snapToGrid w:val="0"/>
        <w:spacing w:line="580" w:lineRule="exact"/>
        <w:ind w:firstLine="640" w:firstLineChars="200"/>
        <w:rPr>
          <w:rFonts w:ascii="Times New Roman" w:hAnsi="Times New Roman" w:eastAsia="仿宋_GB2312"/>
          <w:color w:val="000000" w:themeColor="text1"/>
          <w:sz w:val="32"/>
          <w:szCs w:val="32"/>
          <w14:textFill>
            <w14:solidFill>
              <w14:schemeClr w14:val="tx1"/>
            </w14:solidFill>
          </w14:textFill>
        </w:rPr>
      </w:pPr>
    </w:p>
    <w:p>
      <w:pPr>
        <w:spacing w:line="580" w:lineRule="exact"/>
        <w:jc w:val="center"/>
        <w:rPr>
          <w:rFonts w:ascii="宋体" w:hAnsi="宋体"/>
          <w:color w:val="000000" w:themeColor="text1"/>
          <w:sz w:val="44"/>
          <w:szCs w:val="44"/>
          <w14:textFill>
            <w14:solidFill>
              <w14:schemeClr w14:val="tx1"/>
            </w14:solidFill>
          </w14:textFill>
        </w:rPr>
      </w:pPr>
      <w:r>
        <w:rPr>
          <w:rFonts w:hint="eastAsia" w:ascii="宋体" w:hAnsi="宋体"/>
          <w:color w:val="000000" w:themeColor="text1"/>
          <w:sz w:val="44"/>
          <w:szCs w:val="44"/>
          <w14:textFill>
            <w14:solidFill>
              <w14:schemeClr w14:val="tx1"/>
            </w14:solidFill>
          </w14:textFill>
        </w:rPr>
        <w:t>吴忠市文明行为促进条例</w:t>
      </w:r>
    </w:p>
    <w:p>
      <w:pPr>
        <w:spacing w:line="580" w:lineRule="exact"/>
        <w:rPr>
          <w:rFonts w:ascii="Times New Roman" w:hAnsi="Times New Roman" w:eastAsia="方正小标宋_GBK"/>
          <w:color w:val="000000" w:themeColor="text1"/>
          <w:sz w:val="44"/>
          <w:szCs w:val="44"/>
          <w14:textFill>
            <w14:solidFill>
              <w14:schemeClr w14:val="tx1"/>
            </w14:solidFill>
          </w14:textFill>
        </w:rPr>
      </w:pPr>
    </w:p>
    <w:p>
      <w:pPr>
        <w:spacing w:line="580"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14:textFill>
            <w14:solidFill>
              <w14:schemeClr w14:val="tx1"/>
            </w14:solidFill>
          </w14:textFill>
        </w:rPr>
        <w:t>（</w:t>
      </w:r>
      <w:r>
        <w:rPr>
          <w:rFonts w:ascii="Times New Roman" w:hAnsi="Times New Roman" w:eastAsia="楷体_GB2312"/>
          <w:color w:val="000000" w:themeColor="text1"/>
          <w:sz w:val="32"/>
          <w:szCs w:val="32"/>
          <w14:textFill>
            <w14:solidFill>
              <w14:schemeClr w14:val="tx1"/>
            </w14:solidFill>
          </w14:textFill>
        </w:rPr>
        <w:t>201</w:t>
      </w:r>
      <w:r>
        <w:rPr>
          <w:rFonts w:hint="eastAsia" w:ascii="Times New Roman" w:hAnsi="Times New Roman" w:eastAsia="楷体_GB2312"/>
          <w:color w:val="000000" w:themeColor="text1"/>
          <w:sz w:val="32"/>
          <w:szCs w:val="32"/>
          <w14:textFill>
            <w14:solidFill>
              <w14:schemeClr w14:val="tx1"/>
            </w14:solidFill>
          </w14:textFill>
        </w:rPr>
        <w:t>9</w:t>
      </w:r>
      <w:r>
        <w:rPr>
          <w:rFonts w:ascii="Times New Roman" w:hAnsi="Times New Roman" w:eastAsia="楷体_GB2312"/>
          <w:color w:val="000000" w:themeColor="text1"/>
          <w:sz w:val="32"/>
          <w:szCs w:val="32"/>
          <w14:textFill>
            <w14:solidFill>
              <w14:schemeClr w14:val="tx1"/>
            </w14:solidFill>
          </w14:textFill>
        </w:rPr>
        <w:t>年</w:t>
      </w:r>
      <w:r>
        <w:rPr>
          <w:rFonts w:hint="eastAsia" w:ascii="Times New Roman" w:hAnsi="Times New Roman" w:eastAsia="楷体_GB2312"/>
          <w:color w:val="000000" w:themeColor="text1"/>
          <w:sz w:val="32"/>
          <w:szCs w:val="32"/>
          <w14:textFill>
            <w14:solidFill>
              <w14:schemeClr w14:val="tx1"/>
            </w14:solidFill>
          </w14:textFill>
        </w:rPr>
        <w:t>8</w:t>
      </w:r>
      <w:r>
        <w:rPr>
          <w:rFonts w:ascii="Times New Roman" w:hAnsi="Times New Roman" w:eastAsia="楷体_GB2312"/>
          <w:color w:val="000000" w:themeColor="text1"/>
          <w:sz w:val="32"/>
          <w:szCs w:val="32"/>
          <w14:textFill>
            <w14:solidFill>
              <w14:schemeClr w14:val="tx1"/>
            </w14:solidFill>
          </w14:textFill>
        </w:rPr>
        <w:t>月2</w:t>
      </w:r>
      <w:r>
        <w:rPr>
          <w:rFonts w:hint="eastAsia" w:ascii="Times New Roman" w:hAnsi="Times New Roman" w:eastAsia="楷体_GB2312"/>
          <w:color w:val="000000" w:themeColor="text1"/>
          <w:sz w:val="32"/>
          <w:szCs w:val="32"/>
          <w14:textFill>
            <w14:solidFill>
              <w14:schemeClr w14:val="tx1"/>
            </w14:solidFill>
          </w14:textFill>
        </w:rPr>
        <w:t>9</w:t>
      </w:r>
      <w:r>
        <w:rPr>
          <w:rFonts w:ascii="Times New Roman" w:hAnsi="Times New Roman" w:eastAsia="楷体_GB2312"/>
          <w:color w:val="000000" w:themeColor="text1"/>
          <w:sz w:val="32"/>
          <w:szCs w:val="32"/>
          <w14:textFill>
            <w14:solidFill>
              <w14:schemeClr w14:val="tx1"/>
            </w14:solidFill>
          </w14:textFill>
        </w:rPr>
        <w:t>日吴忠市第五届人民代表大会</w:t>
      </w:r>
      <w:r>
        <w:rPr>
          <w:rFonts w:hint="eastAsia" w:ascii="Times New Roman" w:hAnsi="Times New Roman" w:eastAsia="楷体_GB2312"/>
          <w:color w:val="000000" w:themeColor="text1"/>
          <w:sz w:val="32"/>
          <w:szCs w:val="32"/>
          <w14:textFill>
            <w14:solidFill>
              <w14:schemeClr w14:val="tx1"/>
            </w14:solidFill>
          </w14:textFill>
        </w:rPr>
        <w:t>常务</w:t>
      </w:r>
    </w:p>
    <w:p>
      <w:pPr>
        <w:spacing w:line="580"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hint="eastAsia" w:ascii="Times New Roman" w:hAnsi="Times New Roman" w:eastAsia="楷体_GB2312"/>
          <w:color w:val="000000" w:themeColor="text1"/>
          <w:sz w:val="32"/>
          <w:szCs w:val="32"/>
          <w14:textFill>
            <w14:solidFill>
              <w14:schemeClr w14:val="tx1"/>
            </w14:solidFill>
          </w14:textFill>
        </w:rPr>
        <w:t>委员会</w:t>
      </w:r>
      <w:r>
        <w:rPr>
          <w:rFonts w:ascii="Times New Roman" w:hAnsi="Times New Roman" w:eastAsia="楷体_GB2312"/>
          <w:color w:val="000000" w:themeColor="text1"/>
          <w:sz w:val="32"/>
          <w:szCs w:val="32"/>
          <w14:textFill>
            <w14:solidFill>
              <w14:schemeClr w14:val="tx1"/>
            </w14:solidFill>
          </w14:textFill>
        </w:rPr>
        <w:t>第</w:t>
      </w:r>
      <w:r>
        <w:rPr>
          <w:rFonts w:hint="eastAsia" w:ascii="Times New Roman" w:hAnsi="Times New Roman" w:eastAsia="楷体_GB2312"/>
          <w:color w:val="000000" w:themeColor="text1"/>
          <w:sz w:val="32"/>
          <w:szCs w:val="32"/>
          <w14:textFill>
            <w14:solidFill>
              <w14:schemeClr w14:val="tx1"/>
            </w14:solidFill>
          </w14:textFill>
        </w:rPr>
        <w:t>二十</w:t>
      </w:r>
      <w:r>
        <w:rPr>
          <w:rFonts w:ascii="Times New Roman" w:hAnsi="Times New Roman" w:eastAsia="楷体_GB2312"/>
          <w:color w:val="000000" w:themeColor="text1"/>
          <w:sz w:val="32"/>
          <w:szCs w:val="32"/>
          <w14:textFill>
            <w14:solidFill>
              <w14:schemeClr w14:val="tx1"/>
            </w14:solidFill>
          </w14:textFill>
        </w:rPr>
        <w:t>次会议通过</w:t>
      </w:r>
      <w:r>
        <w:rPr>
          <w:rFonts w:hint="eastAsia" w:ascii="Times New Roman" w:hAnsi="Times New Roman" w:eastAsia="楷体_GB2312"/>
          <w:color w:val="000000" w:themeColor="text1"/>
          <w:sz w:val="32"/>
          <w:szCs w:val="32"/>
          <w14:textFill>
            <w14:solidFill>
              <w14:schemeClr w14:val="tx1"/>
            </w14:solidFill>
          </w14:textFill>
        </w:rPr>
        <w:t xml:space="preserve">  </w:t>
      </w:r>
      <w:r>
        <w:rPr>
          <w:rFonts w:ascii="Times New Roman" w:hAnsi="Times New Roman" w:eastAsia="楷体_GB2312"/>
          <w:color w:val="000000" w:themeColor="text1"/>
          <w:sz w:val="32"/>
          <w:szCs w:val="32"/>
          <w14:textFill>
            <w14:solidFill>
              <w14:schemeClr w14:val="tx1"/>
            </w14:solidFill>
          </w14:textFill>
        </w:rPr>
        <w:t>201</w:t>
      </w:r>
      <w:r>
        <w:rPr>
          <w:rFonts w:hint="eastAsia" w:ascii="Times New Roman" w:hAnsi="Times New Roman" w:eastAsia="楷体_GB2312"/>
          <w:color w:val="000000" w:themeColor="text1"/>
          <w:sz w:val="32"/>
          <w:szCs w:val="32"/>
          <w14:textFill>
            <w14:solidFill>
              <w14:schemeClr w14:val="tx1"/>
            </w14:solidFill>
          </w14:textFill>
        </w:rPr>
        <w:t>9</w:t>
      </w:r>
      <w:r>
        <w:rPr>
          <w:rFonts w:ascii="Times New Roman" w:hAnsi="Times New Roman" w:eastAsia="楷体_GB2312"/>
          <w:color w:val="000000" w:themeColor="text1"/>
          <w:sz w:val="32"/>
          <w:szCs w:val="32"/>
          <w14:textFill>
            <w14:solidFill>
              <w14:schemeClr w14:val="tx1"/>
            </w14:solidFill>
          </w14:textFill>
        </w:rPr>
        <w:t>年</w:t>
      </w:r>
      <w:r>
        <w:rPr>
          <w:rFonts w:hint="eastAsia" w:ascii="Times New Roman" w:hAnsi="Times New Roman" w:eastAsia="楷体_GB2312"/>
          <w:color w:val="000000" w:themeColor="text1"/>
          <w:sz w:val="32"/>
          <w:szCs w:val="32"/>
          <w14:textFill>
            <w14:solidFill>
              <w14:schemeClr w14:val="tx1"/>
            </w14:solidFill>
          </w14:textFill>
        </w:rPr>
        <w:t>9</w:t>
      </w:r>
      <w:r>
        <w:rPr>
          <w:rFonts w:ascii="Times New Roman" w:hAnsi="Times New Roman" w:eastAsia="楷体_GB2312"/>
          <w:color w:val="000000" w:themeColor="text1"/>
          <w:sz w:val="32"/>
          <w:szCs w:val="32"/>
          <w14:textFill>
            <w14:solidFill>
              <w14:schemeClr w14:val="tx1"/>
            </w14:solidFill>
          </w14:textFill>
        </w:rPr>
        <w:t>月</w:t>
      </w:r>
      <w:r>
        <w:rPr>
          <w:rFonts w:hint="eastAsia" w:ascii="Times New Roman" w:hAnsi="Times New Roman" w:eastAsia="楷体_GB2312"/>
          <w:color w:val="000000" w:themeColor="text1"/>
          <w:sz w:val="32"/>
          <w:szCs w:val="32"/>
          <w14:textFill>
            <w14:solidFill>
              <w14:schemeClr w14:val="tx1"/>
            </w14:solidFill>
          </w14:textFill>
        </w:rPr>
        <w:t>27</w:t>
      </w:r>
      <w:r>
        <w:rPr>
          <w:rFonts w:ascii="Times New Roman" w:hAnsi="Times New Roman" w:eastAsia="楷体_GB2312"/>
          <w:color w:val="000000" w:themeColor="text1"/>
          <w:sz w:val="32"/>
          <w:szCs w:val="32"/>
          <w14:textFill>
            <w14:solidFill>
              <w14:schemeClr w14:val="tx1"/>
            </w14:solidFill>
          </w14:textFill>
        </w:rPr>
        <w:t>日宁夏回</w:t>
      </w:r>
    </w:p>
    <w:p>
      <w:pPr>
        <w:spacing w:line="580"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族自治区第十</w:t>
      </w:r>
      <w:r>
        <w:rPr>
          <w:rFonts w:hint="eastAsia" w:ascii="Times New Roman" w:hAnsi="Times New Roman" w:eastAsia="楷体_GB2312"/>
          <w:color w:val="000000" w:themeColor="text1"/>
          <w:sz w:val="32"/>
          <w:szCs w:val="32"/>
          <w14:textFill>
            <w14:solidFill>
              <w14:schemeClr w14:val="tx1"/>
            </w14:solidFill>
          </w14:textFill>
        </w:rPr>
        <w:t>二</w:t>
      </w:r>
      <w:r>
        <w:rPr>
          <w:rFonts w:ascii="Times New Roman" w:hAnsi="Times New Roman" w:eastAsia="楷体_GB2312"/>
          <w:color w:val="000000" w:themeColor="text1"/>
          <w:sz w:val="32"/>
          <w:szCs w:val="32"/>
          <w14:textFill>
            <w14:solidFill>
              <w14:schemeClr w14:val="tx1"/>
            </w14:solidFill>
          </w14:textFill>
        </w:rPr>
        <w:t>届人民代表大会常务委员会第</w:t>
      </w:r>
      <w:r>
        <w:rPr>
          <w:rFonts w:hint="eastAsia" w:ascii="Times New Roman" w:hAnsi="Times New Roman" w:eastAsia="楷体_GB2312"/>
          <w:color w:val="000000" w:themeColor="text1"/>
          <w:sz w:val="32"/>
          <w:szCs w:val="32"/>
          <w14:textFill>
            <w14:solidFill>
              <w14:schemeClr w14:val="tx1"/>
            </w14:solidFill>
          </w14:textFill>
        </w:rPr>
        <w:t>十五</w:t>
      </w:r>
      <w:r>
        <w:rPr>
          <w:rFonts w:ascii="Times New Roman" w:hAnsi="Times New Roman" w:eastAsia="楷体_GB2312"/>
          <w:color w:val="000000" w:themeColor="text1"/>
          <w:sz w:val="32"/>
          <w:szCs w:val="32"/>
          <w14:textFill>
            <w14:solidFill>
              <w14:schemeClr w14:val="tx1"/>
            </w14:solidFill>
          </w14:textFill>
        </w:rPr>
        <w:t>次</w:t>
      </w:r>
    </w:p>
    <w:p>
      <w:pPr>
        <w:spacing w:line="580" w:lineRule="exact"/>
        <w:ind w:left="479" w:leftChars="228" w:firstLine="160" w:firstLineChars="5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会议批准</w:t>
      </w:r>
      <w:r>
        <w:rPr>
          <w:rFonts w:hint="eastAsia" w:ascii="Times New Roman" w:hAnsi="Times New Roman" w:eastAsia="楷体_GB2312"/>
          <w:color w:val="000000" w:themeColor="text1"/>
          <w:sz w:val="32"/>
          <w:szCs w:val="32"/>
          <w14:textFill>
            <w14:solidFill>
              <w14:schemeClr w14:val="tx1"/>
            </w14:solidFill>
          </w14:textFill>
        </w:rPr>
        <w:t>）</w:t>
      </w:r>
    </w:p>
    <w:p>
      <w:pPr>
        <w:spacing w:line="580" w:lineRule="exact"/>
        <w:jc w:val="center"/>
        <w:rPr>
          <w:rFonts w:ascii="Times New Roman" w:hAnsi="Times New Roman" w:eastAsia="方正小标宋_GBK"/>
          <w:color w:val="000000" w:themeColor="text1"/>
          <w:sz w:val="44"/>
          <w:szCs w:val="44"/>
          <w14:textFill>
            <w14:solidFill>
              <w14:schemeClr w14:val="tx1"/>
            </w14:solidFill>
          </w14:textFill>
        </w:rPr>
      </w:pPr>
    </w:p>
    <w:p>
      <w:pPr>
        <w:autoSpaceDE w:val="0"/>
        <w:adjustRightInd w:val="0"/>
        <w:snapToGrid w:val="0"/>
        <w:spacing w:line="560" w:lineRule="exact"/>
        <w:jc w:val="center"/>
        <w:outlineLvl w:val="0"/>
        <w:rPr>
          <w:rFonts w:ascii="Times New Roman" w:hAnsi="Times New Roman" w:eastAsia="楷体_GB2312"/>
          <w:color w:val="000000"/>
          <w:sz w:val="32"/>
          <w:szCs w:val="32"/>
        </w:rPr>
      </w:pPr>
      <w:r>
        <w:rPr>
          <w:rFonts w:ascii="Times New Roman" w:hAnsi="Times New Roman" w:eastAsia="楷体_GB2312"/>
          <w:color w:val="000000"/>
          <w:sz w:val="32"/>
          <w:szCs w:val="32"/>
        </w:rPr>
        <w:t>目</w:t>
      </w:r>
      <w:r>
        <w:rPr>
          <w:rFonts w:hint="eastAsia" w:ascii="Times New Roman" w:hAnsi="Times New Roman" w:eastAsia="楷体_GB2312"/>
          <w:color w:val="000000"/>
          <w:sz w:val="32"/>
          <w:szCs w:val="32"/>
        </w:rPr>
        <w:t xml:space="preserve">    </w:t>
      </w:r>
      <w:r>
        <w:rPr>
          <w:rFonts w:ascii="Times New Roman" w:hAnsi="Times New Roman" w:eastAsia="楷体_GB2312"/>
          <w:color w:val="000000"/>
          <w:sz w:val="32"/>
          <w:szCs w:val="32"/>
        </w:rPr>
        <w:t>录</w:t>
      </w:r>
    </w:p>
    <w:p>
      <w:pPr>
        <w:autoSpaceDE w:val="0"/>
        <w:adjustRightInd w:val="0"/>
        <w:snapToGrid w:val="0"/>
        <w:spacing w:line="560" w:lineRule="exact"/>
        <w:outlineLvl w:val="0"/>
        <w:rPr>
          <w:rFonts w:ascii="Times New Roman" w:hAnsi="Times New Roman" w:eastAsia="楷体_GB2312"/>
          <w:color w:val="000000"/>
          <w:sz w:val="32"/>
          <w:szCs w:val="32"/>
        </w:rPr>
      </w:pPr>
      <w:r>
        <w:rPr>
          <w:rFonts w:ascii="Times New Roman" w:hAnsi="Times New Roman" w:eastAsia="楷体_GB2312"/>
          <w:color w:val="000000"/>
          <w:sz w:val="32"/>
          <w:szCs w:val="32"/>
        </w:rPr>
        <w:t xml:space="preserve"> </w:t>
      </w:r>
    </w:p>
    <w:p>
      <w:pPr>
        <w:spacing w:line="560" w:lineRule="exact"/>
        <w:ind w:firstLine="720"/>
        <w:rPr>
          <w:rFonts w:ascii="Times New Roman" w:hAnsi="Times New Roman" w:eastAsia="楷体_GB2312"/>
          <w:color w:val="000000"/>
          <w:sz w:val="32"/>
          <w:szCs w:val="32"/>
        </w:rPr>
      </w:pPr>
      <w:r>
        <w:rPr>
          <w:rFonts w:ascii="Times New Roman" w:hAnsi="Times New Roman" w:eastAsia="楷体_GB2312"/>
          <w:color w:val="000000"/>
          <w:sz w:val="32"/>
          <w:szCs w:val="32"/>
        </w:rPr>
        <w:t>第一章  总    则</w:t>
      </w:r>
    </w:p>
    <w:p>
      <w:pPr>
        <w:spacing w:line="560" w:lineRule="exact"/>
        <w:ind w:firstLine="720"/>
        <w:rPr>
          <w:rFonts w:ascii="Times New Roman" w:hAnsi="Times New Roman" w:eastAsia="楷体_GB2312"/>
          <w:color w:val="000000"/>
          <w:sz w:val="32"/>
          <w:szCs w:val="32"/>
        </w:rPr>
      </w:pPr>
      <w:r>
        <w:rPr>
          <w:rFonts w:ascii="Times New Roman" w:hAnsi="Times New Roman" w:eastAsia="楷体_GB2312"/>
          <w:color w:val="000000"/>
          <w:sz w:val="32"/>
          <w:szCs w:val="32"/>
        </w:rPr>
        <w:t>第二章  行为规范</w:t>
      </w:r>
    </w:p>
    <w:p>
      <w:pPr>
        <w:spacing w:line="560" w:lineRule="exact"/>
        <w:ind w:firstLine="720"/>
        <w:rPr>
          <w:rFonts w:ascii="Times New Roman" w:hAnsi="Times New Roman" w:eastAsia="楷体_GB2312"/>
          <w:color w:val="000000"/>
          <w:sz w:val="32"/>
          <w:szCs w:val="32"/>
        </w:rPr>
      </w:pPr>
      <w:r>
        <w:rPr>
          <w:rFonts w:ascii="Times New Roman" w:hAnsi="Times New Roman" w:eastAsia="楷体_GB2312"/>
          <w:color w:val="000000"/>
          <w:sz w:val="32"/>
          <w:szCs w:val="32"/>
        </w:rPr>
        <w:t>第三章  保障措施</w:t>
      </w:r>
    </w:p>
    <w:p>
      <w:pPr>
        <w:spacing w:line="560" w:lineRule="exact"/>
        <w:ind w:firstLine="720"/>
        <w:rPr>
          <w:rFonts w:ascii="Times New Roman" w:hAnsi="Times New Roman" w:eastAsia="楷体_GB2312"/>
          <w:color w:val="000000"/>
          <w:sz w:val="32"/>
          <w:szCs w:val="32"/>
        </w:rPr>
      </w:pPr>
      <w:r>
        <w:rPr>
          <w:rFonts w:ascii="Times New Roman" w:hAnsi="Times New Roman" w:eastAsia="楷体_GB2312"/>
          <w:color w:val="000000"/>
          <w:sz w:val="32"/>
          <w:szCs w:val="32"/>
        </w:rPr>
        <w:t>第四章  法律责任</w:t>
      </w:r>
    </w:p>
    <w:p>
      <w:pPr>
        <w:spacing w:line="560" w:lineRule="exact"/>
        <w:ind w:firstLine="720"/>
        <w:rPr>
          <w:rFonts w:ascii="Times New Roman" w:hAnsi="Times New Roman" w:eastAsia="楷体_GB2312"/>
          <w:color w:val="000000"/>
          <w:sz w:val="32"/>
          <w:szCs w:val="32"/>
        </w:rPr>
      </w:pPr>
      <w:r>
        <w:rPr>
          <w:rFonts w:ascii="Times New Roman" w:hAnsi="Times New Roman" w:eastAsia="楷体_GB2312"/>
          <w:color w:val="000000"/>
          <w:sz w:val="32"/>
          <w:szCs w:val="32"/>
        </w:rPr>
        <w:t>第五章  附    则</w:t>
      </w:r>
    </w:p>
    <w:p>
      <w:pPr>
        <w:spacing w:line="560" w:lineRule="exact"/>
        <w:ind w:firstLine="720"/>
        <w:rPr>
          <w:rFonts w:ascii="Times New Roman" w:hAnsi="Times New Roman" w:eastAsia="楷体_GB2312"/>
          <w:b/>
          <w:bCs/>
          <w:color w:val="000000"/>
          <w:sz w:val="32"/>
          <w:szCs w:val="32"/>
        </w:rPr>
      </w:pPr>
    </w:p>
    <w:p>
      <w:pPr>
        <w:spacing w:line="560" w:lineRule="exact"/>
        <w:jc w:val="center"/>
        <w:rPr>
          <w:rFonts w:ascii="Times New Roman" w:hAnsi="Times New Roman" w:eastAsia="黑体"/>
          <w:color w:val="000000"/>
          <w:sz w:val="32"/>
          <w:szCs w:val="32"/>
        </w:rPr>
      </w:pPr>
      <w:r>
        <w:rPr>
          <w:rFonts w:ascii="Times New Roman" w:hAnsi="Times New Roman" w:eastAsia="黑体"/>
          <w:color w:val="000000"/>
          <w:sz w:val="32"/>
          <w:szCs w:val="32"/>
        </w:rPr>
        <w:t>第一章</w:t>
      </w:r>
      <w:r>
        <w:rPr>
          <w:rFonts w:hint="eastAsia" w:ascii="Times New Roman" w:hAnsi="Times New Roman" w:eastAsia="黑体"/>
          <w:color w:val="000000"/>
          <w:sz w:val="32"/>
          <w:szCs w:val="32"/>
        </w:rPr>
        <w:t>　</w:t>
      </w:r>
      <w:r>
        <w:rPr>
          <w:rFonts w:ascii="Times New Roman" w:hAnsi="Times New Roman" w:eastAsia="黑体"/>
          <w:color w:val="000000"/>
          <w:sz w:val="32"/>
          <w:szCs w:val="32"/>
        </w:rPr>
        <w:t>总</w:t>
      </w:r>
      <w:r>
        <w:rPr>
          <w:rFonts w:hint="eastAsia" w:ascii="Times New Roman" w:hAnsi="Times New Roman" w:eastAsia="黑体"/>
          <w:color w:val="000000"/>
          <w:sz w:val="32"/>
          <w:szCs w:val="32"/>
        </w:rPr>
        <w:t>　　</w:t>
      </w:r>
      <w:r>
        <w:rPr>
          <w:rFonts w:ascii="Times New Roman" w:hAnsi="Times New Roman" w:eastAsia="黑体"/>
          <w:color w:val="000000"/>
          <w:sz w:val="32"/>
          <w:szCs w:val="32"/>
        </w:rPr>
        <w:t>则</w:t>
      </w:r>
    </w:p>
    <w:p>
      <w:pPr>
        <w:spacing w:line="560" w:lineRule="exact"/>
        <w:ind w:firstLine="640"/>
        <w:rPr>
          <w:rFonts w:ascii="Times New Roman" w:hAnsi="Times New Roman" w:eastAsia="黑体"/>
          <w:color w:val="000000"/>
          <w:sz w:val="32"/>
          <w:szCs w:val="32"/>
        </w:rPr>
      </w:pPr>
    </w:p>
    <w:p>
      <w:pPr>
        <w:spacing w:line="60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第一条</w:t>
      </w:r>
      <w:r>
        <w:rPr>
          <w:rFonts w:hint="eastAsia" w:ascii="Times New Roman" w:hAnsi="Times New Roman" w:eastAsia="仿宋_GB2312"/>
          <w:color w:val="000000"/>
          <w:sz w:val="32"/>
          <w:szCs w:val="32"/>
        </w:rPr>
        <w:t xml:space="preserve">  为了规范和促进公民文明行为，提高公民文明素质和社会文明程度，培育和践行社会主义核心价值观，根据有关法律、法规，结合本市实际，制定本条例。</w:t>
      </w:r>
    </w:p>
    <w:p>
      <w:pPr>
        <w:spacing w:line="60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第二条</w:t>
      </w:r>
      <w:r>
        <w:rPr>
          <w:rFonts w:hint="eastAsia" w:ascii="Times New Roman" w:hAnsi="Times New Roman" w:eastAsia="仿宋_GB2312"/>
          <w:color w:val="000000"/>
          <w:sz w:val="32"/>
          <w:szCs w:val="32"/>
        </w:rPr>
        <w:t xml:space="preserve">  本市行政区域内的文明行为和文明行为促进工作，适用本条例。</w:t>
      </w:r>
    </w:p>
    <w:p>
      <w:pPr>
        <w:spacing w:line="600" w:lineRule="exact"/>
        <w:ind w:firstLine="640" w:firstLineChars="200"/>
        <w:rPr>
          <w:rFonts w:ascii="Times New Roman" w:hAnsi="Times New Roman" w:eastAsia="仿宋_GB2312"/>
          <w:b/>
          <w:bCs/>
          <w:color w:val="000000"/>
          <w:sz w:val="32"/>
          <w:szCs w:val="32"/>
          <w:u w:val="single"/>
        </w:rPr>
      </w:pPr>
      <w:r>
        <w:rPr>
          <w:rFonts w:hint="eastAsia" w:ascii="黑体" w:hAnsi="黑体" w:eastAsia="黑体"/>
          <w:color w:val="000000"/>
          <w:sz w:val="32"/>
          <w:szCs w:val="32"/>
        </w:rPr>
        <w:t>第三条</w:t>
      </w:r>
      <w:r>
        <w:rPr>
          <w:rFonts w:hint="eastAsia" w:ascii="Times New Roman" w:hAnsi="Times New Roman" w:eastAsia="仿宋_GB2312"/>
          <w:color w:val="000000"/>
          <w:sz w:val="32"/>
          <w:szCs w:val="32"/>
        </w:rPr>
        <w:t xml:space="preserve">  本条例所称文明行为，是指遵守法律法规，遵循社会公德、职业道德，体现家庭美德、个人品德，符合公序良俗，引领社会风尚，推动社会文明进步的行为。</w:t>
      </w:r>
    </w:p>
    <w:p>
      <w:pPr>
        <w:spacing w:line="60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第四条</w:t>
      </w:r>
      <w:r>
        <w:rPr>
          <w:rFonts w:hint="eastAsia" w:ascii="Times New Roman" w:hAnsi="Times New Roman" w:eastAsia="仿宋_GB2312"/>
          <w:color w:val="000000"/>
          <w:sz w:val="32"/>
          <w:szCs w:val="32"/>
        </w:rPr>
        <w:t xml:space="preserve">  文明行为促进工作应当坚持以人为本、教育为主、全民参与、共建共享的原则。</w:t>
      </w:r>
    </w:p>
    <w:p>
      <w:pPr>
        <w:spacing w:line="60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第五条</w:t>
      </w:r>
      <w:r>
        <w:rPr>
          <w:rFonts w:hint="eastAsia" w:ascii="Times New Roman" w:hAnsi="Times New Roman" w:eastAsia="仿宋_GB2312"/>
          <w:color w:val="000000"/>
          <w:sz w:val="32"/>
          <w:szCs w:val="32"/>
        </w:rPr>
        <w:t xml:space="preserve">  精神文明建设工作机构统筹协调本行政区域内的文明行为促进工作。</w:t>
      </w:r>
    </w:p>
    <w:p>
      <w:pPr>
        <w:spacing w:line="60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第六条</w:t>
      </w:r>
      <w:r>
        <w:rPr>
          <w:rFonts w:hint="eastAsia" w:ascii="Times New Roman" w:hAnsi="Times New Roman" w:eastAsia="仿宋_GB2312"/>
          <w:color w:val="000000"/>
          <w:sz w:val="32"/>
          <w:szCs w:val="32"/>
        </w:rPr>
        <w:t xml:space="preserve">  市、县级人民政府应当将文明行为促进工作纳入国民经济和社会发展计划，保障文明行为促进工作的实施。</w:t>
      </w:r>
    </w:p>
    <w:p>
      <w:pPr>
        <w:spacing w:line="60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乡（镇）人民政府、街道办事处负责本区域文明行为促进工作，并指导村民委员会、社区居民委员会开展文明行为促进活动。</w:t>
      </w:r>
    </w:p>
    <w:p>
      <w:pPr>
        <w:spacing w:line="60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第七条</w:t>
      </w:r>
      <w:r>
        <w:rPr>
          <w:rFonts w:hint="eastAsia" w:ascii="Times New Roman" w:hAnsi="Times New Roman" w:eastAsia="仿宋_GB2312"/>
          <w:color w:val="000000"/>
          <w:sz w:val="32"/>
          <w:szCs w:val="32"/>
        </w:rPr>
        <w:t xml:space="preserve">  国家机关、企事业单位、社会组织应当根据职责分工，结合工作实际做好文明行为促进工作。</w:t>
      </w:r>
    </w:p>
    <w:p>
      <w:pPr>
        <w:spacing w:line="600" w:lineRule="exact"/>
        <w:ind w:firstLine="640" w:firstLineChars="200"/>
        <w:rPr>
          <w:rFonts w:ascii="Times New Roman" w:hAnsi="Times New Roman" w:eastAsia="仿宋_GB2312"/>
          <w:bCs/>
          <w:color w:val="000000"/>
          <w:sz w:val="32"/>
          <w:szCs w:val="32"/>
        </w:rPr>
      </w:pPr>
      <w:r>
        <w:rPr>
          <w:rFonts w:hint="eastAsia" w:ascii="黑体" w:hAnsi="黑体" w:eastAsia="黑体"/>
          <w:color w:val="000000"/>
          <w:sz w:val="32"/>
          <w:szCs w:val="32"/>
        </w:rPr>
        <w:t>第八条</w:t>
      </w:r>
      <w:r>
        <w:rPr>
          <w:rFonts w:hint="eastAsia" w:ascii="Times New Roman" w:hAnsi="Times New Roman" w:eastAsia="仿宋_GB2312"/>
          <w:color w:val="000000"/>
          <w:sz w:val="32"/>
          <w:szCs w:val="32"/>
        </w:rPr>
        <w:t xml:space="preserve">  </w:t>
      </w:r>
      <w:r>
        <w:rPr>
          <w:rFonts w:hint="eastAsia" w:ascii="Times New Roman" w:hAnsi="Times New Roman" w:eastAsia="仿宋_GB2312"/>
          <w:bCs/>
          <w:color w:val="000000"/>
          <w:sz w:val="32"/>
          <w:szCs w:val="32"/>
        </w:rPr>
        <w:t>公民</w:t>
      </w:r>
      <w:r>
        <w:rPr>
          <w:rFonts w:hint="eastAsia" w:ascii="Times New Roman" w:hAnsi="Times New Roman" w:eastAsia="仿宋_GB2312"/>
          <w:color w:val="000000"/>
          <w:sz w:val="32"/>
          <w:szCs w:val="32"/>
        </w:rPr>
        <w:t>应当爱国守法、明礼诚信、团结友善、勤俭自强、敬业奉献，维护民族团结，</w:t>
      </w:r>
      <w:r>
        <w:rPr>
          <w:rFonts w:hint="eastAsia" w:ascii="Times New Roman" w:hAnsi="Times New Roman" w:eastAsia="仿宋_GB2312"/>
          <w:bCs/>
          <w:color w:val="000000"/>
          <w:sz w:val="32"/>
          <w:szCs w:val="32"/>
        </w:rPr>
        <w:t>遵守文明公约和行为规范。</w:t>
      </w:r>
    </w:p>
    <w:p>
      <w:pPr>
        <w:spacing w:line="600" w:lineRule="exact"/>
        <w:ind w:firstLine="640" w:firstLineChars="200"/>
        <w:rPr>
          <w:rFonts w:ascii="Times New Roman" w:hAnsi="Times New Roman" w:eastAsia="仿宋_GB2312"/>
          <w:bCs/>
          <w:color w:val="000000"/>
          <w:sz w:val="32"/>
          <w:szCs w:val="32"/>
        </w:rPr>
      </w:pPr>
      <w:r>
        <w:rPr>
          <w:rFonts w:hint="eastAsia" w:ascii="Times New Roman" w:hAnsi="Times New Roman" w:eastAsia="仿宋_GB2312"/>
          <w:bCs/>
          <w:color w:val="000000"/>
          <w:sz w:val="32"/>
          <w:szCs w:val="32"/>
        </w:rPr>
        <w:t>国家工作人员应当做</w:t>
      </w:r>
      <w:r>
        <w:rPr>
          <w:rFonts w:hint="eastAsia" w:ascii="Times New Roman" w:hAnsi="Times New Roman" w:eastAsia="仿宋_GB2312"/>
          <w:color w:val="000000"/>
          <w:sz w:val="32"/>
          <w:szCs w:val="32"/>
        </w:rPr>
        <w:t>文明行为</w:t>
      </w:r>
      <w:r>
        <w:rPr>
          <w:rFonts w:hint="eastAsia" w:ascii="Times New Roman" w:hAnsi="Times New Roman" w:eastAsia="仿宋_GB2312"/>
          <w:bCs/>
          <w:color w:val="000000"/>
          <w:sz w:val="32"/>
          <w:szCs w:val="32"/>
        </w:rPr>
        <w:t>的表率。</w:t>
      </w:r>
    </w:p>
    <w:p>
      <w:pPr>
        <w:spacing w:line="60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第九条</w:t>
      </w:r>
      <w:r>
        <w:rPr>
          <w:rFonts w:hint="eastAsia" w:ascii="Times New Roman" w:hAnsi="Times New Roman" w:eastAsia="仿宋_GB2312"/>
          <w:color w:val="000000"/>
          <w:sz w:val="32"/>
          <w:szCs w:val="32"/>
        </w:rPr>
        <w:t xml:space="preserve">  新闻媒体应当加强文明行为和文明行为促进工作的宣传引导和舆论监督。</w:t>
      </w:r>
    </w:p>
    <w:p>
      <w:pPr>
        <w:spacing w:line="600" w:lineRule="exact"/>
        <w:ind w:firstLine="648" w:firstLineChars="200"/>
        <w:rPr>
          <w:rFonts w:ascii="Times New Roman" w:hAnsi="Times New Roman" w:eastAsia="仿宋_GB2312"/>
          <w:color w:val="000000"/>
          <w:spacing w:val="2"/>
          <w:sz w:val="32"/>
          <w:szCs w:val="32"/>
        </w:rPr>
      </w:pPr>
      <w:r>
        <w:rPr>
          <w:rFonts w:hint="eastAsia" w:ascii="Times New Roman" w:hAnsi="Times New Roman" w:eastAsia="仿宋_GB2312"/>
          <w:color w:val="000000"/>
          <w:spacing w:val="2"/>
          <w:sz w:val="32"/>
          <w:szCs w:val="32"/>
        </w:rPr>
        <w:t>国家机关、企事业单位、社会组织应当开展文明行为公益宣传。</w:t>
      </w:r>
    </w:p>
    <w:p>
      <w:pPr>
        <w:spacing w:line="560" w:lineRule="exact"/>
        <w:jc w:val="center"/>
        <w:rPr>
          <w:rFonts w:ascii="Times New Roman" w:hAnsi="Times New Roman" w:eastAsia="仿宋_GB2312"/>
          <w:color w:val="000000"/>
          <w:sz w:val="32"/>
          <w:szCs w:val="32"/>
        </w:rPr>
      </w:pPr>
    </w:p>
    <w:p>
      <w:pPr>
        <w:spacing w:line="580" w:lineRule="exact"/>
        <w:jc w:val="center"/>
        <w:rPr>
          <w:rFonts w:ascii="黑体" w:hAnsi="黑体" w:eastAsia="黑体"/>
          <w:color w:val="000000"/>
          <w:sz w:val="32"/>
          <w:szCs w:val="32"/>
        </w:rPr>
      </w:pPr>
      <w:r>
        <w:rPr>
          <w:rFonts w:hint="eastAsia" w:ascii="黑体" w:hAnsi="黑体" w:eastAsia="黑体"/>
          <w:color w:val="000000"/>
          <w:sz w:val="32"/>
          <w:szCs w:val="32"/>
        </w:rPr>
        <w:t>第二章　行为规范</w:t>
      </w:r>
    </w:p>
    <w:p>
      <w:pPr>
        <w:spacing w:line="580" w:lineRule="exact"/>
        <w:ind w:firstLine="640"/>
        <w:rPr>
          <w:rFonts w:ascii="Times New Roman" w:hAnsi="Times New Roman" w:eastAsia="仿宋_GB2312"/>
          <w:color w:val="000000"/>
          <w:sz w:val="32"/>
          <w:szCs w:val="32"/>
        </w:rPr>
      </w:pP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第十条</w:t>
      </w:r>
      <w:r>
        <w:rPr>
          <w:rFonts w:hint="eastAsia" w:ascii="Times New Roman" w:hAnsi="Times New Roman" w:eastAsia="仿宋_GB2312"/>
          <w:color w:val="000000"/>
          <w:sz w:val="32"/>
          <w:szCs w:val="32"/>
        </w:rPr>
        <w:t xml:space="preserve">  公民应当遵守公共礼仪，友善包容，礼貌待人，语言文明，着装整洁得体，讲究个人卫生。</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第十一条</w:t>
      </w:r>
      <w:r>
        <w:rPr>
          <w:rFonts w:hint="eastAsia" w:ascii="Times New Roman" w:hAnsi="Times New Roman" w:eastAsia="仿宋_GB2312"/>
          <w:color w:val="000000"/>
          <w:sz w:val="32"/>
          <w:szCs w:val="32"/>
        </w:rPr>
        <w:t xml:space="preserve">  公民应当诚实守信，自觉履行法定和约定义务。</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第十二条</w:t>
      </w:r>
      <w:r>
        <w:rPr>
          <w:rFonts w:hint="eastAsia" w:ascii="Times New Roman" w:hAnsi="Times New Roman" w:eastAsia="仿宋_GB2312"/>
          <w:color w:val="000000"/>
          <w:sz w:val="32"/>
          <w:szCs w:val="32"/>
        </w:rPr>
        <w:t xml:space="preserve">  公民应当遵守以下公共秩序行为规范：</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（一）有序参与公众活动，自觉排队，不高声喧哗；</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（二）乘坐公共交通工具主动为老年人、残障人、病人、孕妇及怀抱婴幼儿等人员让座；</w:t>
      </w:r>
    </w:p>
    <w:p>
      <w:pPr>
        <w:spacing w:line="580" w:lineRule="exact"/>
        <w:ind w:firstLine="608" w:firstLineChars="200"/>
        <w:rPr>
          <w:rFonts w:ascii="Times New Roman" w:hAnsi="Times New Roman" w:eastAsia="仿宋_GB2312"/>
          <w:color w:val="000000"/>
          <w:spacing w:val="-8"/>
          <w:sz w:val="32"/>
          <w:szCs w:val="32"/>
        </w:rPr>
      </w:pPr>
      <w:r>
        <w:rPr>
          <w:rFonts w:hint="eastAsia" w:ascii="Times New Roman" w:hAnsi="Times New Roman" w:eastAsia="仿宋_GB2312"/>
          <w:color w:val="000000"/>
          <w:spacing w:val="-8"/>
          <w:sz w:val="32"/>
          <w:szCs w:val="32"/>
        </w:rPr>
        <w:t>（三）使用共享交通工具在停车点有序停放，不丢弃、不毁坏；</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（四）爱护公物，不损坏、不涂污健身器材、灯箱标识、公共座椅、休闲亭廊等设施、设备；</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（五）爱护园林设施和花草树木，不攀花折枝、不毁坏草坪、绿地；</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（六）遵守城乡容貌管理规定，不在建筑物、构筑物内向外抛掷物品；</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（七）从事商业经营或者进行婚庆、祭祀、娱乐等活动，不影响他人正常工作、学习、生活；</w:t>
      </w:r>
    </w:p>
    <w:p>
      <w:pPr>
        <w:spacing w:line="580" w:lineRule="exact"/>
        <w:ind w:firstLine="616" w:firstLineChars="200"/>
        <w:rPr>
          <w:rFonts w:ascii="Times New Roman" w:hAnsi="Times New Roman" w:eastAsia="仿宋_GB2312"/>
          <w:color w:val="000000"/>
          <w:sz w:val="32"/>
          <w:szCs w:val="32"/>
        </w:rPr>
      </w:pPr>
      <w:r>
        <w:rPr>
          <w:rFonts w:hint="eastAsia" w:ascii="Times New Roman" w:hAnsi="Times New Roman" w:eastAsia="仿宋_GB2312"/>
          <w:color w:val="000000"/>
          <w:spacing w:val="-6"/>
          <w:sz w:val="32"/>
          <w:szCs w:val="32"/>
        </w:rPr>
        <w:t>（八）</w:t>
      </w:r>
      <w:r>
        <w:rPr>
          <w:rFonts w:hint="eastAsia" w:ascii="Times New Roman" w:hAnsi="Times New Roman" w:eastAsia="仿宋_GB2312"/>
          <w:color w:val="000000"/>
          <w:sz w:val="32"/>
          <w:szCs w:val="32"/>
        </w:rPr>
        <w:t>爱护文物古迹、文化遗址、遗迹以及风景名胜区设施，不在禁止区域内拍照、摄像，不在景物设施上刻画涂污；</w:t>
      </w:r>
    </w:p>
    <w:p>
      <w:pPr>
        <w:spacing w:line="580" w:lineRule="exact"/>
        <w:ind w:firstLine="616" w:firstLineChars="200"/>
        <w:rPr>
          <w:rFonts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（九）理性就医，尊重医护人员，通过合法途径解决医患纠纷。</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第十三条</w:t>
      </w:r>
      <w:r>
        <w:rPr>
          <w:rFonts w:hint="eastAsia" w:ascii="Times New Roman" w:hAnsi="Times New Roman" w:eastAsia="仿宋_GB2312"/>
          <w:color w:val="000000"/>
          <w:sz w:val="32"/>
          <w:szCs w:val="32"/>
        </w:rPr>
        <w:t xml:space="preserve">  公民应当遵守以下公共卫生行为规范:</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（一）参与人居环境治理，维护公共场所卫生，不随地吐痰、便溺，不乱扔烟头、杂物，不在禁止吸烟的区域吸烟；</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（二）分类投放生活垃圾，不随意抛撒、倾倒或者堆放生活垃圾；</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（三）在公共信息栏内张贴广告、宣传品等，不乱涂乱画；</w:t>
      </w:r>
    </w:p>
    <w:p>
      <w:pPr>
        <w:spacing w:line="580" w:lineRule="exact"/>
        <w:ind w:firstLine="640" w:firstLineChars="200"/>
        <w:rPr>
          <w:rFonts w:ascii="Times New Roman" w:hAnsi="Times New Roman" w:eastAsia="仿宋_GB2312"/>
          <w:b/>
          <w:bCs/>
          <w:color w:val="000000"/>
          <w:sz w:val="32"/>
          <w:szCs w:val="32"/>
          <w:u w:val="single"/>
        </w:rPr>
      </w:pPr>
      <w:r>
        <w:rPr>
          <w:rFonts w:hint="eastAsia" w:ascii="Times New Roman" w:hAnsi="Times New Roman" w:eastAsia="仿宋_GB2312"/>
          <w:color w:val="000000"/>
          <w:sz w:val="32"/>
          <w:szCs w:val="32"/>
        </w:rPr>
        <w:t>（四）饲养信鸽、宠物或者其他家禽家畜符合相关规定，不影响他人生活和环境卫生；</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（五）携带犬只外出拴束牵领，做好安全防护，及时清理犬只粪便；</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（六）文明如厕，保持公共厕所清洁、卫生。</w:t>
      </w:r>
    </w:p>
    <w:p>
      <w:pPr>
        <w:spacing w:line="580" w:lineRule="exact"/>
        <w:ind w:firstLine="640" w:firstLineChars="200"/>
        <w:rPr>
          <w:rFonts w:ascii="Times New Roman" w:hAnsi="Times New Roman" w:eastAsia="仿宋_GB2312"/>
          <w:b/>
          <w:bCs/>
          <w:strike/>
          <w:color w:val="000000"/>
          <w:sz w:val="32"/>
          <w:szCs w:val="32"/>
        </w:rPr>
      </w:pPr>
      <w:r>
        <w:rPr>
          <w:rFonts w:hint="eastAsia" w:ascii="黑体" w:hAnsi="黑体" w:eastAsia="黑体"/>
          <w:color w:val="000000"/>
          <w:sz w:val="32"/>
          <w:szCs w:val="32"/>
        </w:rPr>
        <w:t>第十四条</w:t>
      </w:r>
      <w:r>
        <w:rPr>
          <w:rFonts w:hint="eastAsia" w:ascii="Times New Roman" w:hAnsi="Times New Roman" w:eastAsia="仿宋_GB2312"/>
          <w:color w:val="000000"/>
          <w:sz w:val="32"/>
          <w:szCs w:val="32"/>
        </w:rPr>
        <w:t xml:space="preserve">  公民驾驶机动车应当遵守以下规定：</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（一）汽车驾驶人、乘坐人员按规定系安全带，摩托车驾驶人、乘坐人员按规定戴安全头盔；</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（二）服从交通指挥，按照交通信号指示通行，不越线占道，不随意停车、掉头、变道、穿插；</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（三）通过人行横道减速慢行，遇行人通行时停车让行，行经未设置交通信号的道路时，避让过路行人；</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（四）规范使用灯光、喇叭和通讯工具，在城区道路行驶或者会车时关闭远光灯，不在禁止鸣喇叭区域或者路段鸣喇叭，行驶时不使用手持电话；</w:t>
      </w:r>
    </w:p>
    <w:p>
      <w:pPr>
        <w:spacing w:line="580" w:lineRule="exact"/>
        <w:ind w:firstLine="640" w:firstLineChars="200"/>
        <w:rPr>
          <w:rFonts w:ascii="Times New Roman" w:hAnsi="Times New Roman" w:eastAsia="仿宋_GB2312"/>
          <w:strike/>
          <w:color w:val="000000"/>
          <w:sz w:val="32"/>
          <w:szCs w:val="32"/>
          <w:shd w:val="clear" w:color="FFFFFF" w:fill="D9D9D9"/>
        </w:rPr>
      </w:pPr>
      <w:r>
        <w:rPr>
          <w:rFonts w:hint="eastAsia" w:ascii="Times New Roman" w:hAnsi="Times New Roman" w:eastAsia="仿宋_GB2312"/>
          <w:color w:val="000000"/>
          <w:sz w:val="32"/>
          <w:szCs w:val="32"/>
        </w:rPr>
        <w:t>（五）让行执行任务的警车、消防车、救护车、工程救险车等特种车辆；</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（六）安全驾驶，养成良好驾驶习惯，摒弃驾驶陋习，不疲劳驾驶，不强行超车，不开斗气车，不将身体部位伸出车外，不向车外抛洒物品；</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（七）驾驶出租车执行服务规范，保持车内清洁卫生，不吸烟、不吃零食，不拒载、甩客或者故意绕行欺骗乘客。</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第十五条</w:t>
      </w:r>
      <w:r>
        <w:rPr>
          <w:rFonts w:hint="eastAsia" w:ascii="Times New Roman" w:hAnsi="Times New Roman" w:eastAsia="仿宋_GB2312"/>
          <w:color w:val="000000"/>
          <w:sz w:val="32"/>
          <w:szCs w:val="32"/>
        </w:rPr>
        <w:t xml:space="preserve">  公民驾驶非机动车应当遵守以下规定：</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（一）在非机动车道内行驶，未划定非机动车道的在道路右侧行驶，不逆行；</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（二）礼让行人，不违规载人载物，不在车行道上滞留或者任意穿行；</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（三）在规定区域内等候信号灯，不超越停车线，不闯红灯；</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（四）转弯前减速慢行，开启转向灯或者伸手示意；</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（五）停放车辆时不妨碍其他车辆、行人通行，不占用公交车站、盲道，不遮挡标识标志等。</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 xml:space="preserve">第十六条 </w:t>
      </w:r>
      <w:r>
        <w:rPr>
          <w:rFonts w:hint="eastAsia" w:ascii="Times New Roman" w:hAnsi="Times New Roman" w:eastAsia="仿宋_GB2312"/>
          <w:color w:val="000000"/>
          <w:sz w:val="32"/>
          <w:szCs w:val="32"/>
        </w:rPr>
        <w:t xml:space="preserve"> 公民出行应当遵守以下交通安全规定：</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（一）行走人行道、人行横道，不随意横穿道路，不跨越、倚坐道路隔离设施；</w:t>
      </w:r>
    </w:p>
    <w:p>
      <w:pPr>
        <w:spacing w:line="580" w:lineRule="exact"/>
        <w:ind w:firstLine="616" w:firstLineChars="200"/>
        <w:rPr>
          <w:rFonts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（二）按交通信号通行，不闯红灯，遇车辆礼让时，快速通过；</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（三）安全出行，不在车行道内拦乘车辆或者兜售、散发物品，不在交通路口、车行道内滞留阻碍交通；</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（四）乘坐交通工具不妨碍、不干扰驾驶员正常驾驶，不向车外抛洒物品；</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（五）抵制危险驾驶行为，不搭乘无驾驶证或者饮酒人员驾驶的车辆。</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 xml:space="preserve">第十七条 </w:t>
      </w:r>
      <w:r>
        <w:rPr>
          <w:rFonts w:hint="eastAsia" w:ascii="Times New Roman" w:hAnsi="Times New Roman" w:eastAsia="仿宋_GB2312"/>
          <w:color w:val="000000"/>
          <w:sz w:val="32"/>
          <w:szCs w:val="32"/>
        </w:rPr>
        <w:t xml:space="preserve"> 公民应当遵守以下居民小区行为规范：</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（一）遵守文明公约和管理制度，构建和谐邻里关系；</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（二）爱护和合理使用公共空间、设施设备，不擅自改装、连接户外电力线路、通讯线路或者上下水、天然气、暖气管道等；</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（三）保持楼宇（房屋）外立面、楼（屋）顶整洁，不私搭乱建；</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（四）保持房前屋后整洁，不在共有楼梯间、楼道、巷道</w:t>
      </w:r>
      <w:r>
        <w:rPr>
          <w:rFonts w:hint="eastAsia" w:ascii="Times New Roman" w:hAnsi="Times New Roman" w:eastAsia="仿宋_GB2312"/>
          <w:color w:val="000000"/>
          <w:kern w:val="0"/>
          <w:sz w:val="32"/>
          <w:szCs w:val="32"/>
        </w:rPr>
        <w:t>停放交通工具、存放物品、堆放垃圾；</w:t>
      </w:r>
    </w:p>
    <w:p>
      <w:pPr>
        <w:spacing w:line="580" w:lineRule="exact"/>
        <w:ind w:firstLine="640" w:firstLineChars="200"/>
        <w:rPr>
          <w:rFonts w:ascii="Times New Roman" w:hAnsi="Times New Roman" w:eastAsia="仿宋_GB2312"/>
          <w:color w:val="000000"/>
          <w:kern w:val="0"/>
          <w:sz w:val="32"/>
          <w:szCs w:val="32"/>
        </w:rPr>
      </w:pPr>
      <w:r>
        <w:rPr>
          <w:rFonts w:hint="eastAsia" w:ascii="Times New Roman" w:hAnsi="Times New Roman" w:eastAsia="仿宋_GB2312"/>
          <w:color w:val="000000"/>
          <w:kern w:val="0"/>
          <w:sz w:val="32"/>
          <w:szCs w:val="32"/>
        </w:rPr>
        <w:t>（五）爱护小区园林设施和绿地，不占用公共绿地，不在公共绿地上停车、种植蔬菜；</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（六）规范存放电动车，不在共有楼梯间、楼道或者疏散通道、安全出口等共用区域停放电动车，不飞线充电；</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（七）进行房屋装饰装修或者文体、营销、收购等活动不影响他人正常生活；</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（八）驾驶车辆谨慎慢行，不鸣喇叭；在划定区域有序停放车辆，未划定停车区域的，停放车辆不妨碍他人通行；</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（九）保持消防通道畅通，不占用、堵塞、封闭消防通道。</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第十八条</w:t>
      </w:r>
      <w:r>
        <w:rPr>
          <w:rFonts w:hint="eastAsia" w:ascii="Times New Roman" w:hAnsi="Times New Roman" w:eastAsia="仿宋_GB2312"/>
          <w:color w:val="000000"/>
          <w:sz w:val="32"/>
          <w:szCs w:val="32"/>
        </w:rPr>
        <w:t xml:space="preserve">  公民应当遵守以下网络自律行为规范：</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（一）传播正能量，不造谣、不传谣、不信谣，不登录不良网站，不浏览、不下载、不散布有害信息；</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（二）尊重他人隐私，不泄露他人信息或者擅自发布他人照片、视频等；</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（三）文明互动，理性表达，不利用网络攻击、侮辱或者诽谤他人；</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（四）防止网络沉迷和网络成瘾，抵制和防范网络赌博、诈骗等行为。</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第十九条</w:t>
      </w:r>
      <w:r>
        <w:rPr>
          <w:rFonts w:hint="eastAsia" w:ascii="Times New Roman" w:hAnsi="Times New Roman" w:eastAsia="仿宋_GB2312"/>
          <w:color w:val="000000"/>
          <w:sz w:val="32"/>
          <w:szCs w:val="32"/>
        </w:rPr>
        <w:t xml:space="preserve">  公民应当重视家庭教育，培育、传承良好家风、家训，倡导以下行为：</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（一）家庭成员相互扶助，和睦相处，互尊互爱；</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（二）孝老爱亲，关爱老人，鼓励精神抚慰；</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 xml:space="preserve">（三）男女平等，预防和制止家庭暴力； </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（四）重视子女教育，培养未成年人健康成长；</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（五）勤劳致富，自强自立；</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（六）崇尚科学，文明祭祀，抵制封建迷信及其他低俗活动；</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（七）予以倡导的其他行为。</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第二十条</w:t>
      </w:r>
      <w:r>
        <w:rPr>
          <w:rFonts w:hint="eastAsia" w:ascii="Times New Roman" w:hAnsi="Times New Roman" w:eastAsia="仿宋_GB2312"/>
          <w:color w:val="000000"/>
          <w:sz w:val="32"/>
          <w:szCs w:val="32"/>
        </w:rPr>
        <w:t xml:space="preserve">  公民应当爱护生态环境，践行简约适度、绿色低碳的生活方式，倡导以下行为：</w:t>
      </w:r>
    </w:p>
    <w:p>
      <w:pPr>
        <w:spacing w:line="580" w:lineRule="exact"/>
        <w:ind w:firstLine="616" w:firstLineChars="200"/>
        <w:rPr>
          <w:rFonts w:ascii="Times New Roman" w:hAnsi="Times New Roman" w:eastAsia="仿宋_GB2312"/>
          <w:color w:val="000000"/>
          <w:spacing w:val="-6"/>
          <w:sz w:val="32"/>
          <w:szCs w:val="32"/>
        </w:rPr>
      </w:pPr>
      <w:r>
        <w:rPr>
          <w:rFonts w:hint="eastAsia" w:ascii="Times New Roman" w:hAnsi="Times New Roman" w:eastAsia="仿宋_GB2312"/>
          <w:color w:val="000000"/>
          <w:spacing w:val="-6"/>
          <w:sz w:val="32"/>
          <w:szCs w:val="32"/>
        </w:rPr>
        <w:t>（一）低碳出行，优先选择步行、骑行或者乘坐公共交通工具；</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（二）节约资源，适度使用水、电、油、气、暖等；</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（三）珍惜粮食，按需点餐，提倡“光盘行动”；</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（四）绿色消费，抵制过度包装，鼓励废旧利用、循环使用；</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（五）使用清洁能源，减少使用化学洗涤剂和化肥农药；</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（六）减少产生生活垃圾，养成随手捡拾垃圾习惯；</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（七）义务植树，遵守禁牧规定，爱护草原植被；</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（八）保护野生动植物及其栖息地；</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（九）予以倡导的其他行为。</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第二十一条</w:t>
      </w:r>
      <w:r>
        <w:rPr>
          <w:rFonts w:hint="eastAsia" w:ascii="Times New Roman" w:hAnsi="Times New Roman" w:eastAsia="仿宋_GB2312"/>
          <w:color w:val="000000"/>
          <w:sz w:val="32"/>
          <w:szCs w:val="32"/>
        </w:rPr>
        <w:t xml:space="preserve">  鼓励和倡导以下行为：</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（一）志愿服务，乐善好施，参与扶贫济困、扶老救孤、恤病助残、助医助学、应急救援、生态保护、环境卫生、社区治理、法律服务、赛会服务和社会慈善等公益活动；</w:t>
      </w:r>
    </w:p>
    <w:p>
      <w:pPr>
        <w:spacing w:line="580" w:lineRule="exact"/>
        <w:ind w:firstLine="640" w:firstLineChars="200"/>
        <w:rPr>
          <w:rFonts w:ascii="Times New Roman" w:hAnsi="Times New Roman" w:eastAsia="仿宋_GB2312"/>
          <w:color w:val="000000"/>
          <w:sz w:val="24"/>
        </w:rPr>
      </w:pPr>
      <w:r>
        <w:rPr>
          <w:rFonts w:hint="eastAsia" w:ascii="Times New Roman" w:hAnsi="Times New Roman" w:eastAsia="仿宋_GB2312"/>
          <w:color w:val="000000"/>
          <w:sz w:val="32"/>
          <w:szCs w:val="32"/>
        </w:rPr>
        <w:t>（二）见义勇为，抵制违法行为，对危害社会行为及时报告有关部门，主动为社会正义行为澄清事实；</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（三）拾金不昧，捡到财物主动交还失主或者交付有关部门；</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（四）紧急救助，为需要急救的人员拨打呼救电话或者提供其他帮助；</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（五）移风易俗，勤俭节约，破除陈规陋习；</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（六）热爱劳动，尊重他人劳动以及劳动成果；</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（七）除害防病，参与爱国卫生运动；</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（八）全民健身，参加健康有益的文体活动；</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（九）全民阅读，参与书香社会建设；</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（十）弘扬正气，对文明行为给予赞许，以适当方式劝导、纠正、制止不文明行为；</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（十一）予以鼓励和倡导的其他行为。</w:t>
      </w:r>
    </w:p>
    <w:p>
      <w:pPr>
        <w:spacing w:line="580" w:lineRule="exact"/>
        <w:rPr>
          <w:rFonts w:ascii="Times New Roman" w:hAnsi="Times New Roman" w:eastAsia="仿宋_GB2312"/>
          <w:color w:val="000000"/>
          <w:sz w:val="32"/>
          <w:szCs w:val="32"/>
        </w:rPr>
      </w:pPr>
    </w:p>
    <w:p>
      <w:pPr>
        <w:spacing w:line="580" w:lineRule="exact"/>
        <w:jc w:val="center"/>
        <w:rPr>
          <w:rFonts w:ascii="黑体" w:hAnsi="黑体" w:eastAsia="黑体"/>
          <w:color w:val="000000"/>
          <w:sz w:val="32"/>
          <w:szCs w:val="32"/>
        </w:rPr>
      </w:pPr>
      <w:r>
        <w:rPr>
          <w:rFonts w:hint="eastAsia" w:ascii="黑体" w:hAnsi="黑体" w:eastAsia="黑体"/>
          <w:color w:val="000000"/>
          <w:sz w:val="32"/>
          <w:szCs w:val="32"/>
        </w:rPr>
        <w:t>第三章　保障措施</w:t>
      </w:r>
    </w:p>
    <w:p>
      <w:pPr>
        <w:spacing w:line="580" w:lineRule="exact"/>
        <w:ind w:firstLine="640"/>
        <w:rPr>
          <w:rFonts w:ascii="Times New Roman" w:hAnsi="Times New Roman" w:eastAsia="仿宋_GB2312"/>
          <w:color w:val="000000"/>
          <w:sz w:val="32"/>
          <w:szCs w:val="32"/>
        </w:rPr>
      </w:pP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第二十二条</w:t>
      </w:r>
      <w:r>
        <w:rPr>
          <w:rFonts w:hint="eastAsia" w:ascii="Times New Roman" w:hAnsi="Times New Roman" w:eastAsia="仿宋_GB2312"/>
          <w:color w:val="000000"/>
          <w:sz w:val="32"/>
          <w:szCs w:val="32"/>
        </w:rPr>
        <w:t xml:space="preserve">  市、县级人民政府应当将文明行为促进工作经费列入财政预算并予以保障。</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第二十三条</w:t>
      </w:r>
      <w:r>
        <w:rPr>
          <w:rFonts w:hint="eastAsia" w:ascii="Times New Roman" w:hAnsi="Times New Roman" w:eastAsia="仿宋_GB2312"/>
          <w:color w:val="000000"/>
          <w:sz w:val="32"/>
          <w:szCs w:val="32"/>
        </w:rPr>
        <w:t>　市、县级人民政府应当加强城乡基础设施、公共服务设施和无障碍设施的规划建设和改造，优化管理和服务，创造良好生活环境。</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市、县级人民政府应当加强城市停车场规划和建设，开发临时停车场所、泊位。</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车站、医院、商场、旅游景区、体育场馆等人员密集场所，应当根据规定建设母婴室、第三卫生间，配备便民设施设备等。</w:t>
      </w:r>
    </w:p>
    <w:p>
      <w:pPr>
        <w:spacing w:line="580" w:lineRule="exact"/>
        <w:ind w:firstLine="640" w:firstLineChars="200"/>
        <w:rPr>
          <w:rFonts w:ascii="Times New Roman" w:hAnsi="Times New Roman" w:eastAsia="仿宋_GB2312"/>
          <w:color w:val="000000"/>
          <w:sz w:val="32"/>
          <w:szCs w:val="32"/>
          <w:u w:val="single"/>
        </w:rPr>
      </w:pPr>
      <w:r>
        <w:rPr>
          <w:rFonts w:hint="eastAsia" w:ascii="黑体" w:hAnsi="黑体" w:eastAsia="黑体"/>
          <w:color w:val="000000"/>
          <w:sz w:val="32"/>
          <w:szCs w:val="32"/>
        </w:rPr>
        <w:t>第二十四条</w:t>
      </w:r>
      <w:r>
        <w:rPr>
          <w:rFonts w:hint="eastAsia" w:ascii="Times New Roman" w:hAnsi="Times New Roman" w:eastAsia="仿宋_GB2312"/>
          <w:color w:val="000000"/>
          <w:sz w:val="32"/>
          <w:szCs w:val="32"/>
        </w:rPr>
        <w:t xml:space="preserve">  市、县级人民政府应当加强政务服务建设，优化服务流程，公开服务承诺，规范服务行为，提供高效、便民、文明、廉洁的政务服务。</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市、县级人民政府应当加强行政执法人员能力建设，规范执法行为，推进文明执法，依法保障公民、法人和其他组织的合法权益。</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第二十五条</w:t>
      </w:r>
      <w:r>
        <w:rPr>
          <w:rFonts w:hint="eastAsia" w:ascii="Times New Roman" w:hAnsi="Times New Roman" w:eastAsia="仿宋_GB2312"/>
          <w:color w:val="000000"/>
          <w:sz w:val="32"/>
          <w:szCs w:val="32"/>
        </w:rPr>
        <w:t xml:space="preserve">  市、县级人民政府应当加强社会信用体系建设，建立统一的信用信息系统，健全守信联合激励和失信联合惩戒机制，提高全社会诚信意识和信用水平。</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第二十六条</w:t>
      </w:r>
      <w:r>
        <w:rPr>
          <w:rFonts w:hint="eastAsia" w:ascii="Times New Roman" w:hAnsi="Times New Roman" w:eastAsia="仿宋_GB2312"/>
          <w:color w:val="000000"/>
          <w:sz w:val="32"/>
          <w:szCs w:val="32"/>
        </w:rPr>
        <w:t xml:space="preserve">  公安机关应当加强道路监控设施建设，科学设置交通信号、标识，加强道路交通安全法律法规的宣传，依法维护交通秩序，提高公民的道路交通安全意识。</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第二十七条</w:t>
      </w:r>
      <w:r>
        <w:rPr>
          <w:rFonts w:hint="eastAsia" w:ascii="Times New Roman" w:hAnsi="Times New Roman" w:eastAsia="仿宋_GB2312"/>
          <w:color w:val="000000"/>
          <w:sz w:val="32"/>
          <w:szCs w:val="32"/>
        </w:rPr>
        <w:t xml:space="preserve">  交通运输管理部门应当加强公交车、出租车等运营单位和从业人员的监督管理，强化职业道德教育，提高从业人员的文明素质和服务水平。</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第二十八条</w:t>
      </w:r>
      <w:r>
        <w:rPr>
          <w:rFonts w:hint="eastAsia" w:ascii="Times New Roman" w:hAnsi="Times New Roman" w:eastAsia="仿宋_GB2312"/>
          <w:color w:val="000000"/>
          <w:sz w:val="32"/>
          <w:szCs w:val="32"/>
        </w:rPr>
        <w:t xml:space="preserve">  教育行政管理部门和教育机构应当加强社会主义核心价值观教育，培养学生养成文明行为习惯，推进文明校园建设。</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市、县级人民政府有关部门应当加强校园周边环境治理，依法规范经营场所、流动摊点的经营活动，维护交通秩序，预防校园欺凌，保障校园安全。</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第二十九条</w:t>
      </w:r>
      <w:r>
        <w:rPr>
          <w:rFonts w:hint="eastAsia" w:ascii="Times New Roman" w:hAnsi="Times New Roman" w:eastAsia="仿宋_GB2312"/>
          <w:color w:val="000000"/>
          <w:sz w:val="32"/>
          <w:szCs w:val="32"/>
        </w:rPr>
        <w:t xml:space="preserve">  民政部门应当加强志愿服务指导和支持，鼓励和规范志愿服务活动，依法保障志愿者、志愿服务组织、志愿服务对象的合法权益。</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 xml:space="preserve">第三十条 </w:t>
      </w:r>
      <w:r>
        <w:rPr>
          <w:rFonts w:hint="eastAsia" w:ascii="Times New Roman" w:hAnsi="Times New Roman" w:eastAsia="仿宋_GB2312"/>
          <w:color w:val="000000"/>
          <w:sz w:val="32"/>
          <w:szCs w:val="32"/>
        </w:rPr>
        <w:t xml:space="preserve"> 民政部门、公安机关应当加强对生活无着的流浪乞讨人员的管理，并提供必要救助，依法治理强迫推销、强行索要行为或者假借各种名义收取财物等行为。</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第三十一条</w:t>
      </w:r>
      <w:r>
        <w:rPr>
          <w:rFonts w:hint="eastAsia" w:ascii="Times New Roman" w:hAnsi="Times New Roman" w:eastAsia="仿宋_GB2312"/>
          <w:color w:val="000000"/>
          <w:sz w:val="32"/>
          <w:szCs w:val="32"/>
        </w:rPr>
        <w:t xml:space="preserve">  住房和城乡建设部门应当加强物业服务企业管理，依法规范物业服务企业行为，监督物业服务企业维护服务区域内的环境卫生和秩序，按照物业管理规约履行共用设施、设备的维修、养护、管理等义务。</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第三十二条</w:t>
      </w:r>
      <w:r>
        <w:rPr>
          <w:rFonts w:hint="eastAsia" w:ascii="Times New Roman" w:hAnsi="Times New Roman" w:eastAsia="仿宋_GB2312"/>
          <w:color w:val="000000"/>
          <w:sz w:val="32"/>
          <w:szCs w:val="32"/>
        </w:rPr>
        <w:t xml:space="preserve">  互联网信息管理部门应当加强网络安全保护和监督管理，维护网络安全，净化网络环境。</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第三十三条</w:t>
      </w:r>
      <w:r>
        <w:rPr>
          <w:rFonts w:hint="eastAsia" w:ascii="Times New Roman" w:hAnsi="Times New Roman" w:eastAsia="仿宋_GB2312"/>
          <w:color w:val="000000"/>
          <w:sz w:val="32"/>
          <w:szCs w:val="32"/>
        </w:rPr>
        <w:t xml:space="preserve">  精神文明建设工作机构应当制定本行政区域公民文明公约，组织开展文明城市、文明行业、文明单位、文明村镇、文明校园、文明家庭创建活动和道德模范等评选活动，推进公民道德建设。</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第三十四条</w:t>
      </w:r>
      <w:r>
        <w:rPr>
          <w:rFonts w:hint="eastAsia" w:ascii="Times New Roman" w:hAnsi="Times New Roman" w:eastAsia="仿宋_GB2312"/>
          <w:color w:val="000000"/>
          <w:sz w:val="32"/>
          <w:szCs w:val="32"/>
        </w:rPr>
        <w:t xml:space="preserve">  金融、通讯、医疗、商贸、餐饮、住宿等服务行业应当制定行业服务规范，加强职业道德教育，开展具有行业特色、职业特点的文明创建活动。</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第三十五条</w:t>
      </w:r>
      <w:r>
        <w:rPr>
          <w:rFonts w:hint="eastAsia" w:ascii="Times New Roman" w:hAnsi="Times New Roman" w:eastAsia="仿宋_GB2312"/>
          <w:color w:val="000000"/>
          <w:sz w:val="32"/>
          <w:szCs w:val="32"/>
        </w:rPr>
        <w:t xml:space="preserve">  </w:t>
      </w:r>
      <w:r>
        <w:rPr>
          <w:rFonts w:hint="eastAsia" w:ascii="Times New Roman" w:hAnsi="Times New Roman" w:eastAsia="仿宋_GB2312" w:cs="宋体"/>
          <w:color w:val="000000"/>
          <w:sz w:val="32"/>
          <w:szCs w:val="32"/>
        </w:rPr>
        <w:t>乡（镇）人民政府、街道办事处应当支持基层群众性自治组织发挥作用，</w:t>
      </w:r>
      <w:r>
        <w:rPr>
          <w:rFonts w:hint="eastAsia" w:ascii="Times New Roman" w:hAnsi="Times New Roman" w:eastAsia="仿宋_GB2312"/>
          <w:color w:val="000000"/>
          <w:sz w:val="32"/>
          <w:szCs w:val="32"/>
        </w:rPr>
        <w:t>教育引导村（居）民遵守文明行为规范，培育文明乡风、良好家风、淳朴民风。</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第三十六条</w:t>
      </w:r>
      <w:r>
        <w:rPr>
          <w:rFonts w:hint="eastAsia" w:ascii="Times New Roman" w:hAnsi="Times New Roman" w:eastAsia="仿宋_GB2312"/>
          <w:color w:val="000000"/>
          <w:sz w:val="32"/>
          <w:szCs w:val="32"/>
        </w:rPr>
        <w:t xml:space="preserve">  鼓励国家机关、企事业单位、社会组织利用本单位场所、设施为志愿者、保洁人员以及其他从事公益活动、户外劳动的人员提供饮用水、遮风避雨等帮助。</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鼓励国家机关、事业单位的文化体育场所、停车场地、厕所等向社会免费开放。</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第三十七条</w:t>
      </w:r>
      <w:r>
        <w:rPr>
          <w:rFonts w:hint="eastAsia" w:ascii="Times New Roman" w:hAnsi="Times New Roman" w:eastAsia="仿宋_GB2312"/>
          <w:color w:val="000000"/>
          <w:sz w:val="32"/>
          <w:szCs w:val="32"/>
        </w:rPr>
        <w:t xml:space="preserve">  精神文明建设工作机构可以聘请文明行为监督员，对公民不文明行为进行监督。</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任何单位和个人有权对国家机关及其工作人员文明行为促进工作进行监督，提出意见和建议，受理部门应当及时处理。</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第三十八条</w:t>
      </w:r>
      <w:r>
        <w:rPr>
          <w:rFonts w:hint="eastAsia" w:ascii="Times New Roman" w:hAnsi="Times New Roman" w:eastAsia="仿宋_GB2312"/>
          <w:color w:val="000000"/>
          <w:sz w:val="32"/>
          <w:szCs w:val="32"/>
        </w:rPr>
        <w:t xml:space="preserve">  精神文明建设工作机构应当定期开展文明行为情况调查和评估，并向社会公开。</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文明行为促进工作纳入精神文明建设考核内容。</w:t>
      </w:r>
    </w:p>
    <w:p>
      <w:pPr>
        <w:spacing w:line="580" w:lineRule="exact"/>
        <w:jc w:val="center"/>
        <w:rPr>
          <w:rFonts w:ascii="黑体" w:hAnsi="黑体" w:eastAsia="黑体"/>
          <w:color w:val="000000"/>
          <w:sz w:val="32"/>
          <w:szCs w:val="32"/>
        </w:rPr>
      </w:pPr>
      <w:r>
        <w:rPr>
          <w:rFonts w:hint="eastAsia" w:ascii="黑体" w:hAnsi="黑体" w:eastAsia="黑体"/>
          <w:color w:val="000000"/>
          <w:sz w:val="32"/>
          <w:szCs w:val="32"/>
        </w:rPr>
        <w:t>第四章  法律责任</w:t>
      </w:r>
    </w:p>
    <w:p>
      <w:pPr>
        <w:spacing w:line="580" w:lineRule="exact"/>
        <w:ind w:firstLine="640"/>
        <w:rPr>
          <w:rFonts w:ascii="Times New Roman" w:hAnsi="Times New Roman" w:eastAsia="仿宋_GB2312"/>
          <w:color w:val="000000"/>
          <w:sz w:val="32"/>
          <w:szCs w:val="32"/>
        </w:rPr>
      </w:pP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第三十九条</w:t>
      </w:r>
      <w:r>
        <w:rPr>
          <w:rFonts w:hint="eastAsia" w:ascii="Times New Roman" w:hAnsi="Times New Roman" w:eastAsia="仿宋_GB2312"/>
          <w:color w:val="000000"/>
          <w:sz w:val="32"/>
          <w:szCs w:val="32"/>
        </w:rPr>
        <w:t xml:space="preserve">  违反本条例，有关法律、法规已有处罚规定的，从其规定。</w:t>
      </w:r>
    </w:p>
    <w:p>
      <w:pPr>
        <w:spacing w:line="580" w:lineRule="exact"/>
        <w:ind w:firstLine="640" w:firstLineChars="200"/>
        <w:rPr>
          <w:rFonts w:ascii="Times New Roman" w:hAnsi="Times New Roman" w:eastAsia="仿宋_GB2312"/>
          <w:color w:val="000000"/>
          <w:sz w:val="32"/>
          <w:szCs w:val="32"/>
        </w:rPr>
      </w:pPr>
      <w:r>
        <w:rPr>
          <w:rFonts w:hint="eastAsia" w:ascii="Times New Roman" w:hAnsi="Times New Roman" w:eastAsia="仿宋_GB2312"/>
          <w:color w:val="000000"/>
          <w:sz w:val="32"/>
          <w:szCs w:val="32"/>
        </w:rPr>
        <w:t>本条例规定的行政处罚，由公安机关或者交通运输管理、城市管理、综合执法部门根据职责依法实施，或者由人民政府确定的行政机关依法实施，法律、法规另有规定的除外。</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第四十条　</w:t>
      </w:r>
      <w:r>
        <w:rPr>
          <w:rFonts w:hint="eastAsia" w:ascii="Times New Roman" w:hAnsi="Times New Roman" w:eastAsia="仿宋_GB2312"/>
          <w:color w:val="000000"/>
          <w:sz w:val="32"/>
          <w:szCs w:val="32"/>
        </w:rPr>
        <w:t>违反本条例第十二条第四项规定，损坏、涂污公共场所设施、设备的，责令停止违法行为，可以处五百元以下罚款。</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第四十一条</w:t>
      </w:r>
      <w:r>
        <w:rPr>
          <w:rFonts w:hint="eastAsia" w:ascii="Times New Roman" w:hAnsi="Times New Roman" w:eastAsia="仿宋_GB2312"/>
          <w:color w:val="000000"/>
          <w:sz w:val="32"/>
          <w:szCs w:val="32"/>
        </w:rPr>
        <w:t>　违反本条例第十三条第一项、第五项规定，在禁止吸烟区域吸烟、携带犬只外出未拴束牵领或者未清理犬只粪便的，责令改正，拒不改正的，处五十元罚款。</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第四十二条</w:t>
      </w:r>
      <w:r>
        <w:rPr>
          <w:rFonts w:hint="eastAsia" w:ascii="Times New Roman" w:hAnsi="Times New Roman" w:eastAsia="仿宋_GB2312"/>
          <w:color w:val="000000"/>
          <w:sz w:val="32"/>
          <w:szCs w:val="32"/>
        </w:rPr>
        <w:t>　违反本条例第十四条第三项、第十五条第二项规定，驾驶机动车未礼让行人的，处警告或者一百元罚款；驾驶非机动车未礼让行人的，处警告或者二十元罚款。</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第四十三条</w:t>
      </w:r>
      <w:r>
        <w:rPr>
          <w:rFonts w:hint="eastAsia" w:ascii="Times New Roman" w:hAnsi="Times New Roman" w:eastAsia="仿宋_GB2312"/>
          <w:color w:val="000000"/>
          <w:sz w:val="32"/>
          <w:szCs w:val="32"/>
        </w:rPr>
        <w:t>　违反本条例第十四条第七项规定，驾驶出租车拒载、甩客或者故意绕行欺骗乘客的，处二百元以上二千元以下罚款。</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第四十四条</w:t>
      </w:r>
      <w:r>
        <w:rPr>
          <w:rFonts w:hint="eastAsia" w:ascii="Times New Roman" w:hAnsi="Times New Roman" w:eastAsia="仿宋_GB2312"/>
          <w:color w:val="000000"/>
          <w:sz w:val="32"/>
          <w:szCs w:val="32"/>
        </w:rPr>
        <w:t>　违反本条例第十五条第三项、第十六条第二项规定，非机动车或者行人闯红灯的，处警告或者三十元罚款。</w:t>
      </w:r>
    </w:p>
    <w:p>
      <w:pPr>
        <w:spacing w:line="580" w:lineRule="exact"/>
        <w:ind w:firstLine="640" w:firstLineChars="200"/>
        <w:rPr>
          <w:rFonts w:ascii="Times New Roman" w:hAnsi="Times New Roman" w:eastAsia="仿宋_GB2312"/>
          <w:color w:val="000000"/>
          <w:spacing w:val="2"/>
          <w:sz w:val="32"/>
          <w:szCs w:val="32"/>
        </w:rPr>
      </w:pPr>
      <w:r>
        <w:rPr>
          <w:rFonts w:hint="eastAsia" w:ascii="黑体" w:hAnsi="黑体" w:eastAsia="黑体"/>
          <w:color w:val="000000"/>
          <w:sz w:val="32"/>
          <w:szCs w:val="32"/>
        </w:rPr>
        <w:t>第四十五条</w:t>
      </w:r>
      <w:r>
        <w:rPr>
          <w:rFonts w:hint="eastAsia" w:ascii="Times New Roman" w:hAnsi="Times New Roman" w:eastAsia="仿宋_GB2312"/>
          <w:color w:val="000000"/>
          <w:sz w:val="32"/>
          <w:szCs w:val="32"/>
        </w:rPr>
        <w:t>　违反本条例第十七条第三项至第八项规定</w:t>
      </w:r>
      <w:r>
        <w:rPr>
          <w:rFonts w:hint="eastAsia" w:ascii="Times New Roman" w:hAnsi="Times New Roman" w:eastAsia="仿宋_GB2312"/>
          <w:color w:val="000000"/>
          <w:spacing w:val="2"/>
          <w:sz w:val="32"/>
          <w:szCs w:val="32"/>
        </w:rPr>
        <w:t>行为之一的，责令改正，拒不改正的，处五十元以上二百元以下罚款。</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第四十六条</w:t>
      </w:r>
      <w:r>
        <w:rPr>
          <w:rFonts w:hint="eastAsia" w:ascii="Times New Roman" w:hAnsi="Times New Roman" w:eastAsia="仿宋_GB2312"/>
          <w:color w:val="000000"/>
          <w:sz w:val="32"/>
          <w:szCs w:val="32"/>
        </w:rPr>
        <w:t>　违反本条例第十五条、第十六条规定，应当受到行政罚款处罚的行为人，可以申请参加社会服务，公安机关交通管理部门可以安排其参加相应的社会服务。行为人完成相应社会服务的，可以依法从轻、减轻或者不予处罚。</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第四十七条</w:t>
      </w:r>
      <w:r>
        <w:rPr>
          <w:rFonts w:hint="eastAsia" w:ascii="Times New Roman" w:hAnsi="Times New Roman" w:eastAsia="仿宋_GB2312"/>
          <w:color w:val="000000"/>
          <w:sz w:val="32"/>
          <w:szCs w:val="32"/>
        </w:rPr>
        <w:t>　违反本条例规定，构成违反治安管理行为的，由公安机关依法给予处罚；造成损失的，依法承担赔偿责任。</w:t>
      </w:r>
    </w:p>
    <w:p>
      <w:pPr>
        <w:spacing w:line="580" w:lineRule="exact"/>
        <w:ind w:firstLine="640" w:firstLineChars="200"/>
        <w:rPr>
          <w:rFonts w:ascii="Times New Roman" w:hAnsi="Times New Roman" w:eastAsia="仿宋_GB2312"/>
          <w:color w:val="000000"/>
          <w:sz w:val="32"/>
          <w:szCs w:val="32"/>
        </w:rPr>
      </w:pPr>
      <w:r>
        <w:rPr>
          <w:rFonts w:hint="eastAsia" w:ascii="黑体" w:hAnsi="黑体" w:eastAsia="黑体"/>
          <w:color w:val="000000"/>
          <w:sz w:val="32"/>
          <w:szCs w:val="32"/>
        </w:rPr>
        <w:t>第四十八条</w:t>
      </w:r>
      <w:r>
        <w:rPr>
          <w:rFonts w:hint="eastAsia" w:ascii="Times New Roman" w:hAnsi="Times New Roman" w:eastAsia="仿宋_GB2312"/>
          <w:color w:val="000000"/>
          <w:sz w:val="32"/>
          <w:szCs w:val="32"/>
        </w:rPr>
        <w:t>　国家工作人员在文明行为促进工作中滥用职权、玩忽职守、徇私舞弊的，依法给予处分。</w:t>
      </w:r>
    </w:p>
    <w:p>
      <w:pPr>
        <w:adjustRightInd w:val="0"/>
        <w:snapToGrid w:val="0"/>
        <w:spacing w:line="580" w:lineRule="exact"/>
        <w:ind w:firstLine="642"/>
        <w:rPr>
          <w:rFonts w:ascii="Times New Roman" w:hAnsi="Times New Roman" w:eastAsia="仿宋_GB2312"/>
          <w:color w:val="000000"/>
          <w:sz w:val="32"/>
          <w:szCs w:val="32"/>
        </w:rPr>
      </w:pPr>
    </w:p>
    <w:p>
      <w:pPr>
        <w:spacing w:line="580" w:lineRule="exact"/>
        <w:jc w:val="center"/>
        <w:rPr>
          <w:rFonts w:ascii="黑体" w:hAnsi="黑体" w:eastAsia="黑体"/>
          <w:color w:val="000000"/>
          <w:sz w:val="32"/>
          <w:szCs w:val="32"/>
        </w:rPr>
      </w:pPr>
      <w:r>
        <w:rPr>
          <w:rFonts w:hint="eastAsia" w:ascii="黑体" w:hAnsi="黑体" w:eastAsia="黑体"/>
          <w:color w:val="000000"/>
          <w:sz w:val="32"/>
          <w:szCs w:val="32"/>
        </w:rPr>
        <w:t>第五章　附　　则</w:t>
      </w:r>
    </w:p>
    <w:p>
      <w:pPr>
        <w:spacing w:line="580" w:lineRule="exact"/>
        <w:rPr>
          <w:rFonts w:ascii="Times New Roman" w:hAnsi="Times New Roman" w:eastAsia="仿宋_GB2312"/>
          <w:color w:val="000000"/>
          <w:sz w:val="32"/>
          <w:szCs w:val="32"/>
        </w:rPr>
      </w:pPr>
    </w:p>
    <w:p>
      <w:pPr>
        <w:snapToGrid w:val="0"/>
        <w:spacing w:line="580"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黑体" w:hAnsi="黑体" w:eastAsia="黑体"/>
          <w:color w:val="000000"/>
          <w:sz w:val="32"/>
          <w:szCs w:val="32"/>
        </w:rPr>
        <w:t>第四十九条</w:t>
      </w:r>
      <w:r>
        <w:rPr>
          <w:rFonts w:hint="eastAsia" w:ascii="Times New Roman" w:hAnsi="Times New Roman" w:eastAsia="仿宋_GB2312"/>
          <w:color w:val="000000"/>
          <w:sz w:val="32"/>
          <w:szCs w:val="32"/>
        </w:rPr>
        <w:t>　本条例自2019年11月1日起施行。</w:t>
      </w:r>
    </w:p>
    <w:p>
      <w:pPr>
        <w:snapToGrid w:val="0"/>
        <w:spacing w:line="580" w:lineRule="exact"/>
        <w:rPr>
          <w:rFonts w:ascii="Times New Roman" w:hAnsi="Times New Roman" w:eastAsia="仿宋_GB2312"/>
          <w:color w:val="000000" w:themeColor="text1"/>
          <w:sz w:val="32"/>
          <w:szCs w:val="32"/>
          <w14:textFill>
            <w14:solidFill>
              <w14:schemeClr w14:val="tx1"/>
            </w14:solidFill>
          </w14:textFill>
        </w:rPr>
      </w:pPr>
    </w:p>
    <w:p>
      <w:pPr>
        <w:snapToGrid w:val="0"/>
        <w:spacing w:line="580" w:lineRule="exact"/>
        <w:rPr>
          <w:rFonts w:ascii="Times New Roman" w:hAnsi="Times New Roman" w:eastAsia="仿宋_GB2312"/>
          <w:color w:val="000000" w:themeColor="text1"/>
          <w:sz w:val="32"/>
          <w:szCs w:val="32"/>
          <w14:textFill>
            <w14:solidFill>
              <w14:schemeClr w14:val="tx1"/>
            </w14:solidFill>
          </w14:textFill>
        </w:rPr>
      </w:pPr>
    </w:p>
    <w:p>
      <w:pPr>
        <w:snapToGrid w:val="0"/>
        <w:spacing w:line="580" w:lineRule="exact"/>
        <w:rPr>
          <w:rFonts w:ascii="Times New Roman" w:hAnsi="Times New Roman" w:eastAsia="仿宋_GB2312"/>
          <w:color w:val="000000" w:themeColor="text1"/>
          <w:sz w:val="32"/>
          <w:szCs w:val="32"/>
          <w14:textFill>
            <w14:solidFill>
              <w14:schemeClr w14:val="tx1"/>
            </w14:solidFill>
          </w14:textFill>
        </w:rPr>
      </w:pPr>
    </w:p>
    <w:p>
      <w:pPr>
        <w:snapToGrid w:val="0"/>
        <w:spacing w:line="580" w:lineRule="exact"/>
        <w:rPr>
          <w:rFonts w:ascii="Times New Roman" w:hAnsi="Times New Roman" w:eastAsia="仿宋_GB2312"/>
          <w:color w:val="000000" w:themeColor="text1"/>
          <w:sz w:val="32"/>
          <w:szCs w:val="32"/>
          <w14:textFill>
            <w14:solidFill>
              <w14:schemeClr w14:val="tx1"/>
            </w14:solidFill>
          </w14:textFill>
        </w:rPr>
      </w:pPr>
    </w:p>
    <w:p>
      <w:pPr>
        <w:snapToGrid w:val="0"/>
        <w:spacing w:line="580" w:lineRule="exact"/>
        <w:rPr>
          <w:rFonts w:ascii="Times New Roman" w:hAnsi="Times New Roman" w:eastAsia="仿宋_GB2312"/>
          <w:color w:val="000000" w:themeColor="text1"/>
          <w:sz w:val="32"/>
          <w:szCs w:val="32"/>
          <w14:textFill>
            <w14:solidFill>
              <w14:schemeClr w14:val="tx1"/>
            </w14:solidFill>
          </w14:textFill>
        </w:rPr>
      </w:pPr>
    </w:p>
    <w:p>
      <w:pPr>
        <w:snapToGrid w:val="0"/>
        <w:spacing w:line="580" w:lineRule="exact"/>
        <w:rPr>
          <w:rFonts w:ascii="Times New Roman" w:hAnsi="Times New Roman" w:eastAsia="仿宋_GB2312"/>
          <w:color w:val="000000" w:themeColor="text1"/>
          <w:sz w:val="32"/>
          <w:szCs w:val="32"/>
          <w14:textFill>
            <w14:solidFill>
              <w14:schemeClr w14:val="tx1"/>
            </w14:solidFill>
          </w14:textFill>
        </w:rPr>
      </w:pPr>
    </w:p>
    <w:p>
      <w:pPr>
        <w:snapToGrid w:val="0"/>
        <w:spacing w:line="580" w:lineRule="exact"/>
        <w:rPr>
          <w:rFonts w:ascii="Times New Roman" w:hAnsi="Times New Roman" w:eastAsia="仿宋_GB2312"/>
          <w:color w:val="000000" w:themeColor="text1"/>
          <w:sz w:val="32"/>
          <w:szCs w:val="32"/>
          <w14:textFill>
            <w14:solidFill>
              <w14:schemeClr w14:val="tx1"/>
            </w14:solidFill>
          </w14:textFill>
        </w:rPr>
      </w:pPr>
    </w:p>
    <w:p>
      <w:pPr>
        <w:snapToGrid w:val="0"/>
        <w:spacing w:line="580" w:lineRule="exact"/>
        <w:rPr>
          <w:rFonts w:ascii="Times New Roman" w:hAnsi="Times New Roman" w:eastAsia="仿宋_GB2312"/>
          <w:color w:val="000000" w:themeColor="text1"/>
          <w:sz w:val="32"/>
          <w:szCs w:val="32"/>
          <w14:textFill>
            <w14:solidFill>
              <w14:schemeClr w14:val="tx1"/>
            </w14:solidFill>
          </w14:textFill>
        </w:rPr>
      </w:pPr>
    </w:p>
    <w:p>
      <w:pPr>
        <w:snapToGrid w:val="0"/>
        <w:spacing w:line="580" w:lineRule="exact"/>
        <w:rPr>
          <w:rFonts w:ascii="Times New Roman" w:hAnsi="Times New Roman" w:eastAsia="仿宋_GB2312"/>
          <w:color w:val="000000" w:themeColor="text1"/>
          <w:sz w:val="32"/>
          <w:szCs w:val="32"/>
          <w14:textFill>
            <w14:solidFill>
              <w14:schemeClr w14:val="tx1"/>
            </w14:solidFill>
          </w14:textFill>
        </w:rPr>
      </w:pPr>
      <w:bookmarkStart w:id="0" w:name="_GoBack"/>
      <w:bookmarkEnd w:id="0"/>
    </w:p>
    <w:sectPr>
      <w:footerReference r:id="rId5" w:type="first"/>
      <w:footerReference r:id="rId3" w:type="default"/>
      <w:footerReference r:id="rId4" w:type="even"/>
      <w:pgSz w:w="11906" w:h="16838"/>
      <w:pgMar w:top="2098" w:right="1304" w:bottom="1418" w:left="1588" w:header="851" w:footer="397" w:gutter="0"/>
      <w:pgNumType w:fmt="numberInDash"/>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roman"/>
    <w:pitch w:val="default"/>
    <w:sig w:usb0="00000001" w:usb1="080E0000" w:usb2="00000000" w:usb3="00000000" w:csb0="00040000" w:csb1="00000000"/>
  </w:font>
  <w:font w:name="楷体_GB2312">
    <w:panose1 w:val="02010609030101010101"/>
    <w:charset w:val="86"/>
    <w:family w:val="roman"/>
    <w:pitch w:val="default"/>
    <w:sig w:usb0="00000001" w:usb1="080E0000" w:usb2="00000000"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sz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-70485</wp:posOffset>
              </wp:positionV>
              <wp:extent cx="720090" cy="331470"/>
              <wp:effectExtent l="0" t="0" r="0" b="0"/>
              <wp:wrapNone/>
              <wp:docPr id="1" name="文本框 4"/>
              <wp:cNvGraphicFramePr/>
              <a:graphic xmlns:a="http://schemas.openxmlformats.org/drawingml/2006/main">
                <a:graphicData uri="http://schemas.microsoft.com/office/word/2010/wordprocessingShape">
                  <wps:wsp>
                    <wps:cNvSpPr txBox="1"/>
                    <wps:spPr>
                      <a:xfrm>
                        <a:off x="0" y="0"/>
                        <a:ext cx="720090" cy="331470"/>
                      </a:xfrm>
                      <a:prstGeom prst="rect">
                        <a:avLst/>
                      </a:prstGeom>
                      <a:noFill/>
                      <a:ln w="9525">
                        <a:noFill/>
                      </a:ln>
                    </wps:spPr>
                    <wps:txbx>
                      <w:txbxContent>
                        <w:p>
                          <w:pPr>
                            <w:snapToGrid w:val="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- 14 -</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wrap="square" lIns="0" tIns="0" rIns="0" bIns="0"/>
                  </wps:wsp>
                </a:graphicData>
              </a:graphic>
            </wp:anchor>
          </w:drawing>
        </mc:Choice>
        <mc:Fallback>
          <w:pict>
            <v:shape id="文本框 4" o:spid="_x0000_s1026" o:spt="202" type="#_x0000_t202" style="position:absolute;left:0pt;margin-top:-5.55pt;height:26.1pt;width:56.7pt;mso-position-horizontal:outside;mso-position-horizontal-relative:margin;z-index:251658240;mso-width-relative:page;mso-height-relative:page;" filled="f" stroked="f" coordsize="21600,21600" o:gfxdata="UEsDBAoAAAAAAIdO4kAAAAAAAAAAAAAAAAAEAAAAZHJzL1BLAwQUAAAACACHTuJAf0+A3tYAAAAH&#10;AQAADwAAAGRycy9kb3ducmV2LnhtbE2PzU7DMBCE70i8g7WVuLW2oaogzaZCCE5IiDQcODrxNoka&#10;r0Ps/vD2uCd63JnRzLf55uwGcaQp9J4R9EKBIG687blF+Kre5o8gQjRszeCZEH4pwKa4vclNZv2J&#10;SzpuYytSCYfMIHQxjpmUoenImbDwI3Hydn5yJqZzaqWdzCmVu0HeK7WSzvScFjoz0ktHzX57cAjP&#10;31y+9j8f9We5K/uqelL8vtoj3s20WoOIdI7/YbjgJ3QoElPtD2yDGBDSIxFhrrUGcbH1wxJEjbBM&#10;gixyec1f/AFQSwMEFAAAAAgAh07iQMoMalyqAQAALgMAAA4AAABkcnMvZTJvRG9jLnhtbK1SS27b&#10;MBDdB+gdCO5r2c6vESwHKIIUBYImQNoD0BRpESA57JCx5AukN8gqm+57Lp8jQ0Z2inZXdEON5vM4&#10;7z0uLgdn2UZhNOAbPptMOVNeQmv8uuHfvl6//8BZTMK3woJXDd+qyC+X744WfajVHDqwrUJGID7W&#10;fWh4l1KoqyrKTjkRJxCUp6IGdCLRL66rFkVP6M5W8+n0rOoB24AgVYyUvXot8mXB11rJdKt1VInZ&#10;htNuqZxYzlU+q+VC1GsUoTNyXEP8wxZOGE+XHqCuRBLsAc1fUM5IhAg6TSS4CrQ2UhUOxGY2/YPN&#10;fSeCKlxInBgOMsX/Byu/bO6QmZa848wLRxbtnn7snn/tfj6ykyxPH2JNXfeB+tLwEYbcOuYjJTPr&#10;QaPLX+LDqE5Cbw/iqiExSclzsuuCKpJKx8ezk/MifvU2HDCmTwocy0HDkbwrkorNTUx0IbXuW/Jd&#10;Hq6NtcU/61nf8IvT+WkZOFRownoazBReV81RGlbDuP8K2i3R6sn/hsfvDwIVZ/azJ4HzY9kHuA9W&#10;Y5C3yVBkStlrfEDZ9d//S9fbM1++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H9PgN7WAAAABwEA&#10;AA8AAAAAAAAAAQAgAAAAIgAAAGRycy9kb3ducmV2LnhtbFBLAQIUABQAAAAIAIdO4kDKDGpcqgEA&#10;AC4DAAAOAAAAAAAAAAEAIAAAACUBAABkcnMvZTJvRG9jLnhtbFBLBQYAAAAABgAGAFkBAABBBQAA&#10;AAA=&#10;">
              <v:fill on="f" focussize="0,0"/>
              <v:stroke on="f"/>
              <v:imagedata o:title=""/>
              <o:lock v:ext="edit" aspectratio="f"/>
              <v:textbox inset="0mm,0mm,0mm,0mm">
                <w:txbxContent>
                  <w:p>
                    <w:pPr>
                      <w:snapToGrid w:val="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- 14 -</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p>
    <w:pPr>
      <w:pStyle w:val="4"/>
      <w:jc w:val="right"/>
      <w:rPr>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8"/>
        <w:szCs w:val="28"/>
      </w:rPr>
    </w:pPr>
    <w:r>
      <w:rPr>
        <w:sz w:val="28"/>
        <w:szCs w:val="28"/>
      </w:rPr>
      <mc:AlternateContent>
        <mc:Choice Requires="wps">
          <w:drawing>
            <wp:anchor distT="0" distB="0" distL="114300" distR="114300" simplePos="0" relativeHeight="251659264" behindDoc="0" locked="0" layoutInCell="1" allowOverlap="1">
              <wp:simplePos x="0" y="0"/>
              <wp:positionH relativeFrom="margin">
                <wp:posOffset>114300</wp:posOffset>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hint="eastAsia" w:ascii="宋体" w:hAnsi="宋体" w:cs="宋体"/>
                              <w:sz w:val="28"/>
                              <w:szCs w:val="28"/>
                            </w:rPr>
                            <w:t>- 2 -</w:t>
                          </w:r>
                          <w:r>
                            <w:rPr>
                              <w:rFonts w:hint="eastAsia" w:ascii="宋体" w:hAnsi="宋体" w:cs="宋体"/>
                              <w:sz w:val="28"/>
                              <w:szCs w:val="28"/>
                            </w:rPr>
                            <w:fldChar w:fldCharType="end"/>
                          </w:r>
                        </w:p>
                      </w:txbxContent>
                    </wps:txbx>
                    <wps:bodyPr wrap="none" lIns="0" tIns="0" rIns="0" bIns="0">
                      <a:spAutoFit/>
                    </wps:bodyPr>
                  </wps:wsp>
                </a:graphicData>
              </a:graphic>
            </wp:anchor>
          </w:drawing>
        </mc:Choice>
        <mc:Fallback>
          <w:pict>
            <v:shape id="文本框 5" o:spid="_x0000_s1026" o:spt="202" type="#_x0000_t202" style="position:absolute;left:0pt;margin-left:9pt;margin-top:0pt;height:144pt;width:144pt;mso-position-horizontal-relative:margin;mso-wrap-style:none;z-index:251659264;mso-width-relative:page;mso-height-relative:page;" filled="f" stroked="f" coordsize="21600,21600" o:gfxdata="UEsDBAoAAAAAAIdO4kAAAAAAAAAAAAAAAAAEAAAAZHJzL1BLAwQUAAAACACHTuJAdZI/Y9IAAAAH&#10;AQAADwAAAGRycy9kb3ducmV2LnhtbE2PQU/DMAyF70j7D5EncWPJhjSq0nSHSVy4MRASt6zxmorE&#10;qZKsa/895gQXy8/Pev7cHObgxYQpD5E0bDcKBFIX7UC9ho/3l4cKRC6GrPGRUMOCGQ7t6q4xtY03&#10;esPpVHrBIZRro8GVMtZS5s5hMHkTRyT2LjEFU1imXtpkbhwevNwptZfBDMQXnBnx6LD7Pl2Dhqf5&#10;M+KY8Yhfl6lLblgq/7pofb/eqmcQBefytwy/+IwOLTOd45VsFp51xa8UDVzZfVR7bs4adhXPZdvI&#10;//ztD1BLAwQUAAAACACHTuJA53CfybABAABIAwAADgAAAGRycy9lMm9Eb2MueG1srVNLbtswEN0X&#10;yB0I7mspAly4gumgRZCgQNEWSHMAmiItAvyBw1jyBdobdNVN9z2Xz9EhLTlBsgu6oWY4wzfz3ozW&#10;V6M1ZC8jaO8YvVzUlEgnfKfdjtH77zdvV5RA4q7jxjvJ6EECvdpcvFkPoZWN773pZCQI4qAdAqN9&#10;SqGtKhC9tBwWPkiHQeWj5QnduKu6yAdEt6Zq6vpdNfjYheiFBMDb61OQbgq+UlKkr0qBTMQwir2l&#10;csZybvNZbda83UUeei2mNvgrurBcOyx6hrrmiZOHqF9AWS2iB6/SQnhbeaW0kIUDsrmsn7G563mQ&#10;hQuKA+EsE/w/WPFl/y0S3THaUOK4xREdf/08/v57/PODLLM8Q4AWs+4C5qXxox9xzPM94GVmPapo&#10;8xf5EIyj0IezuHJMRORHq2a1qjEkMDY7iF89Pg8R0q30lmSD0YjTK6Ly/WdIp9Q5JVdz/kYbUyZo&#10;HBkYfb9sluXBOYLgxmGNTOLUbLbSuB0nZlvfHZDYgBvAqMMVpcR8cihwXpbZiLOxnYxcHcKHh4Qd&#10;lMYy6glqKobjKtSm1cr78NQvWY8/wOY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dZI/Y9IAAAAH&#10;AQAADwAAAAAAAAABACAAAAAiAAAAZHJzL2Rvd25yZXYueG1sUEsBAhQAFAAAAAgAh07iQOdwn8mw&#10;AQAASAMAAA4AAAAAAAAAAQAgAAAAIQEAAGRycy9lMm9Eb2MueG1sUEsFBgAAAAAGAAYAWQEAAEMF&#10;AAAAAA==&#10;">
              <v:fill on="f" focussize="0,0"/>
              <v:stroke on="f"/>
              <v:imagedata o:title=""/>
              <o:lock v:ext="edit" aspectratio="f"/>
              <v:textbox inset="0mm,0mm,0mm,0mm" style="mso-fit-shape-to-text:t;">
                <w:txbxContent>
                  <w:p>
                    <w:pPr>
                      <w:snapToGrid w:val="0"/>
                      <w:rPr>
                        <w:sz w:val="1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hint="eastAsia" w:ascii="宋体" w:hAnsi="宋体" w:cs="宋体"/>
                        <w:sz w:val="28"/>
                        <w:szCs w:val="28"/>
                      </w:rPr>
                      <w:t>- 2 -</w:t>
                    </w:r>
                    <w:r>
                      <w:rPr>
                        <w:rFonts w:hint="eastAsia" w:ascii="宋体" w:hAnsi="宋体" w:cs="宋体"/>
                        <w:sz w:val="28"/>
                        <w:szCs w:val="28"/>
                      </w:rPr>
                      <w:fldChar w:fldCharType="end"/>
                    </w:r>
                  </w:p>
                </w:txbxContent>
              </v:textbox>
            </v:shape>
          </w:pict>
        </mc:Fallback>
      </mc:AlternateContent>
    </w:r>
  </w:p>
  <w:p>
    <w:pPr>
      <w:pStyle w:val="4"/>
      <w:rPr>
        <w:sz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txbxContent>
                    </wps:txbx>
                    <wps:bodyPr wrap="none" lIns="0" tIns="0" rIns="0" bIns="0">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isV/bEBAABIAwAADgAAAGRycy9lMm9Eb2MueG1srVPBbtswDL0P2D8I&#10;ui92U7TIjChFi6JFgaEb0O4DFFmKBUiiIKmx8wPrH+y0y+77rnzHKMVOh/VW9CKTIvXI90gvLwZr&#10;yFaGqMExejKrKZFOQKvdhtHvjzefFpTExF3LDTjJ6E5GerH6+GHZ+0bOoQPTykAQxMWm94x2Kfmm&#10;qqLopOVxBl46DCoIlid0w6ZqA+8R3ZpqXtfnVQ+h9QGEjBFvrw9Buir4SkmRvioVZSKGUewtlTOU&#10;c53ParXkzSZw32kxtsHf0IXl2mHRI9Q1T5w8Bf0KymoRIIJKMwG2AqW0kIUDsjmp/2Pz0HEvCxcU&#10;J/qjTPH9YMX99lsgumX0lBLHLY5o//N5/+vP/vcPcp7l6X1sMOvBY14armDAMU/3ES8z60EFm7/I&#10;h2Achd4dxZVDIiI/WswXixpDAmOTg/jVy3MfYrqVYEk2GA04vSIq336J6ZA6peRqDm60MWWCxpGe&#10;0c9n87Py4BhBcOOwRiZxaDZbaVgPI7M1tDsk1uMGMOpwRSkxdw4FzssyGWEy1qORq0d/+ZSwg9JY&#10;Rj1AjcVwXIXauFp5H/71S9bLD7D6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CWKxX9sQEA&#10;AEgDAAAOAAAAAAAAAAEAIAAAAB4BAABkcnMvZTJvRG9jLnhtbFBLBQYAAAAABgAGAFkBAABBBQAA&#10;AAA=&#10;">
              <v:fill on="f" focussize="0,0"/>
              <v:stroke on="f"/>
              <v:imagedata o:title=""/>
              <o:lock v:ext="edit" aspectratio="f"/>
              <v:textbox inset="0mm,0mm,0mm,0mm" style="mso-fit-shape-to-text:t;">
                <w:txbxContent>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E2E"/>
    <w:rsid w:val="000024F1"/>
    <w:rsid w:val="0003463E"/>
    <w:rsid w:val="00043E8A"/>
    <w:rsid w:val="00045A61"/>
    <w:rsid w:val="0006234B"/>
    <w:rsid w:val="0006480A"/>
    <w:rsid w:val="0008430D"/>
    <w:rsid w:val="00096769"/>
    <w:rsid w:val="000C4F92"/>
    <w:rsid w:val="000F6726"/>
    <w:rsid w:val="00102AED"/>
    <w:rsid w:val="00105BB4"/>
    <w:rsid w:val="00145929"/>
    <w:rsid w:val="00172638"/>
    <w:rsid w:val="00173AF6"/>
    <w:rsid w:val="00173F66"/>
    <w:rsid w:val="00184F1F"/>
    <w:rsid w:val="001A62F6"/>
    <w:rsid w:val="001B3912"/>
    <w:rsid w:val="001C2269"/>
    <w:rsid w:val="001C2717"/>
    <w:rsid w:val="001C39CC"/>
    <w:rsid w:val="001D3D64"/>
    <w:rsid w:val="001D59F9"/>
    <w:rsid w:val="001E0E03"/>
    <w:rsid w:val="00240FA2"/>
    <w:rsid w:val="002410FA"/>
    <w:rsid w:val="002447DE"/>
    <w:rsid w:val="00247550"/>
    <w:rsid w:val="00253AE8"/>
    <w:rsid w:val="0025437C"/>
    <w:rsid w:val="00257B98"/>
    <w:rsid w:val="0026257B"/>
    <w:rsid w:val="00291613"/>
    <w:rsid w:val="002A63E2"/>
    <w:rsid w:val="002C1930"/>
    <w:rsid w:val="002C3B4B"/>
    <w:rsid w:val="002C6109"/>
    <w:rsid w:val="002D2A48"/>
    <w:rsid w:val="003061A7"/>
    <w:rsid w:val="003310C3"/>
    <w:rsid w:val="00350690"/>
    <w:rsid w:val="00357899"/>
    <w:rsid w:val="003701C0"/>
    <w:rsid w:val="0038716B"/>
    <w:rsid w:val="003A6710"/>
    <w:rsid w:val="003D401B"/>
    <w:rsid w:val="003E3FA1"/>
    <w:rsid w:val="00405D21"/>
    <w:rsid w:val="00482D4E"/>
    <w:rsid w:val="004C1193"/>
    <w:rsid w:val="004C3DDB"/>
    <w:rsid w:val="004C5524"/>
    <w:rsid w:val="004D6B7E"/>
    <w:rsid w:val="004E582B"/>
    <w:rsid w:val="004E5A03"/>
    <w:rsid w:val="005049F9"/>
    <w:rsid w:val="005069F1"/>
    <w:rsid w:val="00520B9B"/>
    <w:rsid w:val="00535A42"/>
    <w:rsid w:val="005462EE"/>
    <w:rsid w:val="00550CA5"/>
    <w:rsid w:val="00552331"/>
    <w:rsid w:val="005627ED"/>
    <w:rsid w:val="00570B08"/>
    <w:rsid w:val="00575F2A"/>
    <w:rsid w:val="00592A5D"/>
    <w:rsid w:val="005957D8"/>
    <w:rsid w:val="00595C8B"/>
    <w:rsid w:val="005B4F53"/>
    <w:rsid w:val="005E4F0D"/>
    <w:rsid w:val="005F59AD"/>
    <w:rsid w:val="0060621A"/>
    <w:rsid w:val="006140F5"/>
    <w:rsid w:val="00616736"/>
    <w:rsid w:val="00616BAE"/>
    <w:rsid w:val="00626E40"/>
    <w:rsid w:val="006624D5"/>
    <w:rsid w:val="00685C22"/>
    <w:rsid w:val="00690C63"/>
    <w:rsid w:val="00691D61"/>
    <w:rsid w:val="006B10AC"/>
    <w:rsid w:val="006C3C62"/>
    <w:rsid w:val="006C6C5D"/>
    <w:rsid w:val="0070355B"/>
    <w:rsid w:val="00736039"/>
    <w:rsid w:val="00736428"/>
    <w:rsid w:val="00747383"/>
    <w:rsid w:val="00750D99"/>
    <w:rsid w:val="0076549B"/>
    <w:rsid w:val="00786BFA"/>
    <w:rsid w:val="007934FF"/>
    <w:rsid w:val="007B7A66"/>
    <w:rsid w:val="007C0C9F"/>
    <w:rsid w:val="007D18DA"/>
    <w:rsid w:val="007D6B51"/>
    <w:rsid w:val="007E660A"/>
    <w:rsid w:val="007F6071"/>
    <w:rsid w:val="00816909"/>
    <w:rsid w:val="008214EB"/>
    <w:rsid w:val="008476B9"/>
    <w:rsid w:val="00851320"/>
    <w:rsid w:val="0085475A"/>
    <w:rsid w:val="0085582F"/>
    <w:rsid w:val="00870DA2"/>
    <w:rsid w:val="00892FDB"/>
    <w:rsid w:val="008A7D37"/>
    <w:rsid w:val="008B277D"/>
    <w:rsid w:val="008C0639"/>
    <w:rsid w:val="008C1E2E"/>
    <w:rsid w:val="008C1E6B"/>
    <w:rsid w:val="00914E1B"/>
    <w:rsid w:val="00960352"/>
    <w:rsid w:val="009F2916"/>
    <w:rsid w:val="009F6656"/>
    <w:rsid w:val="00A25D83"/>
    <w:rsid w:val="00A27D36"/>
    <w:rsid w:val="00A5322C"/>
    <w:rsid w:val="00A54E5A"/>
    <w:rsid w:val="00A90544"/>
    <w:rsid w:val="00AE263B"/>
    <w:rsid w:val="00AF0D41"/>
    <w:rsid w:val="00B41DCF"/>
    <w:rsid w:val="00B466E1"/>
    <w:rsid w:val="00B85C3D"/>
    <w:rsid w:val="00B864EE"/>
    <w:rsid w:val="00B86CD1"/>
    <w:rsid w:val="00B86FDB"/>
    <w:rsid w:val="00B90F3E"/>
    <w:rsid w:val="00B91E26"/>
    <w:rsid w:val="00BA2578"/>
    <w:rsid w:val="00BB3E1A"/>
    <w:rsid w:val="00BC6E97"/>
    <w:rsid w:val="00C01CCD"/>
    <w:rsid w:val="00C302A9"/>
    <w:rsid w:val="00C7354C"/>
    <w:rsid w:val="00C77A21"/>
    <w:rsid w:val="00C840C2"/>
    <w:rsid w:val="00CD2AAD"/>
    <w:rsid w:val="00CF3BAA"/>
    <w:rsid w:val="00D05A78"/>
    <w:rsid w:val="00D21092"/>
    <w:rsid w:val="00D234FC"/>
    <w:rsid w:val="00D32522"/>
    <w:rsid w:val="00D420D6"/>
    <w:rsid w:val="00D739D9"/>
    <w:rsid w:val="00D829D8"/>
    <w:rsid w:val="00DB31B7"/>
    <w:rsid w:val="00DC2983"/>
    <w:rsid w:val="00DD33D7"/>
    <w:rsid w:val="00DE0740"/>
    <w:rsid w:val="00E017A9"/>
    <w:rsid w:val="00E234B7"/>
    <w:rsid w:val="00E67FA8"/>
    <w:rsid w:val="00E73FF2"/>
    <w:rsid w:val="00EB200D"/>
    <w:rsid w:val="00EF0A21"/>
    <w:rsid w:val="00EF2FBF"/>
    <w:rsid w:val="00F27A46"/>
    <w:rsid w:val="00F30882"/>
    <w:rsid w:val="00F316F0"/>
    <w:rsid w:val="00F41E33"/>
    <w:rsid w:val="00F4214B"/>
    <w:rsid w:val="00F42BDC"/>
    <w:rsid w:val="00F45A34"/>
    <w:rsid w:val="00F6441A"/>
    <w:rsid w:val="00FB1C95"/>
    <w:rsid w:val="00FE184C"/>
    <w:rsid w:val="00FF2003"/>
    <w:rsid w:val="01AD4FA5"/>
    <w:rsid w:val="07293202"/>
    <w:rsid w:val="0C125694"/>
    <w:rsid w:val="0CBF21CC"/>
    <w:rsid w:val="153254F7"/>
    <w:rsid w:val="16A36AB3"/>
    <w:rsid w:val="17DC49EF"/>
    <w:rsid w:val="1EFF33FE"/>
    <w:rsid w:val="28994DD9"/>
    <w:rsid w:val="2B00142D"/>
    <w:rsid w:val="2D5305F9"/>
    <w:rsid w:val="2E262242"/>
    <w:rsid w:val="2EBA4421"/>
    <w:rsid w:val="2EEF4470"/>
    <w:rsid w:val="304A2811"/>
    <w:rsid w:val="330553B1"/>
    <w:rsid w:val="34414766"/>
    <w:rsid w:val="346F3BD1"/>
    <w:rsid w:val="385F35EA"/>
    <w:rsid w:val="3D5315C2"/>
    <w:rsid w:val="3EE5198D"/>
    <w:rsid w:val="41BB4465"/>
    <w:rsid w:val="576C4F66"/>
    <w:rsid w:val="57D66B94"/>
    <w:rsid w:val="5E380209"/>
    <w:rsid w:val="5EC63CEC"/>
    <w:rsid w:val="5FBD075B"/>
    <w:rsid w:val="60DC12CB"/>
    <w:rsid w:val="65F86656"/>
    <w:rsid w:val="66954EBE"/>
    <w:rsid w:val="66C85E9C"/>
    <w:rsid w:val="6FFD0F84"/>
    <w:rsid w:val="71087B84"/>
    <w:rsid w:val="7CC56835"/>
    <w:rsid w:val="7F444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11"/>
    <w:unhideWhenUsed/>
    <w:qFormat/>
    <w:uiPriority w:val="99"/>
    <w:pPr>
      <w:ind w:left="100" w:leftChars="2500"/>
    </w:pPr>
  </w:style>
  <w:style w:type="paragraph" w:styleId="3">
    <w:name w:val="Balloon Text"/>
    <w:basedOn w:val="1"/>
    <w:link w:val="10"/>
    <w:unhideWhenUsed/>
    <w:qFormat/>
    <w:uiPriority w:val="99"/>
    <w:rPr>
      <w:sz w:val="18"/>
      <w:szCs w:val="18"/>
    </w:rPr>
  </w:style>
  <w:style w:type="paragraph" w:styleId="4">
    <w:name w:val="footer"/>
    <w:basedOn w:val="1"/>
    <w:link w:val="12"/>
    <w:unhideWhenUsed/>
    <w:qFormat/>
    <w:uiPriority w:val="99"/>
    <w:pPr>
      <w:tabs>
        <w:tab w:val="center" w:pos="4513"/>
        <w:tab w:val="right" w:pos="902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513"/>
        <w:tab w:val="right" w:pos="9026"/>
      </w:tabs>
      <w:snapToGrid w:val="0"/>
      <w:jc w:val="center"/>
    </w:pPr>
    <w:rPr>
      <w:sz w:val="18"/>
      <w:szCs w:val="18"/>
    </w:rPr>
  </w:style>
  <w:style w:type="paragraph" w:styleId="6">
    <w:name w:val="Normal (Web)"/>
    <w:basedOn w:val="1"/>
    <w:qFormat/>
    <w:uiPriority w:val="0"/>
    <w:rPr>
      <w:rFonts w:ascii="Times New Roman" w:hAnsi="Times New Roman"/>
      <w:sz w:val="24"/>
      <w:szCs w:val="24"/>
    </w:rPr>
  </w:style>
  <w:style w:type="character" w:customStyle="1" w:styleId="9">
    <w:name w:val="页眉 Char"/>
    <w:link w:val="5"/>
    <w:qFormat/>
    <w:uiPriority w:val="99"/>
    <w:rPr>
      <w:kern w:val="2"/>
      <w:sz w:val="18"/>
      <w:szCs w:val="18"/>
    </w:rPr>
  </w:style>
  <w:style w:type="character" w:customStyle="1" w:styleId="10">
    <w:name w:val="批注框文本 Char"/>
    <w:link w:val="3"/>
    <w:semiHidden/>
    <w:qFormat/>
    <w:uiPriority w:val="99"/>
    <w:rPr>
      <w:kern w:val="2"/>
      <w:sz w:val="18"/>
      <w:szCs w:val="18"/>
    </w:rPr>
  </w:style>
  <w:style w:type="character" w:customStyle="1" w:styleId="11">
    <w:name w:val="日期 Char"/>
    <w:link w:val="2"/>
    <w:semiHidden/>
    <w:qFormat/>
    <w:uiPriority w:val="99"/>
    <w:rPr>
      <w:kern w:val="2"/>
      <w:sz w:val="21"/>
      <w:szCs w:val="22"/>
    </w:rPr>
  </w:style>
  <w:style w:type="character" w:customStyle="1" w:styleId="12">
    <w:name w:val="页脚 Char"/>
    <w:link w:val="4"/>
    <w:qFormat/>
    <w:uiPriority w:val="99"/>
    <w:rPr>
      <w:rFonts w:ascii="Calibri" w:hAnsi="Calibri" w:eastAsia="宋体" w:cs="Times New Roman"/>
      <w:sz w:val="18"/>
      <w:szCs w:val="18"/>
    </w:rPr>
  </w:style>
  <w:style w:type="paragraph" w:customStyle="1" w:styleId="13">
    <w:name w:val="列出段落1"/>
    <w:basedOn w:val="1"/>
    <w:unhideWhenUsed/>
    <w:qFormat/>
    <w:uiPriority w:val="99"/>
    <w:pPr>
      <w:ind w:firstLine="420" w:firstLineChars="200"/>
    </w:pPr>
  </w:style>
  <w:style w:type="paragraph" w:customStyle="1" w:styleId="14">
    <w:name w:val="列出段落1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21</Pages>
  <Words>1205</Words>
  <Characters>6871</Characters>
  <Lines>57</Lines>
  <Paragraphs>16</Paragraphs>
  <TotalTime>2</TotalTime>
  <ScaleCrop>false</ScaleCrop>
  <LinksUpToDate>false</LinksUpToDate>
  <CharactersWithSpaces>8060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2019-10-09T08:49:00Z</dcterms:created>
  <dc:creator>rd504</dc:creator>
  <cp:lastModifiedBy>婷婷</cp:lastModifiedBy>
  <cp:lastPrinted>2019-10-11T07:44:00Z</cp:lastPrinted>
  <dcterms:modified xsi:type="dcterms:W3CDTF">2019-10-15T08:55:36Z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