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keepNext w:val="0"/>
        <w:keepLines w:val="0"/>
        <w:pageBreakBefore w:val="0"/>
        <w:kinsoku/>
        <w:topLinePunct w:val="0"/>
        <w:bidi w:val="0"/>
        <w:adjustRightInd w:val="0"/>
        <w:spacing w:line="590" w:lineRule="exact"/>
        <w:textAlignment w:val="auto"/>
        <w:rPr>
          <w:rFonts w:hint="eastAsia" w:ascii="宋体" w:hAnsi="宋体"/>
          <w:spacing w:val="0"/>
        </w:rPr>
      </w:pPr>
    </w:p>
    <w:p>
      <w:pPr>
        <w:pStyle w:val="56"/>
        <w:keepNext w:val="0"/>
        <w:keepLines w:val="0"/>
        <w:pageBreakBefore w:val="0"/>
        <w:kinsoku/>
        <w:topLinePunct w:val="0"/>
        <w:bidi w:val="0"/>
        <w:adjustRightInd w:val="0"/>
        <w:spacing w:line="590" w:lineRule="exact"/>
        <w:textAlignment w:val="auto"/>
        <w:rPr>
          <w:rFonts w:hint="eastAsia" w:ascii="宋体" w:hAnsi="宋体"/>
          <w:spacing w:val="0"/>
        </w:rPr>
      </w:pPr>
    </w:p>
    <w:p>
      <w:pPr>
        <w:pStyle w:val="56"/>
        <w:keepNext w:val="0"/>
        <w:keepLines w:val="0"/>
        <w:pageBreakBefore w:val="0"/>
        <w:kinsoku/>
        <w:topLinePunct w:val="0"/>
        <w:bidi w:val="0"/>
        <w:adjustRightInd w:val="0"/>
        <w:spacing w:line="590" w:lineRule="exact"/>
        <w:textAlignment w:val="auto"/>
        <w:rPr>
          <w:rFonts w:hint="eastAsia" w:ascii="宋体" w:hAnsi="宋体" w:eastAsia="宋体" w:cs="宋体"/>
          <w:spacing w:val="0"/>
        </w:rPr>
      </w:pPr>
      <w:r>
        <w:rPr>
          <w:rFonts w:hint="eastAsia" w:ascii="宋体" w:hAnsi="宋体" w:eastAsia="宋体" w:cs="宋体"/>
          <w:spacing w:val="0"/>
        </w:rPr>
        <w:t>潮州市</w:t>
      </w:r>
      <w:r>
        <w:rPr>
          <w:rFonts w:hint="eastAsia" w:ascii="宋体" w:hAnsi="宋体" w:eastAsia="宋体" w:cs="宋体"/>
          <w:spacing w:val="0"/>
          <w:lang w:eastAsia="zh-CN"/>
        </w:rPr>
        <w:t>文明行为促进</w:t>
      </w:r>
      <w:r>
        <w:rPr>
          <w:rFonts w:hint="eastAsia" w:ascii="宋体" w:hAnsi="宋体" w:eastAsia="宋体" w:cs="宋体"/>
          <w:spacing w:val="0"/>
        </w:rPr>
        <w:t>条例</w:t>
      </w:r>
    </w:p>
    <w:p>
      <w:pPr>
        <w:keepNext w:val="0"/>
        <w:keepLines w:val="0"/>
        <w:pageBreakBefore w:val="0"/>
        <w:kinsoku/>
        <w:topLinePunct w:val="0"/>
        <w:bidi w:val="0"/>
        <w:adjustRightInd w:val="0"/>
        <w:spacing w:line="590" w:lineRule="exact"/>
        <w:textAlignment w:val="auto"/>
        <w:rPr>
          <w:rFonts w:ascii="宋体" w:hAnsi="宋体"/>
          <w:spacing w:val="0"/>
        </w:rPr>
      </w:pPr>
    </w:p>
    <w:p>
      <w:pPr>
        <w:pStyle w:val="35"/>
        <w:keepNext w:val="0"/>
        <w:keepLines w:val="0"/>
        <w:pageBreakBefore w:val="0"/>
        <w:kinsoku/>
        <w:topLinePunct w:val="0"/>
        <w:bidi w:val="0"/>
        <w:adjustRightInd w:val="0"/>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（202</w:t>
      </w:r>
      <w:r>
        <w:rPr>
          <w:rFonts w:hint="eastAsia" w:ascii="宋体" w:hAnsi="宋体"/>
          <w:spacing w:val="0"/>
          <w:sz w:val="32"/>
          <w:szCs w:val="32"/>
          <w:lang w:val="en-US" w:eastAsia="zh-CN"/>
        </w:rPr>
        <w:t>2</w:t>
      </w:r>
      <w:r>
        <w:rPr>
          <w:rFonts w:hint="eastAsia" w:ascii="宋体" w:hAnsi="宋体"/>
          <w:spacing w:val="0"/>
          <w:sz w:val="32"/>
          <w:szCs w:val="32"/>
        </w:rPr>
        <w:t>年10月</w:t>
      </w:r>
      <w:r>
        <w:rPr>
          <w:rFonts w:hint="eastAsia" w:ascii="宋体" w:hAnsi="宋体"/>
          <w:spacing w:val="0"/>
          <w:sz w:val="32"/>
          <w:szCs w:val="32"/>
          <w:lang w:val="en-US" w:eastAsia="zh-CN"/>
        </w:rPr>
        <w:t>21</w:t>
      </w:r>
      <w:r>
        <w:rPr>
          <w:rFonts w:hint="eastAsia" w:ascii="宋体" w:hAnsi="宋体"/>
          <w:spacing w:val="0"/>
          <w:sz w:val="32"/>
          <w:szCs w:val="32"/>
        </w:rPr>
        <w:t>日潮州市第十</w:t>
      </w:r>
      <w:r>
        <w:rPr>
          <w:rFonts w:hint="eastAsia" w:ascii="宋体" w:hAnsi="宋体"/>
          <w:spacing w:val="0"/>
          <w:sz w:val="32"/>
          <w:szCs w:val="32"/>
          <w:lang w:eastAsia="zh-CN"/>
        </w:rPr>
        <w:t>六</w:t>
      </w:r>
      <w:r>
        <w:rPr>
          <w:rFonts w:hint="eastAsia" w:ascii="宋体" w:hAnsi="宋体"/>
          <w:spacing w:val="0"/>
          <w:sz w:val="32"/>
          <w:szCs w:val="32"/>
        </w:rPr>
        <w:t>届人民代表大会常务委员会第</w:t>
      </w:r>
      <w:r>
        <w:rPr>
          <w:rFonts w:hint="eastAsia" w:ascii="宋体" w:hAnsi="宋体"/>
          <w:spacing w:val="0"/>
          <w:sz w:val="32"/>
          <w:szCs w:val="32"/>
          <w:lang w:eastAsia="zh-CN"/>
        </w:rPr>
        <w:t>七</w:t>
      </w:r>
      <w:r>
        <w:rPr>
          <w:rFonts w:hint="eastAsia" w:ascii="宋体" w:hAnsi="宋体"/>
          <w:spacing w:val="0"/>
          <w:sz w:val="32"/>
          <w:szCs w:val="32"/>
        </w:rPr>
        <w:t>次会议通过</w:t>
      </w:r>
      <w:r>
        <w:rPr>
          <w:rFonts w:hint="eastAsia" w:ascii="宋体" w:hAnsi="宋体"/>
          <w:spacing w:val="0"/>
          <w:sz w:val="32"/>
          <w:szCs w:val="32"/>
          <w:lang w:val="en-US" w:eastAsia="zh-CN"/>
        </w:rPr>
        <w:t xml:space="preserve">  2022年11月30日广东省第十三届人民代表大会常务委员会第四十七次会议批准</w:t>
      </w:r>
      <w:r>
        <w:rPr>
          <w:rFonts w:hint="eastAsia" w:ascii="宋体" w:hAnsi="宋体"/>
          <w:spacing w:val="0"/>
          <w:sz w:val="32"/>
          <w:szCs w:val="32"/>
        </w:rPr>
        <w:t>）</w:t>
      </w:r>
    </w:p>
    <w:p>
      <w:pPr>
        <w:keepNext w:val="0"/>
        <w:keepLines w:val="0"/>
        <w:pageBreakBefore w:val="0"/>
        <w:kinsoku/>
        <w:topLinePunct w:val="0"/>
        <w:bidi w:val="0"/>
        <w:adjustRightInd w:val="0"/>
        <w:spacing w:line="590" w:lineRule="exact"/>
        <w:textAlignment w:val="auto"/>
        <w:rPr>
          <w:rFonts w:hint="eastAsia" w:ascii="宋体" w:hAnsi="宋体"/>
          <w:spacing w:val="0"/>
          <w:sz w:val="32"/>
          <w:szCs w:val="32"/>
        </w:rPr>
      </w:pPr>
    </w:p>
    <w:p>
      <w:pPr>
        <w:pStyle w:val="92"/>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目　录</w:t>
      </w:r>
    </w:p>
    <w:p>
      <w:pPr>
        <w:keepNext w:val="0"/>
        <w:keepLines w:val="0"/>
        <w:pageBreakBefore w:val="0"/>
        <w:kinsoku/>
        <w:topLinePunct w:val="0"/>
        <w:bidi w:val="0"/>
        <w:adjustRightInd w:val="0"/>
        <w:spacing w:line="590" w:lineRule="exact"/>
        <w:textAlignment w:val="auto"/>
        <w:rPr>
          <w:rFonts w:hint="eastAsia" w:ascii="宋体" w:hAnsi="宋体" w:eastAsia="方正楷体_GBK" w:cs="方正楷体_GBK"/>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第一章　总则</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第二章　倡导与规范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第三章　管理与监督</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第四章　保障与促进</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第五章　法律责任</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方正楷体_GBK" w:cs="方正楷体_GBK"/>
          <w:spacing w:val="0"/>
          <w:sz w:val="32"/>
          <w:szCs w:val="32"/>
        </w:rPr>
      </w:pPr>
      <w:r>
        <w:rPr>
          <w:rFonts w:hint="eastAsia" w:ascii="宋体" w:hAnsi="宋体" w:eastAsia="方正楷体_GBK" w:cs="方正楷体_GBK"/>
          <w:spacing w:val="0"/>
          <w:sz w:val="32"/>
          <w:szCs w:val="32"/>
        </w:rPr>
        <w:t>第六章　附则</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第一章　总　则</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第一条</w:t>
      </w:r>
      <w:r>
        <w:rPr>
          <w:rFonts w:hint="eastAsia" w:ascii="宋体" w:hAnsi="宋体"/>
          <w:spacing w:val="0"/>
          <w:sz w:val="32"/>
          <w:szCs w:val="32"/>
        </w:rPr>
        <w:t>　为了培育和践行社会主义核心价值观，加强公民道德建设，引导和促进文明行为，提升公民文明素养，提高社会文明程度，根据有关法律法规，结合本市实际，制定本条例。</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第二条</w:t>
      </w:r>
      <w:r>
        <w:rPr>
          <w:rFonts w:hint="eastAsia" w:ascii="宋体" w:hAnsi="宋体"/>
          <w:spacing w:val="0"/>
          <w:sz w:val="32"/>
          <w:szCs w:val="32"/>
        </w:rPr>
        <w:t>　本条例适用</w:t>
      </w:r>
      <w:r>
        <w:rPr>
          <w:rFonts w:hint="eastAsia" w:ascii="宋体" w:hAnsi="宋体"/>
          <w:spacing w:val="0"/>
          <w:sz w:val="32"/>
          <w:szCs w:val="32"/>
          <w:lang w:eastAsia="zh-CN"/>
        </w:rPr>
        <w:t>于</w:t>
      </w:r>
      <w:r>
        <w:rPr>
          <w:rFonts w:hint="eastAsia" w:ascii="宋体" w:hAnsi="宋体"/>
          <w:spacing w:val="0"/>
          <w:sz w:val="32"/>
          <w:szCs w:val="32"/>
        </w:rPr>
        <w:t>本市行政区域内文明行为的规范、促进、保障工作及相关活动。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本条例所称文明行为，是指遵守宪法和法律法规，符合社会主义核心价值观和社会主义道德要求，弘扬公序良俗，体现社会文明进步的行为。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第三条</w:t>
      </w:r>
      <w:r>
        <w:rPr>
          <w:rFonts w:hint="eastAsia" w:ascii="宋体" w:hAnsi="宋体"/>
          <w:spacing w:val="0"/>
          <w:sz w:val="32"/>
          <w:szCs w:val="32"/>
        </w:rPr>
        <w:t>　文明行为促进工作应当坚持法治和德治相结合、倡导和治理相结合、自律和他律相结合的原则，构建党委统一领导、政府组织实施、部门各负其责、社会共同参与的工作机制。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文明行为促进工作按照国家和省的规定纳入文明城市、文明村镇、文明单位、文明家庭、文明校园考评体系。</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第四条</w:t>
      </w:r>
      <w:r>
        <w:rPr>
          <w:rFonts w:hint="eastAsia" w:ascii="宋体" w:hAnsi="宋体"/>
          <w:spacing w:val="0"/>
          <w:sz w:val="32"/>
          <w:szCs w:val="32"/>
        </w:rPr>
        <w:t>　市、县（区）人民政府应当将文明行为促进工作纳入国民经济和社会发展规划，所需经费列入本级财政预算，建立健全文明行为促进工作长效机制，推动文明行为促进工作与经济社会协调发展。</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镇人民政府（街道办事处）应当按照</w:t>
      </w:r>
      <w:r>
        <w:rPr>
          <w:rFonts w:hint="eastAsia" w:ascii="宋体" w:hAnsi="宋体"/>
          <w:spacing w:val="0"/>
          <w:sz w:val="32"/>
          <w:szCs w:val="32"/>
          <w:lang w:eastAsia="zh-CN"/>
        </w:rPr>
        <w:t>上级人民政府及其有关部门、</w:t>
      </w:r>
      <w:r>
        <w:rPr>
          <w:rFonts w:hint="eastAsia" w:ascii="宋体" w:hAnsi="宋体"/>
          <w:spacing w:val="0"/>
          <w:sz w:val="32"/>
          <w:szCs w:val="32"/>
        </w:rPr>
        <w:t>精神文明建设委员会</w:t>
      </w:r>
      <w:r>
        <w:rPr>
          <w:rFonts w:hint="eastAsia" w:ascii="宋体" w:hAnsi="宋体"/>
          <w:spacing w:val="0"/>
          <w:sz w:val="32"/>
          <w:szCs w:val="32"/>
          <w:lang w:eastAsia="zh-CN"/>
        </w:rPr>
        <w:t>及其</w:t>
      </w:r>
      <w:r>
        <w:rPr>
          <w:rFonts w:hint="eastAsia" w:ascii="宋体" w:hAnsi="宋体"/>
          <w:spacing w:val="0"/>
          <w:sz w:val="32"/>
          <w:szCs w:val="32"/>
        </w:rPr>
        <w:t>办事机构</w:t>
      </w:r>
      <w:r>
        <w:rPr>
          <w:rFonts w:hint="eastAsia" w:ascii="宋体" w:hAnsi="宋体"/>
          <w:spacing w:val="0"/>
          <w:sz w:val="32"/>
          <w:szCs w:val="32"/>
          <w:lang w:eastAsia="zh-CN"/>
        </w:rPr>
        <w:t>的</w:t>
      </w:r>
      <w:r>
        <w:rPr>
          <w:rFonts w:hint="eastAsia" w:ascii="宋体" w:hAnsi="宋体"/>
          <w:spacing w:val="0"/>
          <w:sz w:val="32"/>
          <w:szCs w:val="32"/>
        </w:rPr>
        <w:t>要求，</w:t>
      </w:r>
      <w:r>
        <w:rPr>
          <w:rFonts w:hint="eastAsia" w:ascii="宋体" w:hAnsi="宋体"/>
          <w:spacing w:val="0"/>
          <w:sz w:val="32"/>
          <w:szCs w:val="32"/>
          <w:lang w:eastAsia="zh-CN"/>
        </w:rPr>
        <w:t>负责</w:t>
      </w:r>
      <w:r>
        <w:rPr>
          <w:rFonts w:hint="eastAsia" w:ascii="宋体" w:hAnsi="宋体"/>
          <w:spacing w:val="0"/>
          <w:sz w:val="32"/>
          <w:szCs w:val="32"/>
        </w:rPr>
        <w:t>本辖区文明行为促进具体工作的落实。</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第五条</w:t>
      </w:r>
      <w:r>
        <w:rPr>
          <w:rFonts w:hint="eastAsia" w:ascii="宋体" w:hAnsi="宋体"/>
          <w:spacing w:val="0"/>
          <w:sz w:val="32"/>
          <w:szCs w:val="32"/>
        </w:rPr>
        <w:t>　市、县（区）人民政府发展改革、教育、公安、民政、城管执法、司法、生态环境、住房和城乡建设、交通运输、农业农村、卫生健康、商务、文化和旅游、市场监管等行政主管部门应当按照各自职责，</w:t>
      </w:r>
      <w:r>
        <w:rPr>
          <w:rFonts w:hint="eastAsia" w:ascii="宋体" w:hAnsi="宋体"/>
          <w:spacing w:val="0"/>
          <w:sz w:val="32"/>
          <w:szCs w:val="32"/>
          <w:lang w:eastAsia="zh-CN"/>
        </w:rPr>
        <w:t>做好文明行为促进工作</w:t>
      </w:r>
      <w:r>
        <w:rPr>
          <w:rFonts w:hint="eastAsia" w:ascii="宋体" w:hAnsi="宋体"/>
          <w:spacing w:val="0"/>
          <w:sz w:val="32"/>
          <w:szCs w:val="32"/>
        </w:rPr>
        <w:t>。</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第六条</w:t>
      </w:r>
      <w:r>
        <w:rPr>
          <w:rFonts w:hint="eastAsia" w:ascii="宋体" w:hAnsi="宋体"/>
          <w:spacing w:val="0"/>
          <w:sz w:val="32"/>
          <w:szCs w:val="32"/>
        </w:rPr>
        <w:t>　市、县（区）精神文明建设委员会负责统筹推进本行政区域内文明行为促进工作，指导、推动、督促本行政区域内各部门落实精神文明建设工作职责。</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市、县（区）精神文明建设委员会办事机构负责本行政区域内文明行为促进工作的组织协调、督促检查等工作。</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第七条</w:t>
      </w:r>
      <w:r>
        <w:rPr>
          <w:rFonts w:hint="eastAsia" w:ascii="宋体" w:hAnsi="宋体"/>
          <w:spacing w:val="0"/>
          <w:sz w:val="32"/>
          <w:szCs w:val="32"/>
        </w:rPr>
        <w:t>　村（居）民委员会协助各级政府和有关部门做好文明行为促进工作</w:t>
      </w:r>
      <w:r>
        <w:rPr>
          <w:rFonts w:hint="eastAsia" w:ascii="宋体" w:hAnsi="宋体"/>
          <w:spacing w:val="0"/>
          <w:sz w:val="32"/>
          <w:szCs w:val="32"/>
          <w:lang w:eastAsia="zh-CN"/>
        </w:rPr>
        <w:t>，</w:t>
      </w:r>
      <w:r>
        <w:rPr>
          <w:rFonts w:hint="eastAsia" w:ascii="宋体" w:hAnsi="宋体"/>
          <w:spacing w:val="0"/>
          <w:sz w:val="32"/>
          <w:szCs w:val="32"/>
        </w:rPr>
        <w:t>推动将文明行为规范纳入村规民约和居民公约，加强文明行为的宣传、教育和引导。</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第八条</w:t>
      </w:r>
      <w:r>
        <w:rPr>
          <w:rFonts w:hint="eastAsia" w:ascii="宋体" w:hAnsi="宋体"/>
          <w:spacing w:val="0"/>
          <w:sz w:val="32"/>
          <w:szCs w:val="32"/>
        </w:rPr>
        <w:t>　工会、共青团、妇联、残联等人民团体应当发挥各自职能作用，组织开展具有群体特色的文明行为促进活动。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第九条</w:t>
      </w:r>
      <w:r>
        <w:rPr>
          <w:rFonts w:hint="eastAsia" w:ascii="宋体" w:hAnsi="宋体"/>
          <w:spacing w:val="0"/>
          <w:sz w:val="32"/>
          <w:szCs w:val="32"/>
        </w:rPr>
        <w:t>　公民应当践行社会主义核心价值观，弘扬中华民族传统美德，积极参与社会公德、职业道德、家庭美德、个人品德建设，遵守法律法规，自觉遵守潮州市民文明公约，抵制不文明行为。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国家机关工作人员、教育工作者、社会公众人物以及交通、旅游、金融、医疗、通信等窗口行业工作人员，应当在践行文明行为中发挥表率作用。</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numPr>
          <w:ilvl w:val="0"/>
          <w:numId w:val="1"/>
        </w:numPr>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倡导与规范</w:t>
      </w:r>
    </w:p>
    <w:p>
      <w:pPr>
        <w:pStyle w:val="92"/>
        <w:keepNext w:val="0"/>
        <w:keepLines w:val="0"/>
        <w:pageBreakBefore w:val="0"/>
        <w:widowControl w:val="0"/>
        <w:numPr>
          <w:ilvl w:val="0"/>
          <w:numId w:val="0"/>
        </w:numPr>
        <w:kinsoku/>
        <w:wordWrap/>
        <w:overflowPunct/>
        <w:topLinePunct w:val="0"/>
        <w:autoSpaceDE/>
        <w:autoSpaceDN/>
        <w:bidi w:val="0"/>
        <w:adjustRightInd w:val="0"/>
        <w:snapToGrid/>
        <w:spacing w:line="590" w:lineRule="exact"/>
        <w:jc w:val="both"/>
        <w:textAlignment w:val="auto"/>
        <w:rPr>
          <w:rFonts w:hint="eastAsia" w:ascii="宋体" w:hAnsi="宋体"/>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第十条</w:t>
      </w:r>
      <w:r>
        <w:rPr>
          <w:rFonts w:hint="eastAsia" w:ascii="宋体" w:hAnsi="宋体"/>
          <w:spacing w:val="0"/>
          <w:sz w:val="32"/>
          <w:szCs w:val="32"/>
        </w:rPr>
        <w:t>　在遵循公共场所文明礼仪方面，自觉遵守下列规定：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（一）在公共场所着装整洁得体，言行举止文明有礼；</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5"/>
          <w:sz w:val="32"/>
          <w:szCs w:val="32"/>
        </w:rPr>
      </w:pPr>
      <w:r>
        <w:rPr>
          <w:rFonts w:hint="eastAsia" w:ascii="宋体" w:hAnsi="宋体"/>
          <w:spacing w:val="5"/>
          <w:sz w:val="32"/>
          <w:szCs w:val="32"/>
        </w:rPr>
        <w:t>（二）等候服务依次排队，遵守公共场所设置的文明引导标识；</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（三）爱护公共设施，不得侵占、损毁或者以不恰当方式使用公共设施；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（四）在公共场所不得大声喧哗，控制手机及其他电子产品外放音量，避免干扰他人；开展歌舞、健身、宣传等活动，应合理选择场地、时间，遵守噪声管理有关规定；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（五）参加展览会、博览会、图书馆阅览等公众活动和文艺观演、体育观赛等，应当遵守活动现场秩序，服从文明引导；成年人应当教育、引导随行未成年人遵循文明礼仪；</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（六）遇突发事件应当服从现场指挥，配合应急处理，不盲目聚集围观；</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（七）其他公共场所文明行为规范。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第十一条</w:t>
      </w:r>
      <w:r>
        <w:rPr>
          <w:rFonts w:hint="eastAsia" w:ascii="宋体" w:hAnsi="宋体"/>
          <w:spacing w:val="0"/>
          <w:sz w:val="32"/>
          <w:szCs w:val="32"/>
        </w:rPr>
        <w:t>　在维护公共卫生方面，自觉遵守下列规定：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（一）维护公共场所干净、整洁；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（二）依法依规分类投放垃圾和排污；</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（三）不在</w:t>
      </w:r>
      <w:r>
        <w:rPr>
          <w:rFonts w:hint="eastAsia" w:ascii="宋体" w:hAnsi="宋体"/>
          <w:spacing w:val="0"/>
          <w:sz w:val="32"/>
          <w:szCs w:val="32"/>
          <w:lang w:eastAsia="zh-CN"/>
        </w:rPr>
        <w:t>禁止吸烟的场所、区域和公共交通工具</w:t>
      </w:r>
      <w:r>
        <w:rPr>
          <w:rFonts w:hint="eastAsia" w:ascii="宋体" w:hAnsi="宋体"/>
          <w:spacing w:val="0"/>
          <w:sz w:val="32"/>
          <w:szCs w:val="32"/>
        </w:rPr>
        <w:t>内吸烟；</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（四）在公共场所咳嗽、打喷嚏时遮掩口鼻，呼吸道传染性疾病患者外出时佩戴口罩；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（五）不随地吐痰、便溺、乱扔</w:t>
      </w:r>
      <w:r>
        <w:rPr>
          <w:rFonts w:hint="eastAsia" w:ascii="宋体" w:hAnsi="宋体"/>
          <w:spacing w:val="0"/>
          <w:sz w:val="32"/>
          <w:szCs w:val="32"/>
          <w:lang w:eastAsia="zh-CN"/>
        </w:rPr>
        <w:t>烟头和其他</w:t>
      </w:r>
      <w:r>
        <w:rPr>
          <w:rFonts w:hint="eastAsia" w:ascii="宋体" w:hAnsi="宋体"/>
          <w:spacing w:val="0"/>
          <w:sz w:val="32"/>
          <w:szCs w:val="32"/>
        </w:rPr>
        <w:t>废弃物；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（六）不在禁止露天焚烧的区域焚烧秸杆、落叶、杂草等产生烟尘污染的物质；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（七）不在城市建成区内违规饲养家禽家畜；</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（八）不在交通护栏、电力设施等公共设施上晾晒衣物；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（九）临街商铺坐店经营，保持门前市容和环境卫生整洁、责任区内的设施、设备和绿地整洁；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（十）不占用公共空间、占道经营、乱摆乱卖、乱贴乱挂；</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（十一）摊档不得违规排放废气、污水，污染路面；</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（十二）洗车场所不占用步行道，不违规排放污水，妨碍通行；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（十三）农贸市场要及时进行清扫保洁，避免出现积水、异味、暴露性垃圾；</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（十四）其他公共卫生文明行为规范。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第十二条</w:t>
      </w:r>
      <w:r>
        <w:rPr>
          <w:rFonts w:hint="eastAsia" w:ascii="宋体" w:hAnsi="宋体"/>
          <w:spacing w:val="0"/>
          <w:sz w:val="32"/>
          <w:szCs w:val="32"/>
        </w:rPr>
        <w:t>　在维护交通安全与秩序、文明出行方面，自觉遵守下列规定：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（一）按照交通信号灯、交通标志、交通标线和交通警察的指挥通行；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（二）驾驶机动车通过没有交通信号的交叉路口、行经人行横道和积水路段时，减速慢行，遵守让行有关规定；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（三）驾驶机动车按规定鸣喇叭、使用灯光，遇到停车排队等候或者缓慢行驶时依次交替通行；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（四）驾驶机动车遇到正在执行紧急任务的警车、消防车、救护车、工程救险车应当主动让行，非紧急情况不得占用应急车道；</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（五）驾驶非机动车在非机动车道内或者道路两侧行驶，不逆行，不乱穿马路；</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（六）驾驶、乘坐机动车按规定使用安全带，驾驶、乘坐摩托车、电动自行车按规定佩戴安全头盔；</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（七）车辆不得乱停乱放，不得以设置地锁、地桩等障碍物的方式占用停车位、盲道、消防车通道等，妨碍其他车辆和行人通行；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（八）出租车驾驶员按照规定使用计价器，不拒载，不途中甩客，不故意绕道行驶；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（九）警车、消防车、救护车、工程救险车非执行紧急任务时，不使用警报器、标志灯具，不享有道路优先通行权；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（十）乘坐公共交通工具应有序候车，主动为老、弱、病、孕、幼、残等需要帮助的乘客让座，不妨碍安全驾驶；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（十一）</w:t>
      </w:r>
      <w:r>
        <w:rPr>
          <w:rFonts w:hint="eastAsia" w:ascii="宋体" w:hAnsi="宋体" w:eastAsia="仿宋_GB2312" w:cs="仿宋_GB2312"/>
          <w:spacing w:val="0"/>
          <w:sz w:val="32"/>
          <w:szCs w:val="32"/>
        </w:rPr>
        <w:t>驾驶机动车不随意变更车道，不疲劳驾驶，不向道路上抛撒物品，不拨打接听手持电话</w:t>
      </w:r>
      <w:r>
        <w:rPr>
          <w:rFonts w:hint="eastAsia" w:ascii="宋体" w:hAnsi="宋体"/>
          <w:spacing w:val="0"/>
          <w:sz w:val="32"/>
          <w:szCs w:val="32"/>
        </w:rPr>
        <w:t>；</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（十二）共享出行工具运营企业及时清理违规停放、存在安全隐患和不能使用的车辆；</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（十三）行人不得</w:t>
      </w:r>
      <w:r>
        <w:rPr>
          <w:rFonts w:hint="eastAsia" w:ascii="宋体" w:hAnsi="宋体"/>
          <w:spacing w:val="0"/>
          <w:sz w:val="32"/>
          <w:szCs w:val="32"/>
          <w:lang w:eastAsia="zh-CN"/>
        </w:rPr>
        <w:t>在</w:t>
      </w:r>
      <w:r>
        <w:rPr>
          <w:rFonts w:hint="eastAsia" w:ascii="宋体" w:hAnsi="宋体"/>
          <w:spacing w:val="0"/>
          <w:sz w:val="32"/>
          <w:szCs w:val="32"/>
        </w:rPr>
        <w:t>人行横道</w:t>
      </w:r>
      <w:r>
        <w:rPr>
          <w:rFonts w:hint="eastAsia" w:ascii="宋体" w:hAnsi="宋体"/>
          <w:spacing w:val="0"/>
          <w:sz w:val="32"/>
          <w:szCs w:val="32"/>
          <w:lang w:eastAsia="zh-CN"/>
        </w:rPr>
        <w:t>、</w:t>
      </w:r>
      <w:r>
        <w:rPr>
          <w:rFonts w:hint="eastAsia" w:ascii="宋体" w:hAnsi="宋体"/>
          <w:spacing w:val="0"/>
          <w:sz w:val="32"/>
          <w:szCs w:val="32"/>
        </w:rPr>
        <w:t>过街设施坐卧、停留或者嬉闹，不得跨越或者倚坐道路隔离设施，不得在机动车道兜售、发放物品；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（十四）其他交通文明行为规范。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第十三条</w:t>
      </w:r>
      <w:r>
        <w:rPr>
          <w:rFonts w:hint="eastAsia" w:ascii="宋体" w:hAnsi="宋体"/>
          <w:spacing w:val="0"/>
          <w:sz w:val="32"/>
          <w:szCs w:val="32"/>
        </w:rPr>
        <w:t>　在维护城乡社区公共文明方面，自觉遵守下列规定：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（一）遵守村规民约、居民公约、社区管理规约，配合社区工作者、物业服务企业依法依规开展服务和管理工作；</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（二）邻里之间和睦相处，依法、友善处理矛盾纠纷；</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（三）不从建筑物、构筑物内向外抛掷物品；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（四）不违法违规搭建建筑物、构筑物；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遵守电动车消防安全管理有关规定，将电动车停放在安全地点，确保充电安全，不在建筑物内的共用通道、电梯间、楼梯间、安全出口处等公共区域停放电动自行车、电动摩托车和电动三轮车或者为其充电；</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（六）进行装修装饰作业，应当自觉遵守作业、作息时间和噪声管理等有关规定；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（七）爱护社区公共绿地和设施，不占用公共绿地，不损坏公共设施；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仿宋_GB2312"/>
          <w:spacing w:val="0"/>
          <w:sz w:val="32"/>
          <w:szCs w:val="32"/>
          <w:lang w:eastAsia="zh-CN"/>
        </w:rPr>
      </w:pPr>
      <w:r>
        <w:rPr>
          <w:rFonts w:hint="eastAsia" w:ascii="宋体" w:hAnsi="宋体"/>
          <w:spacing w:val="0"/>
          <w:sz w:val="32"/>
          <w:szCs w:val="32"/>
          <w:lang w:eastAsia="zh-CN"/>
        </w:rPr>
        <w:t>（八）文明开展民俗活动；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w:t>
      </w:r>
      <w:r>
        <w:rPr>
          <w:rFonts w:hint="eastAsia" w:ascii="宋体" w:hAnsi="宋体"/>
          <w:spacing w:val="0"/>
          <w:sz w:val="32"/>
          <w:szCs w:val="32"/>
          <w:lang w:eastAsia="zh-CN"/>
        </w:rPr>
        <w:t>九</w:t>
      </w:r>
      <w:r>
        <w:rPr>
          <w:rFonts w:hint="eastAsia" w:ascii="宋体" w:hAnsi="宋体"/>
          <w:spacing w:val="0"/>
          <w:sz w:val="32"/>
          <w:szCs w:val="32"/>
        </w:rPr>
        <w:t>）其他社区文明行为规范。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第十四条</w:t>
      </w:r>
      <w:r>
        <w:rPr>
          <w:rFonts w:hint="eastAsia" w:ascii="宋体" w:hAnsi="宋体"/>
          <w:spacing w:val="0"/>
          <w:sz w:val="32"/>
          <w:szCs w:val="32"/>
        </w:rPr>
        <w:t>　在文明旅游方面，自觉遵守下列规定：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（一）尊重当地历史文化传统、民族习俗、宗教信仰和礼仪禁忌，赴境外旅游的还应当遵守旅游目的地国家和地区的法律和文明规范；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（二）服从景区引导和管理，爱护景区公共设施，保护生态环境；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（三）爱护文物古迹以及其他重要历史文化遗产、风景名胜等文化旅游资源，不在文物古迹上刻划、涂画、张贴，不攀爬、损坏文物，不违反规定拍照、录像；</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（四）其他文明旅游行为规范。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第十五条</w:t>
      </w:r>
      <w:r>
        <w:rPr>
          <w:rFonts w:hint="eastAsia" w:ascii="宋体" w:hAnsi="宋体"/>
          <w:spacing w:val="0"/>
          <w:sz w:val="32"/>
          <w:szCs w:val="32"/>
        </w:rPr>
        <w:t>　在维护医疗秩序方面，自觉遵守下列规定：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（一）遵守医疗机构有关就诊、治疗、检查的规定，听从工作人员指引，配合开展诊疗活动，保持诊疗场所的整洁和安静；</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（二）患有传染病或者与传染病患者密切接触的，依法配合相关检验检疫、隔离治疗、健康管理等措施，如实提供有关情况；</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（三）尊重和理解医护人员，通过合法途径处理医疗纠纷，不扰乱医疗秩序；</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（四）医务人员应当关心爱护、平等对待患者，尊重患者的知情权、同意权，保护患者隐私，维护患者合法权益；</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（五）医务人员应当遵守临床诊疗技术规范以及医学伦理规范，不对患者实施过度医疗；</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（六）其他医疗文明行为规范。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第十六条</w:t>
      </w:r>
      <w:r>
        <w:rPr>
          <w:rFonts w:hint="eastAsia" w:ascii="宋体" w:hAnsi="宋体"/>
          <w:spacing w:val="0"/>
          <w:sz w:val="32"/>
          <w:szCs w:val="32"/>
        </w:rPr>
        <w:t>　在维护学校秩序方面，自觉遵守下列规定：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（一）学校应当坚持立德树人，培养优良校风、教风，促进师生文明行为习惯养成；</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（二）维护校园环境，爱护教学设施，遵守教学秩序，树立尊师重教的良好社会风尚；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（三）加强法治宣传教育，防止校园欺凌，保护学生和教职工人身、财产安全，建设平安校园；</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（四）教育工作者</w:t>
      </w:r>
      <w:r>
        <w:rPr>
          <w:rFonts w:hint="eastAsia" w:ascii="宋体" w:hAnsi="宋体"/>
          <w:spacing w:val="0"/>
          <w:sz w:val="32"/>
          <w:szCs w:val="32"/>
          <w:lang w:eastAsia="zh-CN"/>
        </w:rPr>
        <w:t>应当</w:t>
      </w:r>
      <w:r>
        <w:rPr>
          <w:rFonts w:hint="eastAsia" w:ascii="宋体" w:hAnsi="宋体"/>
          <w:spacing w:val="0"/>
          <w:sz w:val="32"/>
          <w:szCs w:val="32"/>
        </w:rPr>
        <w:t>加强师德修养，文明教学，关爱学生，尊重学生人格尊严；</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（五）学生</w:t>
      </w:r>
      <w:r>
        <w:rPr>
          <w:rFonts w:hint="eastAsia" w:ascii="宋体" w:hAnsi="宋体"/>
          <w:spacing w:val="0"/>
          <w:sz w:val="32"/>
          <w:szCs w:val="32"/>
          <w:lang w:eastAsia="zh-CN"/>
        </w:rPr>
        <w:t>应当</w:t>
      </w:r>
      <w:r>
        <w:rPr>
          <w:rFonts w:hint="eastAsia" w:ascii="宋体" w:hAnsi="宋体"/>
          <w:spacing w:val="0"/>
          <w:sz w:val="32"/>
          <w:szCs w:val="32"/>
        </w:rPr>
        <w:t>学习践行文明礼仪礼节，尊敬教师，友爱同学；</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（六）其他校园文明行为规范。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第十七条</w:t>
      </w:r>
      <w:r>
        <w:rPr>
          <w:rFonts w:hint="eastAsia" w:ascii="宋体" w:hAnsi="宋体"/>
          <w:spacing w:val="0"/>
          <w:sz w:val="32"/>
          <w:szCs w:val="32"/>
        </w:rPr>
        <w:t>　在网络文明建设方面，自觉遵守下列规定：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（一）维护网络安全，遵守网络秩序；</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（二）不编造、发布、传播虚假信息或者违法信息；</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（三）自觉抵制网络谣言、色情、暴力等有害信息；</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（四）不侵犯他人的个人隐私，未经授权同意，不得公开他人肖像、身份、收入、家庭成员及住址等个人信息；</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（五）使用文明语言，拒绝网络暴力；</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（六）网络运营者营造安全健康的网络环境，对未成年人参与网络游戏的时长、内容及游戏消费等制定具体限制措施；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（七）不侵犯知识产权；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（八）不发布</w:t>
      </w:r>
      <w:r>
        <w:rPr>
          <w:rFonts w:hint="eastAsia" w:ascii="宋体" w:hAnsi="宋体"/>
          <w:spacing w:val="0"/>
          <w:sz w:val="32"/>
          <w:szCs w:val="32"/>
          <w:lang w:eastAsia="zh-CN"/>
        </w:rPr>
        <w:t>低</w:t>
      </w:r>
      <w:r>
        <w:rPr>
          <w:rFonts w:hint="eastAsia" w:ascii="宋体" w:hAnsi="宋体"/>
          <w:spacing w:val="0"/>
          <w:sz w:val="32"/>
          <w:szCs w:val="32"/>
        </w:rPr>
        <w:t>俗视频；</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（九）其他网络文明行为规范。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第十八条</w:t>
      </w:r>
      <w:r>
        <w:rPr>
          <w:rFonts w:hint="eastAsia" w:ascii="宋体" w:hAnsi="宋体"/>
          <w:spacing w:val="0"/>
          <w:sz w:val="32"/>
          <w:szCs w:val="32"/>
        </w:rPr>
        <w:t>　在家庭文明建设方面，自觉遵守下列规定：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（一）家庭成员之间互相关爱、互相扶持，自觉履行抚养、赡养、扶养义务；</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（二）夫妻和睦，平等相待，责任共担；</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（三）尊敬长辈，关心照料老年人，给予老年人精神慰藉；</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（四）关爱未成年人健康成长，未成年人的父母或者其他监护人教育和约束未成年人遵守法律法规和文明行为规范；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（五）重视家庭教育，树立良好家风，科学教子育人；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（六）其他家庭文明行为规范。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第十九条</w:t>
      </w:r>
      <w:r>
        <w:rPr>
          <w:rFonts w:hint="eastAsia" w:ascii="宋体" w:hAnsi="宋体"/>
          <w:spacing w:val="0"/>
          <w:sz w:val="32"/>
          <w:szCs w:val="32"/>
        </w:rPr>
        <w:t>　在文明经商方面，自觉遵守下列规定：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（一）热情服务、礼貌待客；</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（二）不得对商品进行虚假或者引人误解的宣传；</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（三）不销售假冒伪劣商品和侵权商品；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（四）未经同意不得收集、使用消费者个人信息，泄露消费者个人信息；</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（五）市场经营者守法经营、文明经营、诚信经营；</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（六）商品明码标价；</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（七）其他文明经商行为规范。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第二十条</w:t>
      </w:r>
      <w:r>
        <w:rPr>
          <w:rFonts w:hint="eastAsia" w:ascii="宋体" w:hAnsi="宋体"/>
          <w:spacing w:val="0"/>
          <w:sz w:val="32"/>
          <w:szCs w:val="32"/>
        </w:rPr>
        <w:t>　在文明饲养宠物方面，自觉遵守下列规定：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（一）不在城市建成区内饲养烈性犬只；</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（二）管理好所养宠物，避免干扰他人正常生活；</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（三）依法为所养宠物接种疫苗；</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（四）携带宠物外出，由成年人用牵引带牵领或者装入笼内，主动避让行人，即时清理动物粪便等排泄物；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（五）不遗弃、虐待宠物；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（六）不携带宠物进入设有禁止动物进入标志的公共场所；</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（七）其他饲养宠物文明行为规范。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第二十一条</w:t>
      </w:r>
      <w:r>
        <w:rPr>
          <w:rFonts w:hint="eastAsia" w:ascii="宋体" w:hAnsi="宋体"/>
          <w:spacing w:val="0"/>
          <w:sz w:val="32"/>
          <w:szCs w:val="32"/>
        </w:rPr>
        <w:t>　在践行绿色发展理念方面，倡导下列文明健康绿色环保的生活方式和行为：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（一）节约水、电、气等资源；</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w:t>
      </w:r>
      <w:r>
        <w:rPr>
          <w:rFonts w:hint="eastAsia" w:ascii="宋体" w:hAnsi="宋体"/>
          <w:spacing w:val="0"/>
          <w:sz w:val="32"/>
          <w:szCs w:val="32"/>
          <w:lang w:eastAsia="zh-CN"/>
        </w:rPr>
        <w:t>爱惜</w:t>
      </w:r>
      <w:r>
        <w:rPr>
          <w:rFonts w:hint="eastAsia" w:ascii="宋体" w:hAnsi="宋体"/>
          <w:spacing w:val="0"/>
          <w:sz w:val="32"/>
          <w:szCs w:val="32"/>
        </w:rPr>
        <w:t>粮食</w:t>
      </w:r>
      <w:r>
        <w:rPr>
          <w:rFonts w:hint="eastAsia" w:ascii="宋体" w:hAnsi="宋体"/>
          <w:spacing w:val="0"/>
          <w:sz w:val="32"/>
          <w:szCs w:val="32"/>
          <w:lang w:eastAsia="zh-CN"/>
        </w:rPr>
        <w:t>，</w:t>
      </w:r>
      <w:r>
        <w:rPr>
          <w:rFonts w:hint="eastAsia" w:ascii="宋体" w:hAnsi="宋体"/>
          <w:spacing w:val="0"/>
          <w:sz w:val="32"/>
          <w:szCs w:val="32"/>
        </w:rPr>
        <w:t>用餐时适量点餐，使用公筷公勺或双筷双勺，做到不剩饭菜、剩食打包；</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（三）不吸烟、不酗酒，不劝烟劝酒；</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（四）在日常消费中选购绿色环保、可循环产品，减少使用塑料袋和一次性制品；</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（五）优先选择步行、骑自行车或者乘坐公共交通工具出行；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（六）文明节俭操办婚丧嫁娶等活动；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（七）参与全民阅读，建设“书香潮州”；</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（八）国家机关带头采购节能、节水、环保、再生等绿色产品，推进无纸化办公；</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（九）其他卫生健康、绿色低碳的文明行为。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第二十二条</w:t>
      </w:r>
      <w:r>
        <w:rPr>
          <w:rFonts w:hint="eastAsia" w:ascii="宋体" w:hAnsi="宋体"/>
          <w:spacing w:val="0"/>
          <w:sz w:val="32"/>
          <w:szCs w:val="32"/>
        </w:rPr>
        <w:t>　在弘扬社会正气方面，支持和鼓励下列文明行为：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w:t>
      </w:r>
      <w:r>
        <w:rPr>
          <w:rFonts w:hint="eastAsia" w:ascii="宋体" w:hAnsi="宋体" w:eastAsia="仿宋_GB2312" w:cs="仿宋_GB2312"/>
          <w:spacing w:val="0"/>
          <w:sz w:val="32"/>
          <w:szCs w:val="32"/>
          <w:lang w:eastAsia="zh-CN"/>
        </w:rPr>
        <w:t>诚实守信，自觉履行法定和约定义务</w:t>
      </w:r>
      <w:r>
        <w:rPr>
          <w:rFonts w:hint="eastAsia" w:ascii="宋体" w:hAnsi="宋体"/>
          <w:spacing w:val="0"/>
          <w:sz w:val="32"/>
          <w:szCs w:val="32"/>
        </w:rPr>
        <w:t>；</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（二）参加抢险救灾救人、依法制止违法犯罪等见义勇为行为；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（三）无偿献血和依法捐献人体细胞、人体组织、人体器官、遗体；</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（四）参加扶老、助残、济困、助学、赈灾、医疗救助等慈善公益、志愿服务活动；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（五）守望相助，互相关爱，为空巢老人、留守儿童、失独家庭等特殊群体或困难群众提供帮助；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（六）向英雄模范学习，传承、弘扬英雄模范精神；</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Fonts w:hint="eastAsia" w:ascii="宋体" w:hAnsi="宋体"/>
          <w:spacing w:val="0"/>
          <w:sz w:val="32"/>
          <w:szCs w:val="32"/>
        </w:rPr>
        <w:t>（七）其他弘扬社会正气的文明行为。</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第三章　管理与监督</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第二十三条</w:t>
      </w:r>
      <w:r>
        <w:rPr>
          <w:rFonts w:hint="eastAsia" w:ascii="宋体" w:hAnsi="宋体"/>
          <w:spacing w:val="0"/>
          <w:sz w:val="32"/>
          <w:szCs w:val="32"/>
        </w:rPr>
        <w:t>　</w:t>
      </w:r>
      <w:r>
        <w:rPr>
          <w:rFonts w:hint="eastAsia" w:ascii="宋体" w:hAnsi="宋体"/>
          <w:spacing w:val="0"/>
          <w:sz w:val="32"/>
          <w:szCs w:val="32"/>
          <w:lang w:eastAsia="zh-CN"/>
        </w:rPr>
        <w:t>本</w:t>
      </w:r>
      <w:r>
        <w:rPr>
          <w:rFonts w:hint="eastAsia" w:ascii="宋体" w:hAnsi="宋体"/>
          <w:spacing w:val="0"/>
          <w:sz w:val="32"/>
          <w:szCs w:val="32"/>
        </w:rPr>
        <w:t>市精神文明建设委员会办事机构应当对高频高发的不文明行为实行重点治理清单制度，定期组织开展调查研究并调整重点治理清单内容。</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市、县（区）人民政府应当建立由各相关部门共同参与、信息共享、协同配合的执法协作机制，组织开展联合执法、重点治理等工作。</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第二十四条</w:t>
      </w:r>
      <w:r>
        <w:rPr>
          <w:rFonts w:hint="eastAsia" w:ascii="宋体" w:hAnsi="宋体"/>
          <w:spacing w:val="0"/>
          <w:sz w:val="32"/>
          <w:szCs w:val="32"/>
        </w:rPr>
        <w:t>　司法工作人员、行政执法人员应当依法文明司法、文明执法，着装规范、仪容整洁、语言文明、以理服人。</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行政执法部门对不文明行为实施处罚时，当事人应当如实提供姓名、住址、联系方式等身份证明信息。行为人拒不提供的，行政执法部门可以提请公安机关协助核查。</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市、县（区）精神文明建设委员会办事机构可以会同相关行政主管部门或新闻媒体设立文明行为发布平台，对获得最美家庭、道德模范、潮州好人等称号的单位和个人予以公布，依法、适时对影响恶劣的不文明行为予以曝光。</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第二十五条</w:t>
      </w:r>
      <w:r>
        <w:rPr>
          <w:rFonts w:hint="eastAsia" w:ascii="宋体" w:hAnsi="宋体"/>
          <w:spacing w:val="0"/>
          <w:sz w:val="32"/>
          <w:szCs w:val="32"/>
        </w:rPr>
        <w:t>　市、县（区）人民代表大会常务委员会通过听取专项工作报告、开展执法检查等方式，加强对本行政区域内文明行为促进工作的监督。</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第二十六条</w:t>
      </w:r>
      <w:r>
        <w:rPr>
          <w:rFonts w:hint="eastAsia" w:ascii="宋体" w:hAnsi="宋体"/>
          <w:spacing w:val="0"/>
          <w:sz w:val="32"/>
          <w:szCs w:val="32"/>
        </w:rPr>
        <w:t>　任何单位和个人</w:t>
      </w:r>
      <w:r>
        <w:rPr>
          <w:rFonts w:hint="eastAsia" w:ascii="宋体" w:hAnsi="宋体"/>
          <w:spacing w:val="0"/>
          <w:sz w:val="32"/>
          <w:szCs w:val="32"/>
          <w:lang w:eastAsia="zh-CN"/>
        </w:rPr>
        <w:t>有权</w:t>
      </w:r>
      <w:r>
        <w:rPr>
          <w:rFonts w:hint="eastAsia" w:ascii="宋体" w:hAnsi="宋体"/>
          <w:spacing w:val="0"/>
          <w:sz w:val="32"/>
          <w:szCs w:val="32"/>
        </w:rPr>
        <w:t>对文明行为促进工作提出意见和建议，对不文明行为或有关部门、单位不履行文明行为促进工作职责进行投诉、举报。</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有关部门应当完善“12345政府服务热线”</w:t>
      </w:r>
      <w:r>
        <w:rPr>
          <w:rFonts w:hint="eastAsia" w:ascii="宋体" w:hAnsi="宋体"/>
          <w:spacing w:val="0"/>
          <w:sz w:val="32"/>
          <w:szCs w:val="32"/>
          <w:lang w:eastAsia="zh-CN"/>
        </w:rPr>
        <w:t>等</w:t>
      </w:r>
      <w:r>
        <w:rPr>
          <w:rFonts w:hint="eastAsia" w:ascii="宋体" w:hAnsi="宋体"/>
          <w:spacing w:val="0"/>
          <w:sz w:val="32"/>
          <w:szCs w:val="32"/>
        </w:rPr>
        <w:t>平台，建立不文明行为投诉、举报和反馈工作机制。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第二十七条</w:t>
      </w:r>
      <w:r>
        <w:rPr>
          <w:rFonts w:hint="eastAsia" w:ascii="宋体" w:hAnsi="宋体"/>
          <w:spacing w:val="0"/>
          <w:sz w:val="32"/>
          <w:szCs w:val="32"/>
        </w:rPr>
        <w:t>　文明行为促进工作是全社会的共同责任。</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鼓励法人和非法人组织制定行业规范、团体章程、学生守则等，对文明行为予以具体约定。</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第二十八条</w:t>
      </w:r>
      <w:r>
        <w:rPr>
          <w:rFonts w:hint="eastAsia" w:ascii="宋体" w:hAnsi="宋体"/>
          <w:spacing w:val="0"/>
          <w:sz w:val="32"/>
          <w:szCs w:val="32"/>
        </w:rPr>
        <w:t>　广播、电视、报刊和网络媒体等应当做好文明行为促进的宣传工作，倡导文明理念，刊播公益广告，传播文明行为先进事迹，对不文明行为进行舆论监督。</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第四章　保障与促进</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第二十九条</w:t>
      </w:r>
      <w:r>
        <w:rPr>
          <w:rFonts w:hint="eastAsia" w:ascii="宋体" w:hAnsi="宋体"/>
          <w:spacing w:val="0"/>
          <w:sz w:val="32"/>
          <w:szCs w:val="32"/>
        </w:rPr>
        <w:t>　市、县（区）人民政府及有关行政主管部门应当科学规划，合理布局，建设完善下列设施：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（一）公交站牌、交通标志标线等交通设施；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（二）人行横道、过街天桥、地下通道、绿化照明、停车泊位等市政设施；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（三）盲道、坡道、电梯等无障碍设施和母婴室、爱心座椅、轮椅等便民设施；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（四）“一米线”等文明引导标识；</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（五）公共厕所、垃圾分类投放箱、垃圾分类存放清运等公共环卫设施及其指示、标识牌；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（六）广告栏、宣传栏等公益广告宣传设施；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（七）公共图书馆、流动图书馆和公共阅报栏（屏）等阅读设施；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（八）其他与文明行为促进有关的设施。</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第三十条</w:t>
      </w:r>
      <w:r>
        <w:rPr>
          <w:rFonts w:hint="eastAsia" w:ascii="宋体" w:hAnsi="宋体"/>
          <w:spacing w:val="0"/>
          <w:sz w:val="32"/>
          <w:szCs w:val="32"/>
        </w:rPr>
        <w:t>　市、县（区）人民政府及有关行政主管部门应当建立新时代文明实践活动体系，利用新时代文明实践中心（所、站），发展文明实践志愿者队伍，开展文明实践活动。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本市国家机关、企业事业单位和其他组织可以定期开展文明行为志愿服务实践活动。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第三十一条</w:t>
      </w:r>
      <w:r>
        <w:rPr>
          <w:rFonts w:hint="eastAsia" w:ascii="宋体" w:hAnsi="宋体"/>
          <w:spacing w:val="0"/>
          <w:sz w:val="32"/>
          <w:szCs w:val="32"/>
        </w:rPr>
        <w:t>　政务服务、医疗机构、金融机构、景区管理机构、公共服务企业等窗口单位应当发挥文明服务示范作用，合理设置服务网点和服务窗口，优化办事流程，推广网上预约、网上办理，提供便捷高效、文明礼貌的服务。</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第三十二条</w:t>
      </w:r>
      <w:r>
        <w:rPr>
          <w:rFonts w:hint="eastAsia" w:ascii="宋体" w:hAnsi="宋体"/>
          <w:spacing w:val="0"/>
          <w:sz w:val="32"/>
          <w:szCs w:val="32"/>
        </w:rPr>
        <w:t>　大型活动的主办、承办单位应当制定文明保障方案，完善相应保障措施，加强对参加人员的文明宣传和教育。</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参观活动及文艺演出、体育比赛的举办单位和组织者应当宣传告知文明观赏的礼仪规范，维护场所秩序。</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旅行社和导游应当向旅游者告知旅游文明规范，讲解旅游目的地风俗习惯、宗教禁忌等注意事项，引导文明旅游。</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餐饮服务企业</w:t>
      </w:r>
      <w:r>
        <w:rPr>
          <w:rFonts w:hint="eastAsia" w:ascii="宋体" w:hAnsi="宋体" w:eastAsia="仿宋_GB2312" w:cs="仿宋_GB2312"/>
          <w:b w:val="0"/>
          <w:bCs w:val="0"/>
          <w:spacing w:val="0"/>
          <w:sz w:val="32"/>
          <w:szCs w:val="32"/>
          <w:lang w:eastAsia="zh-CN"/>
        </w:rPr>
        <w:t>应当</w:t>
      </w:r>
      <w:r>
        <w:rPr>
          <w:rFonts w:hint="eastAsia" w:ascii="宋体" w:hAnsi="宋体"/>
          <w:spacing w:val="0"/>
          <w:sz w:val="32"/>
          <w:szCs w:val="32"/>
        </w:rPr>
        <w:t>制定节约指引，采取点餐提示、分餐制、小份菜等措施，</w:t>
      </w:r>
      <w:r>
        <w:rPr>
          <w:rFonts w:hint="eastAsia" w:ascii="宋体" w:hAnsi="宋体" w:eastAsia="仿宋_GB2312" w:cs="仿宋_GB2312"/>
          <w:spacing w:val="0"/>
          <w:sz w:val="32"/>
          <w:szCs w:val="32"/>
        </w:rPr>
        <w:t>引导消费者按需适量点餐</w:t>
      </w:r>
      <w:r>
        <w:rPr>
          <w:rFonts w:hint="eastAsia" w:ascii="宋体" w:hAnsi="宋体" w:eastAsia="仿宋_GB2312" w:cs="仿宋_GB2312"/>
          <w:spacing w:val="0"/>
          <w:sz w:val="32"/>
          <w:szCs w:val="32"/>
          <w:lang w:eastAsia="zh-CN"/>
        </w:rPr>
        <w:t>；</w:t>
      </w:r>
      <w:r>
        <w:rPr>
          <w:rFonts w:hint="eastAsia" w:ascii="宋体" w:hAnsi="宋体" w:cs="仿宋_GB2312"/>
          <w:spacing w:val="0"/>
          <w:sz w:val="32"/>
          <w:szCs w:val="32"/>
          <w:lang w:val="en-US" w:eastAsia="zh-CN"/>
        </w:rPr>
        <w:t>根据消费者需要</w:t>
      </w:r>
      <w:r>
        <w:rPr>
          <w:rFonts w:hint="eastAsia" w:ascii="宋体" w:hAnsi="宋体" w:eastAsia="仿宋_GB2312" w:cs="仿宋_GB2312"/>
          <w:spacing w:val="0"/>
          <w:sz w:val="32"/>
          <w:szCs w:val="32"/>
        </w:rPr>
        <w:t>配备公</w:t>
      </w:r>
      <w:r>
        <w:rPr>
          <w:rFonts w:hint="eastAsia" w:ascii="宋体" w:hAnsi="宋体"/>
          <w:spacing w:val="0"/>
          <w:sz w:val="32"/>
          <w:szCs w:val="32"/>
        </w:rPr>
        <w:t>筷公勺或双筷双勺，提供打包盒、打包袋，引导消费者节约用餐。</w:t>
      </w:r>
    </w:p>
    <w:p>
      <w:pPr>
        <w:pStyle w:val="33"/>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Style w:val="83"/>
          <w:rFonts w:hint="eastAsia" w:ascii="宋体" w:hAnsi="宋体"/>
          <w:spacing w:val="0"/>
          <w:sz w:val="32"/>
          <w:szCs w:val="32"/>
        </w:rPr>
        <w:t>第三十三条</w:t>
      </w:r>
      <w:r>
        <w:rPr>
          <w:rFonts w:hint="eastAsia" w:ascii="宋体" w:hAnsi="宋体"/>
          <w:spacing w:val="0"/>
          <w:sz w:val="32"/>
          <w:szCs w:val="32"/>
        </w:rPr>
        <w:t>　物流配送、邮政、快递业务经营者应当建立内部交通安全、文明出行管理制度，加强文明交通行为教育和培训，监督本单位从业人员自觉遵守交通规则，文明出行。</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第三十四条</w:t>
      </w:r>
      <w:r>
        <w:rPr>
          <w:rFonts w:hint="eastAsia" w:ascii="宋体" w:hAnsi="宋体"/>
          <w:spacing w:val="0"/>
          <w:sz w:val="32"/>
          <w:szCs w:val="32"/>
        </w:rPr>
        <w:t>　市、县（区）精神文明建设委员会办事机构应当建立健全文明行为激励机制。鼓励和支持开展文明城市、文明村镇、文明单位、文明社区、文明校园、文明商户、文明小区、文明家庭等群众性精神文明创建活动。</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3"/>
          <w:sz w:val="32"/>
          <w:szCs w:val="32"/>
        </w:rPr>
      </w:pPr>
      <w:r>
        <w:rPr>
          <w:rFonts w:hint="eastAsia" w:ascii="宋体" w:hAnsi="宋体"/>
          <w:spacing w:val="-3"/>
          <w:sz w:val="32"/>
          <w:szCs w:val="32"/>
        </w:rPr>
        <w:t>市、县（区）精神文明建设委员会办事机构可以根据工作需要，制定本行政区域内文明创建单位星级评定制度，并向社会公布。</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第三十五条</w:t>
      </w:r>
      <w:r>
        <w:rPr>
          <w:rFonts w:hint="eastAsia" w:ascii="宋体" w:hAnsi="宋体"/>
          <w:spacing w:val="0"/>
          <w:sz w:val="32"/>
          <w:szCs w:val="32"/>
        </w:rPr>
        <w:t>　市、县（区）精神文明建设委员会办事机构应当按照有关表彰奖励规定，对文明行为以及文明行为促进工作给予表彰奖励。</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鼓励国家机关、企业事业单位和社会组织对其干部职工、会员的文明行为给予褒扬。</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第三十六条</w:t>
      </w:r>
      <w:r>
        <w:rPr>
          <w:rFonts w:hint="eastAsia" w:ascii="宋体" w:hAnsi="宋体"/>
          <w:spacing w:val="0"/>
          <w:sz w:val="32"/>
          <w:szCs w:val="32"/>
        </w:rPr>
        <w:t>　鼓励用人单位在招聘时，同等条件下优先录用获得各级各单位表彰的精神文明建设领域的先进典型人物。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精神文明建设领域的先进典型人物在生活困难时，市、县（区）人民政府应当给予帮扶。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第三十七条</w:t>
      </w:r>
      <w:r>
        <w:rPr>
          <w:rFonts w:hint="eastAsia" w:ascii="宋体" w:hAnsi="宋体"/>
          <w:spacing w:val="0"/>
          <w:sz w:val="32"/>
          <w:szCs w:val="32"/>
        </w:rPr>
        <w:t>　对见义勇为人员应当按照有关规定表彰奖励。</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见义勇为人员及其亲属因其见义勇为行为产生民事权利纠纷请求法律援助的，法律援助机构应当及时提供援助。</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第三十八条</w:t>
      </w:r>
      <w:r>
        <w:rPr>
          <w:rFonts w:hint="eastAsia" w:ascii="宋体" w:hAnsi="宋体"/>
          <w:spacing w:val="0"/>
          <w:sz w:val="32"/>
          <w:szCs w:val="32"/>
        </w:rPr>
        <w:t>　鼓励国家机关、人民团体、企业事业单位和社会组织为志愿服务活动提供必要的场所和条件。</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建立志愿服务记录、评价</w:t>
      </w:r>
      <w:r>
        <w:rPr>
          <w:rFonts w:hint="eastAsia" w:ascii="宋体" w:hAnsi="宋体"/>
          <w:spacing w:val="0"/>
          <w:sz w:val="32"/>
          <w:szCs w:val="32"/>
          <w:lang w:eastAsia="zh-CN"/>
        </w:rPr>
        <w:t>、激励</w:t>
      </w:r>
      <w:r>
        <w:rPr>
          <w:rFonts w:hint="eastAsia" w:ascii="宋体" w:hAnsi="宋体"/>
          <w:spacing w:val="0"/>
          <w:sz w:val="32"/>
          <w:szCs w:val="32"/>
        </w:rPr>
        <w:t>制度，按照有关规定对表现突出的志愿者给予优待和表扬奖励。</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第三十九条</w:t>
      </w:r>
      <w:r>
        <w:rPr>
          <w:rFonts w:hint="eastAsia" w:ascii="宋体" w:hAnsi="宋体"/>
          <w:spacing w:val="0"/>
          <w:sz w:val="32"/>
          <w:szCs w:val="32"/>
        </w:rPr>
        <w:t>　鼓励国家机关、人民团体、社会组织、基层群众性自治组织以及用人单位利用本单位场所、设施设立爱心服务点，为老人、残疾人、环卫工人等需要帮助的人群提供便利服务。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Fonts w:hint="eastAsia" w:ascii="宋体" w:hAnsi="宋体"/>
          <w:spacing w:val="0"/>
          <w:sz w:val="32"/>
          <w:szCs w:val="32"/>
        </w:rPr>
        <w:t>鼓励沿街单位向社会开放车位和厕所。</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女职工集中的用人单位</w:t>
      </w:r>
      <w:r>
        <w:rPr>
          <w:rFonts w:hint="eastAsia" w:ascii="宋体" w:hAnsi="宋体"/>
          <w:spacing w:val="0"/>
          <w:sz w:val="32"/>
          <w:szCs w:val="32"/>
          <w:lang w:eastAsia="zh-CN"/>
        </w:rPr>
        <w:t>应当根据有关规定</w:t>
      </w:r>
      <w:r>
        <w:rPr>
          <w:rFonts w:hint="eastAsia" w:ascii="宋体" w:hAnsi="宋体"/>
          <w:spacing w:val="0"/>
          <w:sz w:val="32"/>
          <w:szCs w:val="32"/>
        </w:rPr>
        <w:t>配备独立的母婴室。</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第四十条</w:t>
      </w:r>
      <w:r>
        <w:rPr>
          <w:rFonts w:hint="eastAsia" w:ascii="宋体" w:hAnsi="宋体"/>
          <w:spacing w:val="0"/>
          <w:sz w:val="32"/>
          <w:szCs w:val="32"/>
        </w:rPr>
        <w:t>　鼓励全民阅读设施管理单位向公民提供阅读指导、阅读交流、阅读能力培训等服务，培养公民阅读习惯，促进公民文明素养的提升。</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第五章　法律责任</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eastAsia="仿宋_GB2312"/>
          <w:spacing w:val="0"/>
          <w:sz w:val="32"/>
          <w:szCs w:val="32"/>
          <w:lang w:eastAsia="zh-CN"/>
        </w:rPr>
      </w:pPr>
      <w:r>
        <w:rPr>
          <w:rStyle w:val="83"/>
          <w:rFonts w:hint="eastAsia" w:ascii="宋体" w:hAnsi="宋体"/>
          <w:spacing w:val="0"/>
          <w:sz w:val="32"/>
          <w:szCs w:val="32"/>
        </w:rPr>
        <w:t>第四十一条</w:t>
      </w:r>
      <w:r>
        <w:rPr>
          <w:rFonts w:hint="eastAsia" w:ascii="宋体" w:hAnsi="宋体"/>
          <w:spacing w:val="0"/>
          <w:sz w:val="32"/>
          <w:szCs w:val="32"/>
        </w:rPr>
        <w:t>　违反本条例规定实施不文明行为，当事人主动消除或者减轻危害后果的，应当依法从轻或者减轻行政处罚</w:t>
      </w:r>
      <w:r>
        <w:rPr>
          <w:rFonts w:hint="eastAsia" w:ascii="宋体" w:hAnsi="宋体"/>
          <w:spacing w:val="0"/>
          <w:sz w:val="32"/>
          <w:szCs w:val="32"/>
          <w:lang w:eastAsia="zh-CN"/>
        </w:rPr>
        <w:t>；</w:t>
      </w:r>
      <w:r>
        <w:rPr>
          <w:rFonts w:hint="eastAsia" w:ascii="宋体" w:hAnsi="宋体"/>
          <w:spacing w:val="0"/>
          <w:sz w:val="32"/>
          <w:szCs w:val="32"/>
        </w:rPr>
        <w:t>当事人自愿参加志愿者组织、助残、助医、维持道路交通、社会治安公共秩序等社会服务的，可以依法从轻或者减轻行政处罚</w:t>
      </w:r>
      <w:r>
        <w:rPr>
          <w:rFonts w:hint="eastAsia" w:ascii="宋体" w:hAnsi="宋体"/>
          <w:spacing w:val="0"/>
          <w:sz w:val="32"/>
          <w:szCs w:val="32"/>
          <w:lang w:eastAsia="zh-CN"/>
        </w:rPr>
        <w:t>；拒不改正或者多次违反的，依法从重处罚。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违法行为轻微并及时改正，没有造成危害后果的，不予行政处罚。初次违法且危害后果轻微并及时改正的，可以不予行政处罚。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当事人有证据足以证明没有主观过错的，不予行政处罚。法律、</w:t>
      </w:r>
      <w:r>
        <w:rPr>
          <w:rFonts w:hint="eastAsia" w:ascii="宋体" w:hAnsi="宋体"/>
          <w:spacing w:val="0"/>
          <w:sz w:val="32"/>
          <w:szCs w:val="32"/>
          <w:lang w:eastAsia="zh-CN"/>
        </w:rPr>
        <w:t>行政</w:t>
      </w:r>
      <w:r>
        <w:rPr>
          <w:rFonts w:hint="eastAsia" w:ascii="宋体" w:hAnsi="宋体"/>
          <w:spacing w:val="0"/>
          <w:sz w:val="32"/>
          <w:szCs w:val="32"/>
        </w:rPr>
        <w:t>法规另有规定的，从其规定。</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Style w:val="83"/>
          <w:rFonts w:hint="eastAsia" w:ascii="宋体" w:hAnsi="宋体"/>
          <w:spacing w:val="0"/>
          <w:sz w:val="32"/>
          <w:szCs w:val="32"/>
        </w:rPr>
        <w:t>第四十二条</w:t>
      </w:r>
      <w:r>
        <w:rPr>
          <w:rFonts w:hint="eastAsia" w:ascii="宋体" w:hAnsi="宋体"/>
          <w:spacing w:val="0"/>
          <w:sz w:val="32"/>
          <w:szCs w:val="32"/>
        </w:rPr>
        <w:t>　国家机关及其工作人员有下列行为之一的，</w:t>
      </w:r>
      <w:r>
        <w:rPr>
          <w:rFonts w:hint="eastAsia" w:ascii="宋体" w:hAnsi="宋体" w:eastAsia="仿宋_GB2312" w:cs="仿宋_GB2312"/>
          <w:i w:val="0"/>
          <w:iCs w:val="0"/>
          <w:spacing w:val="0"/>
          <w:sz w:val="32"/>
          <w:szCs w:val="32"/>
          <w:u w:val="none"/>
          <w:lang w:eastAsia="zh-CN"/>
        </w:rPr>
        <w:t>由相关单位依法</w:t>
      </w:r>
      <w:r>
        <w:rPr>
          <w:rFonts w:hint="eastAsia" w:ascii="宋体" w:hAnsi="宋体"/>
          <w:spacing w:val="0"/>
          <w:sz w:val="32"/>
          <w:szCs w:val="32"/>
        </w:rPr>
        <w:t>责令改正</w:t>
      </w:r>
      <w:r>
        <w:rPr>
          <w:rFonts w:hint="eastAsia" w:ascii="宋体" w:hAnsi="宋体"/>
          <w:spacing w:val="0"/>
          <w:sz w:val="32"/>
          <w:szCs w:val="32"/>
          <w:lang w:eastAsia="zh-CN"/>
        </w:rPr>
        <w:t>，通报批评</w:t>
      </w:r>
      <w:r>
        <w:rPr>
          <w:rFonts w:hint="eastAsia" w:ascii="宋体" w:hAnsi="宋体"/>
          <w:spacing w:val="0"/>
          <w:sz w:val="32"/>
          <w:szCs w:val="32"/>
        </w:rPr>
        <w:t>；情节严重的，对直接负责的主管人员和其他直接责任人员依法给予处分：</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（一）在文明城市、文明村镇、文明单位、文明社区、文明校园、文明商户、文明小区、文明家庭等创建活动中不履行或者不正确履行职责的；</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（二）对负有管理责任的有关设施疏于管理和维护，致使该设施残缺或者丧失功能，存在重大安全隐患或者造成严重后果的；</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（三）未依法及时受理投诉或者不及时对投诉事项进行调查、处理的；</w:t>
      </w:r>
    </w:p>
    <w:p>
      <w:pPr>
        <w:pStyle w:val="33"/>
        <w:keepNext w:val="0"/>
        <w:keepLines w:val="0"/>
        <w:pageBreakBefore w:val="0"/>
        <w:widowControl w:val="0"/>
        <w:kinsoku/>
        <w:wordWrap/>
        <w:overflowPunct/>
        <w:topLinePunct w:val="0"/>
        <w:autoSpaceDE/>
        <w:autoSpaceDN/>
        <w:bidi w:val="0"/>
        <w:adjustRightInd w:val="0"/>
        <w:snapToGrid/>
        <w:spacing w:line="590" w:lineRule="exact"/>
        <w:ind w:firstLine="632"/>
        <w:textAlignment w:val="auto"/>
        <w:rPr>
          <w:rFonts w:hint="eastAsia" w:ascii="宋体" w:hAnsi="宋体"/>
          <w:spacing w:val="0"/>
          <w:sz w:val="32"/>
          <w:szCs w:val="32"/>
        </w:rPr>
      </w:pPr>
      <w:r>
        <w:rPr>
          <w:rFonts w:hint="eastAsia" w:ascii="宋体" w:hAnsi="宋体"/>
          <w:spacing w:val="0"/>
          <w:sz w:val="32"/>
          <w:szCs w:val="32"/>
        </w:rPr>
        <w:t>（四）其他玩忽职守、滥用职权、徇私舞弊的行为。</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第四十三条</w:t>
      </w:r>
      <w:r>
        <w:rPr>
          <w:rFonts w:hint="eastAsia" w:ascii="宋体" w:hAnsi="宋体"/>
          <w:spacing w:val="0"/>
          <w:sz w:val="32"/>
          <w:szCs w:val="32"/>
        </w:rPr>
        <w:t>　违反本条例第十一条第三项规定的，由市、县（区）人民政府卫生健康主管部门责令改正，可以处五十元罚款；拒不改正的，处二百元罚款。</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第四十四条</w:t>
      </w:r>
      <w:r>
        <w:rPr>
          <w:rFonts w:hint="eastAsia" w:ascii="宋体" w:hAnsi="宋体"/>
          <w:spacing w:val="0"/>
          <w:sz w:val="32"/>
          <w:szCs w:val="32"/>
        </w:rPr>
        <w:t>　违反本条例第十二条第六项规定</w:t>
      </w:r>
      <w:r>
        <w:rPr>
          <w:rFonts w:hint="eastAsia" w:ascii="宋体" w:hAnsi="宋体"/>
          <w:spacing w:val="0"/>
          <w:sz w:val="32"/>
          <w:szCs w:val="32"/>
          <w:lang w:eastAsia="zh-CN"/>
        </w:rPr>
        <w:t>驾驶、</w:t>
      </w:r>
      <w:r>
        <w:rPr>
          <w:rFonts w:hint="eastAsia" w:ascii="宋体" w:hAnsi="宋体"/>
          <w:spacing w:val="0"/>
          <w:sz w:val="32"/>
          <w:szCs w:val="32"/>
        </w:rPr>
        <w:t>乘</w:t>
      </w:r>
      <w:r>
        <w:rPr>
          <w:rFonts w:hint="eastAsia" w:ascii="宋体" w:hAnsi="宋体"/>
          <w:spacing w:val="0"/>
          <w:sz w:val="32"/>
          <w:szCs w:val="32"/>
          <w:lang w:eastAsia="zh-CN"/>
        </w:rPr>
        <w:t>坐</w:t>
      </w:r>
      <w:r>
        <w:rPr>
          <w:rFonts w:hint="eastAsia" w:ascii="宋体" w:hAnsi="宋体"/>
          <w:spacing w:val="0"/>
          <w:sz w:val="32"/>
          <w:szCs w:val="32"/>
        </w:rPr>
        <w:t>电动自行车未佩戴安全头盔的，由公安机关交通管理部门处警告或者处二十元以上五十元以下罚款；驾驶人拒绝接受罚款处罚的，可以</w:t>
      </w:r>
      <w:r>
        <w:rPr>
          <w:rFonts w:hint="eastAsia" w:ascii="宋体" w:hAnsi="宋体" w:eastAsia="仿宋_GB2312" w:cs="仿宋_GB2312"/>
          <w:spacing w:val="0"/>
          <w:sz w:val="32"/>
          <w:szCs w:val="32"/>
          <w:lang w:eastAsia="zh-CN"/>
        </w:rPr>
        <w:t>依法</w:t>
      </w:r>
      <w:r>
        <w:rPr>
          <w:rFonts w:hint="eastAsia" w:ascii="宋体" w:hAnsi="宋体"/>
          <w:spacing w:val="0"/>
          <w:sz w:val="32"/>
          <w:szCs w:val="32"/>
        </w:rPr>
        <w:t>扣留其电动自行车。</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第四十五条</w:t>
      </w:r>
      <w:r>
        <w:rPr>
          <w:rFonts w:hint="eastAsia" w:ascii="宋体" w:hAnsi="宋体"/>
          <w:spacing w:val="0"/>
          <w:sz w:val="32"/>
          <w:szCs w:val="32"/>
        </w:rPr>
        <w:t>　违反本条例第二十条第一项规定在城市建成区内饲养烈性犬只的，由有关部门责令改正；拒不改正或造成严重后果的，对单位处每只五千元罚款，对个人处每只二千元罚款。</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spacing w:val="0"/>
          <w:sz w:val="32"/>
          <w:szCs w:val="32"/>
        </w:rPr>
      </w:pPr>
      <w:r>
        <w:rPr>
          <w:rStyle w:val="83"/>
          <w:rFonts w:hint="eastAsia" w:ascii="宋体" w:hAnsi="宋体"/>
          <w:spacing w:val="0"/>
          <w:sz w:val="32"/>
          <w:szCs w:val="32"/>
        </w:rPr>
        <w:t>第四十六条</w:t>
      </w:r>
      <w:r>
        <w:rPr>
          <w:rFonts w:hint="eastAsia" w:ascii="宋体" w:hAnsi="宋体"/>
          <w:spacing w:val="0"/>
          <w:sz w:val="32"/>
          <w:szCs w:val="32"/>
        </w:rPr>
        <w:t>　其他违反本条例规定实施不文明行为，依照相关法律法规规定予以行政处罚；造成损害的，依法承担民事责任；构成犯罪的，依法追究刑事责任。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p>
    <w:p>
      <w:pPr>
        <w:pStyle w:val="92"/>
        <w:keepNext w:val="0"/>
        <w:keepLines w:val="0"/>
        <w:pageBreakBefore w:val="0"/>
        <w:widowControl w:val="0"/>
        <w:numPr>
          <w:ilvl w:val="0"/>
          <w:numId w:val="2"/>
        </w:numPr>
        <w:kinsoku/>
        <w:wordWrap/>
        <w:overflowPunct/>
        <w:topLinePunct w:val="0"/>
        <w:autoSpaceDE/>
        <w:autoSpaceDN/>
        <w:bidi w:val="0"/>
        <w:adjustRightInd w:val="0"/>
        <w:snapToGrid/>
        <w:spacing w:line="590" w:lineRule="exact"/>
        <w:textAlignment w:val="auto"/>
        <w:rPr>
          <w:rFonts w:hint="eastAsia" w:ascii="宋体" w:hAnsi="宋体"/>
          <w:spacing w:val="0"/>
          <w:sz w:val="32"/>
          <w:szCs w:val="32"/>
        </w:rPr>
      </w:pPr>
      <w:r>
        <w:rPr>
          <w:rFonts w:hint="eastAsia" w:ascii="宋体" w:hAnsi="宋体"/>
          <w:spacing w:val="0"/>
          <w:sz w:val="32"/>
          <w:szCs w:val="32"/>
        </w:rPr>
        <w:t>附　则</w:t>
      </w:r>
    </w:p>
    <w:p>
      <w:pPr>
        <w:pStyle w:val="92"/>
        <w:keepNext w:val="0"/>
        <w:keepLines w:val="0"/>
        <w:pageBreakBefore w:val="0"/>
        <w:widowControl w:val="0"/>
        <w:numPr>
          <w:ilvl w:val="0"/>
          <w:numId w:val="0"/>
        </w:numPr>
        <w:kinsoku/>
        <w:wordWrap/>
        <w:overflowPunct/>
        <w:topLinePunct w:val="0"/>
        <w:autoSpaceDE/>
        <w:autoSpaceDN/>
        <w:bidi w:val="0"/>
        <w:adjustRightInd w:val="0"/>
        <w:snapToGrid/>
        <w:spacing w:line="590" w:lineRule="exact"/>
        <w:jc w:val="both"/>
        <w:textAlignment w:val="auto"/>
        <w:rPr>
          <w:rFonts w:hint="eastAsia" w:ascii="宋体" w:hAnsi="宋体"/>
          <w:spacing w:val="0"/>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ascii="宋体" w:hAnsi="宋体"/>
          <w:spacing w:val="0"/>
        </w:rPr>
      </w:pPr>
      <w:r>
        <w:rPr>
          <w:rStyle w:val="83"/>
          <w:rFonts w:hint="eastAsia" w:ascii="宋体" w:hAnsi="宋体"/>
          <w:spacing w:val="0"/>
          <w:sz w:val="32"/>
          <w:szCs w:val="32"/>
        </w:rPr>
        <w:t>第四十七条</w:t>
      </w:r>
      <w:r>
        <w:rPr>
          <w:rFonts w:hint="eastAsia" w:ascii="宋体" w:hAnsi="宋体"/>
          <w:spacing w:val="0"/>
          <w:sz w:val="32"/>
          <w:szCs w:val="32"/>
        </w:rPr>
        <w:t>　本条例自</w:t>
      </w:r>
      <w:r>
        <w:rPr>
          <w:rFonts w:hint="eastAsia" w:ascii="宋体" w:hAnsi="宋体"/>
          <w:spacing w:val="0"/>
          <w:sz w:val="32"/>
          <w:szCs w:val="32"/>
          <w:lang w:val="en-US" w:eastAsia="zh-CN"/>
        </w:rPr>
        <w:t>2023</w:t>
      </w:r>
      <w:r>
        <w:rPr>
          <w:rFonts w:hint="eastAsia" w:ascii="宋体" w:hAnsi="宋体"/>
          <w:spacing w:val="0"/>
          <w:sz w:val="32"/>
          <w:szCs w:val="32"/>
        </w:rPr>
        <w:t>年</w:t>
      </w:r>
      <w:r>
        <w:rPr>
          <w:rFonts w:hint="eastAsia" w:ascii="宋体" w:hAnsi="宋体"/>
          <w:spacing w:val="0"/>
          <w:sz w:val="32"/>
          <w:szCs w:val="32"/>
          <w:lang w:val="en-US" w:eastAsia="zh-CN"/>
        </w:rPr>
        <w:t>1</w:t>
      </w:r>
      <w:r>
        <w:rPr>
          <w:rFonts w:hint="eastAsia" w:ascii="宋体" w:hAnsi="宋体"/>
          <w:spacing w:val="0"/>
          <w:sz w:val="32"/>
          <w:szCs w:val="32"/>
        </w:rPr>
        <w:t>月</w:t>
      </w:r>
      <w:r>
        <w:rPr>
          <w:rFonts w:hint="eastAsia" w:ascii="宋体" w:hAnsi="宋体"/>
          <w:spacing w:val="0"/>
          <w:sz w:val="32"/>
          <w:szCs w:val="32"/>
          <w:lang w:val="en-US" w:eastAsia="zh-CN"/>
        </w:rPr>
        <w:t>1</w:t>
      </w:r>
      <w:r>
        <w:rPr>
          <w:rFonts w:hint="eastAsia" w:ascii="宋体" w:hAnsi="宋体"/>
          <w:spacing w:val="0"/>
          <w:sz w:val="32"/>
          <w:szCs w:val="32"/>
        </w:rPr>
        <w:t>日起施行。</w:t>
      </w:r>
    </w:p>
    <w:p>
      <w:pPr>
        <w:keepNext w:val="0"/>
        <w:keepLines w:val="0"/>
        <w:pageBreakBefore w:val="0"/>
        <w:kinsoku/>
        <w:topLinePunct w:val="0"/>
        <w:bidi w:val="0"/>
        <w:adjustRightInd w:val="0"/>
        <w:spacing w:line="590" w:lineRule="exact"/>
        <w:textAlignment w:val="auto"/>
        <w:rPr>
          <w:rFonts w:ascii="宋体" w:hAnsi="宋体"/>
          <w:spacing w:val="0"/>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0" w:firstLineChars="0"/>
        <w:jc w:val="left"/>
        <w:textAlignment w:val="auto"/>
        <w:outlineLvl w:val="9"/>
        <w:rPr>
          <w:rFonts w:hint="default" w:ascii="宋体" w:hAnsi="宋体" w:cs="Times New Roman"/>
          <w:color w:val="000000"/>
          <w:spacing w:val="0"/>
          <w:szCs w:val="32"/>
        </w:rPr>
      </w:pPr>
    </w:p>
    <w:p>
      <w:pPr>
        <w:pStyle w:val="2"/>
        <w:keepNext w:val="0"/>
        <w:keepLines w:val="0"/>
        <w:pageBreakBefore w:val="0"/>
        <w:kinsoku/>
        <w:topLinePunct w:val="0"/>
        <w:bidi w:val="0"/>
        <w:adjustRightInd w:val="0"/>
        <w:spacing w:line="590" w:lineRule="exact"/>
        <w:textAlignment w:val="auto"/>
        <w:rPr>
          <w:rFonts w:hint="default" w:ascii="宋体" w:hAnsi="宋体" w:cs="Times New Roman"/>
          <w:color w:val="000000"/>
          <w:spacing w:val="0"/>
          <w:szCs w:val="32"/>
        </w:rPr>
      </w:pPr>
    </w:p>
    <w:p>
      <w:pPr>
        <w:keepNext w:val="0"/>
        <w:keepLines w:val="0"/>
        <w:pageBreakBefore w:val="0"/>
        <w:kinsoku/>
        <w:topLinePunct w:val="0"/>
        <w:bidi w:val="0"/>
        <w:adjustRightInd w:val="0"/>
        <w:spacing w:line="590" w:lineRule="exact"/>
        <w:textAlignment w:val="auto"/>
        <w:rPr>
          <w:rFonts w:hint="default" w:ascii="宋体" w:hAnsi="宋体" w:cs="Times New Roman"/>
          <w:color w:val="000000"/>
          <w:spacing w:val="0"/>
          <w:szCs w:val="32"/>
        </w:rPr>
      </w:pPr>
    </w:p>
    <w:p>
      <w:pPr>
        <w:pStyle w:val="2"/>
        <w:keepNext w:val="0"/>
        <w:keepLines w:val="0"/>
        <w:pageBreakBefore w:val="0"/>
        <w:kinsoku/>
        <w:topLinePunct w:val="0"/>
        <w:bidi w:val="0"/>
        <w:adjustRightInd w:val="0"/>
        <w:spacing w:line="590" w:lineRule="exact"/>
        <w:textAlignment w:val="auto"/>
        <w:rPr>
          <w:rFonts w:hint="eastAsia" w:ascii="宋体" w:hAnsi="宋体" w:cs="Times New Roman"/>
          <w:color w:val="000000"/>
          <w:spacing w:val="0"/>
          <w:szCs w:val="32"/>
        </w:rPr>
      </w:pPr>
      <w:bookmarkStart w:id="0" w:name="_GoBack"/>
      <w:bookmarkEnd w:id="0"/>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小标宋_GBK">
    <w:panose1 w:val="03000509000000000000"/>
    <w:charset w:val="86"/>
    <w:family w:val="auto"/>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A1A87C"/>
    <w:multiLevelType w:val="singleLevel"/>
    <w:tmpl w:val="FDA1A87C"/>
    <w:lvl w:ilvl="0" w:tentative="0">
      <w:start w:val="2"/>
      <w:numFmt w:val="chineseCounting"/>
      <w:suff w:val="nothing"/>
      <w:lvlText w:val="第%1章　"/>
      <w:lvlJc w:val="left"/>
      <w:rPr>
        <w:rFonts w:hint="eastAsia"/>
      </w:rPr>
    </w:lvl>
  </w:abstractNum>
  <w:abstractNum w:abstractNumId="1">
    <w:nsid w:val="76AC23F4"/>
    <w:multiLevelType w:val="singleLevel"/>
    <w:tmpl w:val="76AC23F4"/>
    <w:lvl w:ilvl="0" w:tentative="0">
      <w:start w:val="6"/>
      <w:numFmt w:val="chineseCounting"/>
      <w:suff w:val="nothing"/>
      <w:lvlText w:val="第%1章　"/>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5D04F6"/>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7EE89A"/>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4FEA9A2"/>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27A04A"/>
    <w:rsid w:val="39550A69"/>
    <w:rsid w:val="395813C6"/>
    <w:rsid w:val="39622CAA"/>
    <w:rsid w:val="3A133403"/>
    <w:rsid w:val="3A1C2BF4"/>
    <w:rsid w:val="3A86646F"/>
    <w:rsid w:val="3AA64ECB"/>
    <w:rsid w:val="3B6375B7"/>
    <w:rsid w:val="3BBD5C18"/>
    <w:rsid w:val="3BBE8843"/>
    <w:rsid w:val="3BFCFE15"/>
    <w:rsid w:val="3CDC6F90"/>
    <w:rsid w:val="3D20736F"/>
    <w:rsid w:val="3D70509D"/>
    <w:rsid w:val="3DD373C3"/>
    <w:rsid w:val="3E9854F0"/>
    <w:rsid w:val="3EBA6794"/>
    <w:rsid w:val="3EBE3BEE"/>
    <w:rsid w:val="3EDE2C7D"/>
    <w:rsid w:val="3EF27142"/>
    <w:rsid w:val="3F3F7E2E"/>
    <w:rsid w:val="3F4EBFDE"/>
    <w:rsid w:val="3F9754F6"/>
    <w:rsid w:val="3FB97CE4"/>
    <w:rsid w:val="3FE466EE"/>
    <w:rsid w:val="3FEC81A5"/>
    <w:rsid w:val="3FFC98A0"/>
    <w:rsid w:val="404310EB"/>
    <w:rsid w:val="40446E52"/>
    <w:rsid w:val="409E3985"/>
    <w:rsid w:val="414C17B0"/>
    <w:rsid w:val="41D9081D"/>
    <w:rsid w:val="42253F1D"/>
    <w:rsid w:val="424717F3"/>
    <w:rsid w:val="424C4456"/>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EFB0A2"/>
    <w:rsid w:val="4FF62A99"/>
    <w:rsid w:val="4FFF6F66"/>
    <w:rsid w:val="504F1705"/>
    <w:rsid w:val="50D00A68"/>
    <w:rsid w:val="50FE070D"/>
    <w:rsid w:val="510228FB"/>
    <w:rsid w:val="51DE155C"/>
    <w:rsid w:val="52AD340E"/>
    <w:rsid w:val="52F924A0"/>
    <w:rsid w:val="5458261C"/>
    <w:rsid w:val="54E5467C"/>
    <w:rsid w:val="55321BD0"/>
    <w:rsid w:val="55523D40"/>
    <w:rsid w:val="55B23712"/>
    <w:rsid w:val="55B7CC50"/>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7A714"/>
    <w:rsid w:val="5B7F044B"/>
    <w:rsid w:val="5B7F8AF2"/>
    <w:rsid w:val="5BBD7C29"/>
    <w:rsid w:val="5CEEF2A1"/>
    <w:rsid w:val="5D395B1E"/>
    <w:rsid w:val="5DDE1F72"/>
    <w:rsid w:val="5DFF05DF"/>
    <w:rsid w:val="5E4F5514"/>
    <w:rsid w:val="5E775930"/>
    <w:rsid w:val="5E79B7F2"/>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BF9C826"/>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1FBC9AE"/>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DFF8D4"/>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9F83C"/>
    <w:rsid w:val="7BFBD9B5"/>
    <w:rsid w:val="7BFFEACB"/>
    <w:rsid w:val="7C66702E"/>
    <w:rsid w:val="7CD7FDD5"/>
    <w:rsid w:val="7D95C137"/>
    <w:rsid w:val="7DDB1DC7"/>
    <w:rsid w:val="7DE6D0B1"/>
    <w:rsid w:val="7DF58795"/>
    <w:rsid w:val="7DF5DBF7"/>
    <w:rsid w:val="7E412F5C"/>
    <w:rsid w:val="7E7EAC65"/>
    <w:rsid w:val="7EC74B29"/>
    <w:rsid w:val="7EFB49D5"/>
    <w:rsid w:val="7F1A071E"/>
    <w:rsid w:val="7F296D07"/>
    <w:rsid w:val="7F3F8001"/>
    <w:rsid w:val="7F5AF4C9"/>
    <w:rsid w:val="7F760A81"/>
    <w:rsid w:val="7FAC102E"/>
    <w:rsid w:val="7FB30A8B"/>
    <w:rsid w:val="7FBB33EA"/>
    <w:rsid w:val="7FC7BAD6"/>
    <w:rsid w:val="7FCA520E"/>
    <w:rsid w:val="7FD5063E"/>
    <w:rsid w:val="7FDF5502"/>
    <w:rsid w:val="7FE62822"/>
    <w:rsid w:val="7FED3FAE"/>
    <w:rsid w:val="7FEF19C7"/>
    <w:rsid w:val="7FFF4248"/>
    <w:rsid w:val="8B771C73"/>
    <w:rsid w:val="8DDCD1CF"/>
    <w:rsid w:val="8EF5F3D3"/>
    <w:rsid w:val="8FED7ED3"/>
    <w:rsid w:val="955E888C"/>
    <w:rsid w:val="9A6F23F1"/>
    <w:rsid w:val="9FFF5A93"/>
    <w:rsid w:val="A65F34D6"/>
    <w:rsid w:val="ACDE24A1"/>
    <w:rsid w:val="AD5E1415"/>
    <w:rsid w:val="AD7F1689"/>
    <w:rsid w:val="B4FDE293"/>
    <w:rsid w:val="B555FEC4"/>
    <w:rsid w:val="B7B726CE"/>
    <w:rsid w:val="B7BD2557"/>
    <w:rsid w:val="B7F72735"/>
    <w:rsid w:val="B7FF0A57"/>
    <w:rsid w:val="B97D4C69"/>
    <w:rsid w:val="B9FF912B"/>
    <w:rsid w:val="BA3FCC68"/>
    <w:rsid w:val="BA7792F7"/>
    <w:rsid w:val="BBCEDCD1"/>
    <w:rsid w:val="BBFF5B52"/>
    <w:rsid w:val="BD3FAC39"/>
    <w:rsid w:val="BDFE904E"/>
    <w:rsid w:val="BEFF347A"/>
    <w:rsid w:val="BF5D29A8"/>
    <w:rsid w:val="BF7512B0"/>
    <w:rsid w:val="BF763A65"/>
    <w:rsid w:val="BF7E76EC"/>
    <w:rsid w:val="BFB62F2C"/>
    <w:rsid w:val="BFBB8140"/>
    <w:rsid w:val="BFEBC3BA"/>
    <w:rsid w:val="BFFE4796"/>
    <w:rsid w:val="BFFF4057"/>
    <w:rsid w:val="C373956C"/>
    <w:rsid w:val="CA67BEDE"/>
    <w:rsid w:val="CE3739C2"/>
    <w:rsid w:val="D26FD62F"/>
    <w:rsid w:val="D3EF2182"/>
    <w:rsid w:val="D73B47CD"/>
    <w:rsid w:val="D8FE8244"/>
    <w:rsid w:val="D9FF51C1"/>
    <w:rsid w:val="DBBD6E0F"/>
    <w:rsid w:val="DC6E6923"/>
    <w:rsid w:val="DD7FF4C3"/>
    <w:rsid w:val="DDBFD77F"/>
    <w:rsid w:val="DE7FF82A"/>
    <w:rsid w:val="DEBFDCF6"/>
    <w:rsid w:val="DFFFCD14"/>
    <w:rsid w:val="E17F4A0D"/>
    <w:rsid w:val="E4F31C4B"/>
    <w:rsid w:val="E70E2A9C"/>
    <w:rsid w:val="E9F67A4A"/>
    <w:rsid w:val="EA30CE57"/>
    <w:rsid w:val="ECFFFF61"/>
    <w:rsid w:val="EDD79BDE"/>
    <w:rsid w:val="EDDE5A87"/>
    <w:rsid w:val="F26D94AA"/>
    <w:rsid w:val="F3EF788C"/>
    <w:rsid w:val="F3FF4FF8"/>
    <w:rsid w:val="F4CFD4DD"/>
    <w:rsid w:val="F57FAE5F"/>
    <w:rsid w:val="F5AFAB46"/>
    <w:rsid w:val="F5EBB724"/>
    <w:rsid w:val="F5F7B568"/>
    <w:rsid w:val="F5F7F1F6"/>
    <w:rsid w:val="F6DFFA3F"/>
    <w:rsid w:val="F7537AB7"/>
    <w:rsid w:val="F7CF3DCC"/>
    <w:rsid w:val="F7DBF2EE"/>
    <w:rsid w:val="F7F5A2B0"/>
    <w:rsid w:val="F7F6FF98"/>
    <w:rsid w:val="F7FA92D5"/>
    <w:rsid w:val="F86D7167"/>
    <w:rsid w:val="F9CF0B80"/>
    <w:rsid w:val="FB47D5B0"/>
    <w:rsid w:val="FBBF8643"/>
    <w:rsid w:val="FBEAD3DC"/>
    <w:rsid w:val="FC97E6BD"/>
    <w:rsid w:val="FD6E37F6"/>
    <w:rsid w:val="FD6E7F96"/>
    <w:rsid w:val="FD7675E2"/>
    <w:rsid w:val="FD7FB339"/>
    <w:rsid w:val="FDAF10C6"/>
    <w:rsid w:val="FDCB87CB"/>
    <w:rsid w:val="FDEB1B47"/>
    <w:rsid w:val="FDEBEA62"/>
    <w:rsid w:val="FDF5B881"/>
    <w:rsid w:val="FDFB1DCD"/>
    <w:rsid w:val="FE39BE61"/>
    <w:rsid w:val="FE584283"/>
    <w:rsid w:val="FEE9E3A2"/>
    <w:rsid w:val="FEFF1D47"/>
    <w:rsid w:val="FF3F1EBD"/>
    <w:rsid w:val="FF3FAB6E"/>
    <w:rsid w:val="FFBEA4F6"/>
    <w:rsid w:val="FFC9F5FF"/>
    <w:rsid w:val="FFD92C14"/>
    <w:rsid w:val="FFDB5166"/>
    <w:rsid w:val="FFEFCF76"/>
    <w:rsid w:val="FFF24993"/>
    <w:rsid w:val="FFF4D766"/>
    <w:rsid w:val="FFF74ADA"/>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9"/>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3">
    <w:name w:val="Default Paragraph Font"/>
    <w:link w:val="24"/>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4">
    <w:name w:val="Char Char Char Char Char Char Char Char Char Char Char Char Char Char Char Char Char Char Char Char Char Char Char Char Char Char Char Char Char Char Char Char Char"/>
    <w:basedOn w:val="1"/>
    <w:link w:val="23"/>
    <w:qFormat/>
    <w:uiPriority w:val="0"/>
    <w:pPr>
      <w:widowControl/>
      <w:spacing w:after="160" w:line="240" w:lineRule="exact"/>
      <w:jc w:val="left"/>
    </w:pPr>
    <w:rPr>
      <w:rFonts w:ascii="等线" w:hAnsi="等线"/>
      <w:sz w:val="30"/>
      <w:szCs w:val="20"/>
    </w:rPr>
  </w:style>
  <w:style w:type="character" w:styleId="25">
    <w:name w:val="Strong"/>
    <w:basedOn w:val="23"/>
    <w:qFormat/>
    <w:uiPriority w:val="22"/>
    <w:rPr>
      <w:b/>
      <w:bCs/>
    </w:rPr>
  </w:style>
  <w:style w:type="character" w:styleId="26">
    <w:name w:val="page number"/>
    <w:basedOn w:val="23"/>
    <w:qFormat/>
    <w:uiPriority w:val="0"/>
  </w:style>
  <w:style w:type="character" w:styleId="27">
    <w:name w:val="Hyperlink"/>
    <w:basedOn w:val="23"/>
    <w:qFormat/>
    <w:uiPriority w:val="0"/>
    <w:rPr>
      <w:color w:val="0000FF"/>
      <w:u w:val="single"/>
    </w:rPr>
  </w:style>
  <w:style w:type="paragraph" w:customStyle="1" w:styleId="28">
    <w:name w:val="样式1"/>
    <w:basedOn w:val="1"/>
    <w:next w:val="6"/>
    <w:qFormat/>
    <w:uiPriority w:val="0"/>
    <w:rPr>
      <w:rFonts w:ascii="Calibri" w:hAnsi="Calibri" w:eastAsia="黑体"/>
      <w:sz w:val="36"/>
      <w:szCs w:val="22"/>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1"/>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80"/>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2"/>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标题 1 字符"/>
    <w:link w:val="3"/>
    <w:qFormat/>
    <w:uiPriority w:val="0"/>
    <w:rPr>
      <w:rFonts w:eastAsia="仿宋" w:cs="Times New Roman"/>
      <w:i/>
      <w:kern w:val="44"/>
      <w:sz w:val="32"/>
      <w:u w:val="single"/>
    </w:rPr>
  </w:style>
  <w:style w:type="character" w:customStyle="1" w:styleId="80">
    <w:name w:val="第二层标题：三号楷体 Char"/>
    <w:link w:val="35"/>
    <w:qFormat/>
    <w:uiPriority w:val="0"/>
    <w:rPr>
      <w:rFonts w:hint="eastAsia" w:ascii="楷体_GB2312" w:hAnsi="仿宋_GB2312" w:eastAsia="楷体_GB2312"/>
      <w:sz w:val="32"/>
    </w:rPr>
  </w:style>
  <w:style w:type="character" w:customStyle="1" w:styleId="81">
    <w:name w:val="正文：三号仿宋 Char"/>
    <w:basedOn w:val="23"/>
    <w:link w:val="33"/>
    <w:qFormat/>
    <w:uiPriority w:val="0"/>
    <w:rPr>
      <w:rFonts w:eastAsia="仿宋_GB2312"/>
      <w:sz w:val="32"/>
    </w:rPr>
  </w:style>
  <w:style w:type="character" w:customStyle="1" w:styleId="82">
    <w:name w:val="第一层标题：三号黑体 Char"/>
    <w:basedOn w:val="81"/>
    <w:link w:val="38"/>
    <w:qFormat/>
    <w:uiPriority w:val="0"/>
    <w:rPr>
      <w:rFonts w:ascii="黑体" w:eastAsia="黑体"/>
    </w:rPr>
  </w:style>
  <w:style w:type="character" w:customStyle="1" w:styleId="83">
    <w:name w:val="条序号"/>
    <w:basedOn w:val="23"/>
    <w:qFormat/>
    <w:uiPriority w:val="0"/>
    <w:rPr>
      <w:rFonts w:ascii="黑体" w:hAnsi="黑体" w:eastAsia="黑体" w:cs="黑体"/>
    </w:rPr>
  </w:style>
  <w:style w:type="character" w:customStyle="1" w:styleId="84">
    <w:name w:val="15"/>
    <w:basedOn w:val="23"/>
    <w:qFormat/>
    <w:uiPriority w:val="0"/>
    <w:rPr>
      <w:rFonts w:hint="default" w:ascii="Arial" w:hAnsi="Arial" w:eastAsia="黑体" w:cs="Arial"/>
      <w:sz w:val="32"/>
      <w:szCs w:val="32"/>
    </w:rPr>
  </w:style>
  <w:style w:type="character" w:customStyle="1" w:styleId="85">
    <w:name w:val="条要点"/>
    <w:basedOn w:val="23"/>
    <w:qFormat/>
    <w:uiPriority w:val="0"/>
    <w:rPr>
      <w:rFonts w:ascii="黑体" w:hAnsi="黑体" w:eastAsia="黑体" w:cs="黑体"/>
    </w:rPr>
  </w:style>
  <w:style w:type="character" w:customStyle="1" w:styleId="86">
    <w:name w:val="NormalCharacter"/>
    <w:semiHidden/>
    <w:qFormat/>
    <w:uiPriority w:val="0"/>
  </w:style>
  <w:style w:type="character" w:customStyle="1" w:styleId="87">
    <w:name w:val="fontstyle01"/>
    <w:basedOn w:val="23"/>
    <w:qFormat/>
    <w:uiPriority w:val="0"/>
    <w:rPr>
      <w:rFonts w:ascii="仿宋_GB2312" w:hAnsi="仿宋_GB2312" w:eastAsia="仿宋_GB2312" w:cs="仿宋_GB2312"/>
      <w:color w:val="000000"/>
      <w:sz w:val="32"/>
      <w:szCs w:val="32"/>
    </w:rPr>
  </w:style>
  <w:style w:type="paragraph" w:customStyle="1" w:styleId="88">
    <w:name w:val="方正仿宋简体正文"/>
    <w:basedOn w:val="1"/>
    <w:qFormat/>
    <w:uiPriority w:val="0"/>
    <w:rPr>
      <w:rFonts w:cs="Times New Roman"/>
      <w:sz w:val="32"/>
      <w:szCs w:val="32"/>
    </w:rPr>
  </w:style>
  <w:style w:type="paragraph" w:customStyle="1" w:styleId="89">
    <w:name w:val="法规公告：标题"/>
    <w:basedOn w:val="1"/>
    <w:qFormat/>
    <w:uiPriority w:val="0"/>
    <w:pPr>
      <w:keepNext w:val="0"/>
      <w:keepLines w:val="0"/>
      <w:widowControl w:val="0"/>
      <w:suppressLineNumbers w:val="0"/>
      <w:spacing w:before="0" w:beforeAutospacing="0" w:after="0" w:afterAutospacing="0"/>
      <w:ind w:left="0" w:right="0"/>
      <w:jc w:val="center"/>
    </w:pPr>
    <w:rPr>
      <w:rFonts w:hint="eastAsia" w:ascii="宋体" w:hAnsi="宋体" w:eastAsia="宋体" w:cs="Times New Roman"/>
      <w:kern w:val="2"/>
      <w:sz w:val="44"/>
      <w:szCs w:val="44"/>
      <w:lang w:val="en-US" w:eastAsia="zh-CN" w:bidi="ar"/>
    </w:rPr>
  </w:style>
  <w:style w:type="paragraph" w:customStyle="1" w:styleId="90">
    <w:name w:val="法规公告：文号"/>
    <w:basedOn w:val="1"/>
    <w:qFormat/>
    <w:uiPriority w:val="0"/>
    <w:pPr>
      <w:keepNext w:val="0"/>
      <w:keepLines w:val="0"/>
      <w:widowControl w:val="0"/>
      <w:suppressLineNumbers w:val="0"/>
      <w:spacing w:before="0" w:beforeAutospacing="0" w:after="0" w:afterAutospacing="0"/>
      <w:ind w:left="0" w:right="0"/>
      <w:jc w:val="center"/>
    </w:pPr>
    <w:rPr>
      <w:rFonts w:hint="eastAsia" w:ascii="楷体_GB2312" w:hAnsi="宋体" w:eastAsia="楷体_GB2312" w:cs="Times New Roman"/>
      <w:kern w:val="2"/>
      <w:sz w:val="32"/>
      <w:szCs w:val="24"/>
      <w:lang w:val="en-US" w:eastAsia="zh-CN" w:bidi="ar"/>
    </w:rPr>
  </w:style>
  <w:style w:type="paragraph" w:customStyle="1" w:styleId="91">
    <w:name w:val="法规公告：正文"/>
    <w:basedOn w:val="1"/>
    <w:qFormat/>
    <w:uiPriority w:val="0"/>
    <w:pPr>
      <w:keepNext w:val="0"/>
      <w:keepLines w:val="0"/>
      <w:widowControl w:val="0"/>
      <w:suppressLineNumbers w:val="0"/>
      <w:spacing w:before="0" w:beforeAutospacing="0" w:after="0" w:afterAutospacing="0"/>
      <w:ind w:left="0" w:right="0" w:firstLine="632" w:firstLineChars="200"/>
      <w:jc w:val="both"/>
    </w:pPr>
    <w:rPr>
      <w:rFonts w:hint="eastAsia" w:ascii="仿宋_GB2312" w:hAnsi="Times New Roman" w:eastAsia="仿宋_GB2312" w:cs="Times New Roman"/>
      <w:kern w:val="2"/>
      <w:sz w:val="32"/>
      <w:szCs w:val="32"/>
      <w:lang w:val="en-US" w:eastAsia="zh-CN" w:bidi="ar"/>
    </w:rPr>
  </w:style>
  <w:style w:type="paragraph" w:customStyle="1" w:styleId="92">
    <w:name w:val="章标题"/>
    <w:basedOn w:val="1"/>
    <w:qFormat/>
    <w:uiPriority w:val="0"/>
    <w:pPr>
      <w:jc w:val="center"/>
    </w:pPr>
    <w:rPr>
      <w:rFonts w:ascii="黑体" w:hAnsi="黑体" w:eastAsia="黑体" w:cs="宋体"/>
      <w:szCs w:val="32"/>
    </w:rPr>
  </w:style>
  <w:style w:type="paragraph" w:customStyle="1" w:styleId="93">
    <w:name w:val="居中：楷体"/>
    <w:basedOn w:val="1"/>
    <w:next w:val="1"/>
    <w:qFormat/>
    <w:uiPriority w:val="0"/>
    <w:pPr>
      <w:jc w:val="center"/>
    </w:pPr>
    <w:rPr>
      <w:rFonts w:ascii="楷体_GB2312" w:hAnsi="仿宋_GB2312" w:eastAsia="楷体_GB2312" w:cs="仿宋_GB2312"/>
      <w:color w:val="000000"/>
      <w:szCs w:val="32"/>
    </w:rPr>
  </w:style>
  <w:style w:type="paragraph" w:customStyle="1" w:styleId="94">
    <w:name w:val="主送"/>
    <w:basedOn w:val="33"/>
    <w:next w:val="33"/>
    <w:qFormat/>
    <w:uiPriority w:val="0"/>
    <w:pPr>
      <w:ind w:firstLine="0" w:firstLineChars="0"/>
    </w:pPr>
  </w:style>
  <w:style w:type="paragraph" w:customStyle="1" w:styleId="95">
    <w:name w:val="楷体—"/>
    <w:basedOn w:val="1"/>
    <w:next w:val="1"/>
    <w:link w:val="97"/>
    <w:qFormat/>
    <w:uiPriority w:val="0"/>
    <w:pPr>
      <w:jc w:val="center"/>
    </w:pPr>
    <w:rPr>
      <w:rFonts w:ascii="楷体_GB2312" w:hAnsi="楷体_GB2312" w:eastAsia="楷体_GB2312" w:cs="楷体_GB2312"/>
      <w:color w:val="000000"/>
      <w:szCs w:val="32"/>
    </w:rPr>
  </w:style>
  <w:style w:type="character" w:customStyle="1" w:styleId="96">
    <w:name w:val="楷体—→— Char"/>
    <w:basedOn w:val="97"/>
    <w:link w:val="98"/>
    <w:qFormat/>
    <w:uiPriority w:val="0"/>
    <w:rPr>
      <w:spacing w:val="-30"/>
    </w:rPr>
  </w:style>
  <w:style w:type="character" w:customStyle="1" w:styleId="97">
    <w:name w:val="楷体— Char"/>
    <w:basedOn w:val="23"/>
    <w:link w:val="95"/>
    <w:qFormat/>
    <w:uiPriority w:val="0"/>
    <w:rPr>
      <w:rFonts w:ascii="楷体_GB2312" w:hAnsi="楷体_GB2312" w:eastAsia="楷体_GB2312" w:cs="楷体_GB2312"/>
      <w:color w:val="000000"/>
      <w:szCs w:val="32"/>
    </w:rPr>
  </w:style>
  <w:style w:type="paragraph" w:customStyle="1" w:styleId="98">
    <w:name w:val="楷体—→—"/>
    <w:basedOn w:val="95"/>
    <w:next w:val="95"/>
    <w:link w:val="96"/>
    <w:qFormat/>
    <w:uiPriority w:val="0"/>
    <w:rPr>
      <w:spacing w:val="-30"/>
    </w:rPr>
  </w:style>
  <w:style w:type="character" w:customStyle="1" w:styleId="99">
    <w:name w:val="会议日期和届次"/>
    <w:basedOn w:val="23"/>
    <w:qFormat/>
    <w:uiPriority w:val="0"/>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2020-06-17T08:37:00Z</dcterms:created>
  <dc:creator>谢浩然</dc:creator>
  <cp:lastModifiedBy>@liyaolan</cp:lastModifiedBy>
  <cp:lastPrinted>2022-12-27T14:51:00Z</cp:lastPrinted>
  <dcterms:modified xsi:type="dcterms:W3CDTF">2022-12-27T16:04:16Z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