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snapToGrid/>
        <w:spacing w:line="560" w:lineRule="exact"/>
        <w:jc w:val="both"/>
        <w:textAlignment w:val="auto"/>
        <w:rPr>
          <w:rFonts w:hint="eastAsia" w:ascii="宋体" w:hAnsi="宋体" w:eastAsia="宋体" w:cs="楷体_GB2312"/>
          <w:spacing w:val="0"/>
          <w:sz w:val="32"/>
          <w:szCs w:val="32"/>
        </w:rPr>
      </w:pPr>
    </w:p>
    <w:p>
      <w:pPr>
        <w:wordWrap/>
        <w:adjustRightInd/>
        <w:snapToGrid/>
        <w:spacing w:line="560" w:lineRule="exact"/>
        <w:jc w:val="center"/>
        <w:textAlignment w:val="auto"/>
        <w:rPr>
          <w:rFonts w:hint="eastAsia" w:ascii="宋体" w:hAnsi="宋体" w:eastAsia="宋体" w:cs="楷体_GB2312"/>
          <w:spacing w:val="0"/>
          <w:sz w:val="32"/>
          <w:szCs w:val="32"/>
        </w:rPr>
      </w:pPr>
    </w:p>
    <w:p>
      <w:pPr>
        <w:wordWrap/>
        <w:adjustRightInd/>
        <w:snapToGrid/>
        <w:spacing w:line="560" w:lineRule="exact"/>
        <w:jc w:val="center"/>
        <w:textAlignment w:val="auto"/>
        <w:rPr>
          <w:rFonts w:hint="eastAsia" w:ascii="宋体" w:hAnsi="宋体" w:eastAsia="宋体" w:cs="楷体_GB2312"/>
          <w:spacing w:val="0"/>
          <w:sz w:val="44"/>
          <w:szCs w:val="44"/>
        </w:rPr>
      </w:pPr>
      <w:r>
        <w:rPr>
          <w:rFonts w:hint="eastAsia" w:ascii="宋体" w:hAnsi="宋体" w:eastAsia="宋体" w:cs="楷体_GB2312"/>
          <w:spacing w:val="0"/>
          <w:sz w:val="44"/>
          <w:szCs w:val="44"/>
        </w:rPr>
        <w:t>九江市文明行为促进条例</w:t>
      </w:r>
    </w:p>
    <w:p>
      <w:pPr>
        <w:wordWrap/>
        <w:adjustRightInd/>
        <w:snapToGrid/>
        <w:spacing w:line="560" w:lineRule="exact"/>
        <w:jc w:val="center"/>
        <w:textAlignment w:val="auto"/>
        <w:rPr>
          <w:rFonts w:hint="eastAsia" w:ascii="宋体" w:hAnsi="宋体" w:eastAsia="宋体" w:cs="宋体"/>
          <w:spacing w:val="0"/>
          <w:szCs w:val="32"/>
        </w:rPr>
      </w:pPr>
    </w:p>
    <w:p>
      <w:pPr>
        <w:pStyle w:val="4"/>
        <w:wordWrap/>
        <w:adjustRightInd/>
        <w:snapToGrid/>
        <w:spacing w:after="0" w:line="560" w:lineRule="exact"/>
        <w:ind w:left="634" w:leftChars="206"/>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（2020年7月6日九江市第十五届人民代表大会常务</w:t>
      </w:r>
    </w:p>
    <w:p>
      <w:pPr>
        <w:pStyle w:val="4"/>
        <w:wordWrap/>
        <w:adjustRightInd/>
        <w:snapToGrid/>
        <w:spacing w:after="0" w:line="560" w:lineRule="exact"/>
        <w:ind w:left="634" w:leftChars="206"/>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2020年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rPr>
        <w:t>日江西</w:t>
      </w:r>
    </w:p>
    <w:p>
      <w:pPr>
        <w:pStyle w:val="4"/>
        <w:wordWrap/>
        <w:adjustRightInd/>
        <w:snapToGrid/>
        <w:spacing w:after="0" w:line="560" w:lineRule="exact"/>
        <w:ind w:left="634" w:leftChars="206"/>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省第十三届人民代表大会常务委员会第</w:t>
      </w:r>
      <w:r>
        <w:rPr>
          <w:rFonts w:hint="eastAsia" w:ascii="楷体_GB2312" w:hAnsi="楷体_GB2312" w:eastAsia="楷体_GB2312" w:cs="楷体_GB2312"/>
          <w:sz w:val="32"/>
          <w:szCs w:val="32"/>
          <w:lang w:eastAsia="zh-CN"/>
        </w:rPr>
        <w:t>二十一</w:t>
      </w:r>
      <w:r>
        <w:rPr>
          <w:rFonts w:hint="eastAsia" w:ascii="楷体_GB2312" w:hAnsi="楷体_GB2312" w:eastAsia="楷体_GB2312" w:cs="楷体_GB2312"/>
          <w:sz w:val="32"/>
          <w:szCs w:val="32"/>
        </w:rPr>
        <w:t>次会议</w:t>
      </w:r>
    </w:p>
    <w:p>
      <w:pPr>
        <w:pStyle w:val="4"/>
        <w:wordWrap/>
        <w:adjustRightInd/>
        <w:snapToGrid/>
        <w:spacing w:after="0" w:line="560" w:lineRule="exact"/>
        <w:ind w:left="634" w:leftChars="206"/>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批准）</w:t>
      </w:r>
    </w:p>
    <w:p>
      <w:pPr>
        <w:wordWrap/>
        <w:adjustRightInd/>
        <w:snapToGrid/>
        <w:spacing w:line="560" w:lineRule="exact"/>
        <w:textAlignment w:val="auto"/>
        <w:rPr>
          <w:rFonts w:hint="eastAsia" w:ascii="宋体" w:hAnsi="宋体" w:eastAsia="宋体" w:cs="宋体"/>
          <w:spacing w:val="0"/>
          <w:szCs w:val="32"/>
        </w:rPr>
      </w:pPr>
    </w:p>
    <w:p>
      <w:pPr>
        <w:wordWrap/>
        <w:adjustRightInd/>
        <w:snapToGrid/>
        <w:spacing w:line="560" w:lineRule="exact"/>
        <w:jc w:val="center"/>
        <w:textAlignment w:val="auto"/>
        <w:rPr>
          <w:rFonts w:hint="eastAsia" w:ascii="楷体_GB2312" w:eastAsia="楷体_GB2312"/>
          <w:spacing w:val="0"/>
          <w:szCs w:val="32"/>
        </w:rPr>
      </w:pPr>
      <w:r>
        <w:rPr>
          <w:rFonts w:hint="eastAsia" w:ascii="楷体_GB2312" w:eastAsia="楷体_GB2312"/>
          <w:spacing w:val="0"/>
          <w:szCs w:val="32"/>
        </w:rPr>
        <w:t xml:space="preserve">目  </w:t>
      </w:r>
      <w:r>
        <w:rPr>
          <w:rFonts w:hint="eastAsia" w:ascii="楷体_GB2312" w:eastAsia="楷体_GB2312"/>
          <w:spacing w:val="0"/>
          <w:szCs w:val="32"/>
          <w:lang w:val="en-US" w:eastAsia="zh-CN"/>
        </w:rPr>
        <w:t xml:space="preserve">  </w:t>
      </w:r>
      <w:r>
        <w:rPr>
          <w:rFonts w:hint="eastAsia" w:ascii="楷体_GB2312" w:eastAsia="楷体_GB2312"/>
          <w:spacing w:val="0"/>
          <w:szCs w:val="32"/>
        </w:rPr>
        <w:t>录</w:t>
      </w:r>
    </w:p>
    <w:p>
      <w:pPr>
        <w:widowControl w:val="0"/>
        <w:numPr>
          <w:numId w:val="0"/>
        </w:numPr>
        <w:wordWrap/>
        <w:adjustRightInd/>
        <w:snapToGrid/>
        <w:spacing w:line="560" w:lineRule="exact"/>
        <w:ind w:firstLine="640" w:firstLineChars="200"/>
        <w:textAlignment w:val="auto"/>
        <w:rPr>
          <w:rStyle w:val="9"/>
          <w:rFonts w:hint="eastAsia" w:ascii="楷体_GB2312" w:eastAsia="楷体_GB2312"/>
          <w:color w:val="auto"/>
          <w:spacing w:val="0"/>
          <w:szCs w:val="32"/>
          <w:u w:val="none"/>
        </w:rPr>
      </w:pPr>
      <w:r>
        <w:rPr>
          <w:rStyle w:val="9"/>
          <w:rFonts w:hint="eastAsia" w:ascii="楷体_GB2312" w:eastAsia="楷体_GB2312"/>
          <w:color w:val="auto"/>
          <w:spacing w:val="0"/>
          <w:szCs w:val="32"/>
          <w:u w:val="none"/>
          <w:lang w:eastAsia="zh-CN"/>
        </w:rPr>
        <w:t>第一章</w:t>
      </w:r>
      <w:r>
        <w:rPr>
          <w:rStyle w:val="9"/>
          <w:rFonts w:hint="eastAsia" w:ascii="楷体_GB2312" w:eastAsia="楷体_GB2312"/>
          <w:color w:val="auto"/>
          <w:spacing w:val="0"/>
          <w:szCs w:val="32"/>
          <w:u w:val="none"/>
          <w:lang w:val="en-US" w:eastAsia="zh-CN"/>
        </w:rPr>
        <w:t xml:space="preserve">  </w:t>
      </w:r>
      <w:r>
        <w:rPr>
          <w:rStyle w:val="9"/>
          <w:rFonts w:hint="eastAsia" w:ascii="楷体_GB2312" w:eastAsia="楷体_GB2312"/>
          <w:color w:val="auto"/>
          <w:spacing w:val="0"/>
          <w:szCs w:val="32"/>
          <w:u w:val="none"/>
        </w:rPr>
        <w:t>总则</w:t>
      </w:r>
    </w:p>
    <w:p>
      <w:pPr>
        <w:widowControl w:val="0"/>
        <w:numPr>
          <w:numId w:val="0"/>
        </w:numPr>
        <w:wordWrap/>
        <w:adjustRightInd/>
        <w:snapToGrid/>
        <w:spacing w:line="560" w:lineRule="exact"/>
        <w:ind w:firstLine="640" w:firstLineChars="200"/>
        <w:textAlignment w:val="auto"/>
        <w:rPr>
          <w:rStyle w:val="9"/>
          <w:rFonts w:hint="eastAsia" w:ascii="楷体_GB2312" w:eastAsia="楷体_GB2312"/>
          <w:color w:val="auto"/>
          <w:spacing w:val="0"/>
          <w:szCs w:val="32"/>
          <w:u w:val="none"/>
        </w:rPr>
      </w:pPr>
      <w:r>
        <w:rPr>
          <w:rStyle w:val="9"/>
          <w:rFonts w:hint="eastAsia" w:ascii="楷体_GB2312" w:eastAsia="楷体_GB2312"/>
          <w:color w:val="auto"/>
          <w:spacing w:val="0"/>
          <w:szCs w:val="32"/>
          <w:u w:val="none"/>
          <w:lang w:val="en-US" w:eastAsia="zh-CN"/>
        </w:rPr>
        <w:t xml:space="preserve">第二章  </w:t>
      </w:r>
      <w:r>
        <w:rPr>
          <w:rStyle w:val="9"/>
          <w:rFonts w:hint="eastAsia" w:ascii="楷体_GB2312" w:eastAsia="楷体_GB2312"/>
          <w:color w:val="auto"/>
          <w:spacing w:val="0"/>
          <w:szCs w:val="32"/>
          <w:u w:val="none"/>
        </w:rPr>
        <w:t>文明行为规范</w:t>
      </w:r>
    </w:p>
    <w:p>
      <w:pPr>
        <w:widowControl w:val="0"/>
        <w:wordWrap/>
        <w:adjustRightInd/>
        <w:snapToGrid/>
        <w:spacing w:line="560" w:lineRule="exact"/>
        <w:ind w:firstLine="640" w:firstLineChars="200"/>
        <w:textAlignment w:val="auto"/>
        <w:rPr>
          <w:rStyle w:val="9"/>
          <w:rFonts w:ascii="楷体_GB2312" w:eastAsia="楷体_GB2312"/>
          <w:color w:val="auto"/>
          <w:spacing w:val="0"/>
          <w:szCs w:val="32"/>
          <w:u w:val="none"/>
        </w:rPr>
      </w:pPr>
      <w:r>
        <w:rPr>
          <w:rStyle w:val="9"/>
          <w:rFonts w:hint="eastAsia" w:ascii="楷体_GB2312" w:eastAsia="楷体_GB2312"/>
          <w:color w:val="auto"/>
          <w:spacing w:val="0"/>
          <w:szCs w:val="32"/>
          <w:u w:val="none"/>
          <w:lang w:val="en-US" w:eastAsia="zh-CN"/>
        </w:rPr>
        <w:t xml:space="preserve">    </w:t>
      </w:r>
      <w:r>
        <w:rPr>
          <w:rStyle w:val="9"/>
          <w:rFonts w:hint="eastAsia" w:ascii="楷体_GB2312" w:eastAsia="楷体_GB2312"/>
          <w:color w:val="auto"/>
          <w:spacing w:val="0"/>
          <w:szCs w:val="32"/>
          <w:u w:val="none"/>
        </w:rPr>
        <w:t>第一节</w:t>
      </w:r>
      <w:r>
        <w:rPr>
          <w:rStyle w:val="9"/>
          <w:rFonts w:hint="eastAsia" w:ascii="楷体_GB2312" w:eastAsia="楷体_GB2312"/>
          <w:color w:val="auto"/>
          <w:spacing w:val="0"/>
          <w:szCs w:val="32"/>
          <w:u w:val="none"/>
          <w:lang w:val="en-US" w:eastAsia="zh-CN"/>
        </w:rPr>
        <w:t xml:space="preserve">  </w:t>
      </w:r>
      <w:r>
        <w:rPr>
          <w:rStyle w:val="9"/>
          <w:rFonts w:hint="eastAsia" w:ascii="楷体_GB2312" w:eastAsia="楷体_GB2312"/>
          <w:color w:val="auto"/>
          <w:spacing w:val="0"/>
          <w:szCs w:val="32"/>
          <w:u w:val="none"/>
        </w:rPr>
        <w:t>鼓励与倡导</w:t>
      </w:r>
    </w:p>
    <w:p>
      <w:pPr>
        <w:widowControl w:val="0"/>
        <w:wordWrap/>
        <w:adjustRightInd/>
        <w:snapToGrid/>
        <w:spacing w:line="560" w:lineRule="exact"/>
        <w:ind w:firstLine="640" w:firstLineChars="200"/>
        <w:textAlignment w:val="auto"/>
        <w:rPr>
          <w:rStyle w:val="9"/>
          <w:rFonts w:ascii="楷体_GB2312" w:eastAsia="楷体_GB2312"/>
          <w:color w:val="auto"/>
          <w:spacing w:val="0"/>
          <w:szCs w:val="32"/>
          <w:u w:val="none"/>
        </w:rPr>
      </w:pPr>
      <w:r>
        <w:rPr>
          <w:rStyle w:val="9"/>
          <w:rFonts w:hint="eastAsia" w:ascii="楷体_GB2312" w:eastAsia="楷体_GB2312"/>
          <w:color w:val="auto"/>
          <w:spacing w:val="0"/>
          <w:szCs w:val="32"/>
          <w:u w:val="none"/>
          <w:lang w:val="en-US" w:eastAsia="zh-CN"/>
        </w:rPr>
        <w:t xml:space="preserve">    </w:t>
      </w:r>
      <w:r>
        <w:rPr>
          <w:rStyle w:val="9"/>
          <w:rFonts w:hint="eastAsia" w:ascii="楷体_GB2312" w:eastAsia="楷体_GB2312"/>
          <w:color w:val="auto"/>
          <w:spacing w:val="0"/>
          <w:szCs w:val="32"/>
          <w:u w:val="none"/>
        </w:rPr>
        <w:t>第二节</w:t>
      </w:r>
      <w:r>
        <w:rPr>
          <w:rStyle w:val="9"/>
          <w:rFonts w:hint="eastAsia" w:ascii="楷体_GB2312" w:eastAsia="楷体_GB2312"/>
          <w:color w:val="auto"/>
          <w:spacing w:val="0"/>
          <w:szCs w:val="32"/>
          <w:u w:val="none"/>
          <w:lang w:val="en-US" w:eastAsia="zh-CN"/>
        </w:rPr>
        <w:t xml:space="preserve">  </w:t>
      </w:r>
      <w:bookmarkStart w:id="19" w:name="_GoBack"/>
      <w:bookmarkEnd w:id="19"/>
      <w:r>
        <w:rPr>
          <w:rFonts w:hint="eastAsia" w:ascii="楷体_GB2312" w:hAnsi="楷体_GB2312" w:eastAsia="楷体_GB2312" w:cs="楷体_GB2312"/>
          <w:bCs/>
          <w:spacing w:val="6"/>
          <w:szCs w:val="32"/>
        </w:rPr>
        <w:t>禁止与重点治理</w:t>
      </w:r>
    </w:p>
    <w:p>
      <w:pPr>
        <w:widowControl w:val="0"/>
        <w:wordWrap/>
        <w:adjustRightInd/>
        <w:snapToGrid/>
        <w:spacing w:line="560" w:lineRule="exact"/>
        <w:ind w:firstLine="640" w:firstLineChars="200"/>
        <w:textAlignment w:val="auto"/>
        <w:rPr>
          <w:rStyle w:val="9"/>
          <w:rFonts w:ascii="楷体_GB2312" w:eastAsia="楷体_GB2312"/>
          <w:color w:val="auto"/>
          <w:spacing w:val="0"/>
          <w:szCs w:val="32"/>
          <w:u w:val="none"/>
        </w:rPr>
      </w:pPr>
      <w:r>
        <w:rPr>
          <w:rStyle w:val="9"/>
          <w:rFonts w:hint="eastAsia" w:ascii="楷体_GB2312" w:eastAsia="楷体_GB2312"/>
          <w:color w:val="auto"/>
          <w:spacing w:val="0"/>
          <w:szCs w:val="32"/>
          <w:u w:val="none"/>
        </w:rPr>
        <w:t>第三章</w:t>
      </w:r>
      <w:r>
        <w:rPr>
          <w:rStyle w:val="9"/>
          <w:rFonts w:hint="eastAsia" w:ascii="楷体_GB2312" w:eastAsia="楷体_GB2312"/>
          <w:color w:val="auto"/>
          <w:spacing w:val="0"/>
          <w:szCs w:val="32"/>
          <w:u w:val="none"/>
          <w:lang w:val="en-US" w:eastAsia="zh-CN"/>
        </w:rPr>
        <w:t xml:space="preserve">  </w:t>
      </w:r>
      <w:r>
        <w:rPr>
          <w:rStyle w:val="9"/>
          <w:rFonts w:hint="eastAsia" w:ascii="楷体_GB2312" w:eastAsia="楷体_GB2312"/>
          <w:color w:val="auto"/>
          <w:spacing w:val="0"/>
          <w:szCs w:val="32"/>
          <w:u w:val="none"/>
        </w:rPr>
        <w:t>实施与保障</w:t>
      </w:r>
    </w:p>
    <w:p>
      <w:pPr>
        <w:widowControl w:val="0"/>
        <w:wordWrap/>
        <w:adjustRightInd/>
        <w:snapToGrid/>
        <w:spacing w:line="560" w:lineRule="exact"/>
        <w:ind w:firstLine="640" w:firstLineChars="200"/>
        <w:textAlignment w:val="auto"/>
        <w:rPr>
          <w:rStyle w:val="9"/>
          <w:rFonts w:hint="eastAsia" w:ascii="楷体_GB2312" w:eastAsia="楷体_GB2312"/>
          <w:color w:val="auto"/>
          <w:spacing w:val="0"/>
          <w:szCs w:val="32"/>
          <w:u w:val="none"/>
        </w:rPr>
      </w:pPr>
      <w:r>
        <w:rPr>
          <w:rStyle w:val="9"/>
          <w:rFonts w:hint="eastAsia" w:ascii="楷体_GB2312" w:eastAsia="楷体_GB2312"/>
          <w:color w:val="auto"/>
          <w:spacing w:val="0"/>
          <w:szCs w:val="32"/>
          <w:u w:val="none"/>
        </w:rPr>
        <w:t>第四章</w:t>
      </w:r>
      <w:r>
        <w:rPr>
          <w:rStyle w:val="9"/>
          <w:rFonts w:hint="eastAsia" w:ascii="楷体_GB2312" w:eastAsia="楷体_GB2312"/>
          <w:color w:val="auto"/>
          <w:spacing w:val="0"/>
          <w:szCs w:val="32"/>
          <w:u w:val="none"/>
          <w:lang w:val="en-US" w:eastAsia="zh-CN"/>
        </w:rPr>
        <w:t xml:space="preserve">  </w:t>
      </w:r>
      <w:r>
        <w:rPr>
          <w:rStyle w:val="9"/>
          <w:rFonts w:hint="eastAsia" w:ascii="楷体_GB2312" w:eastAsia="楷体_GB2312"/>
          <w:color w:val="auto"/>
          <w:spacing w:val="0"/>
          <w:szCs w:val="32"/>
          <w:u w:val="none"/>
        </w:rPr>
        <w:t>法律责任</w:t>
      </w:r>
    </w:p>
    <w:p>
      <w:pPr>
        <w:widowControl w:val="0"/>
        <w:wordWrap/>
        <w:adjustRightInd/>
        <w:snapToGrid/>
        <w:spacing w:line="560" w:lineRule="exact"/>
        <w:ind w:firstLine="640" w:firstLineChars="200"/>
        <w:textAlignment w:val="auto"/>
        <w:rPr>
          <w:rStyle w:val="9"/>
          <w:rFonts w:hint="eastAsia" w:ascii="宋体" w:hAnsi="宋体" w:eastAsia="宋体" w:cs="宋体"/>
          <w:color w:val="auto"/>
          <w:spacing w:val="0"/>
          <w:szCs w:val="32"/>
          <w:u w:val="none"/>
        </w:rPr>
      </w:pPr>
      <w:r>
        <w:rPr>
          <w:rStyle w:val="9"/>
          <w:rFonts w:hint="eastAsia" w:ascii="楷体_GB2312" w:eastAsia="楷体_GB2312"/>
          <w:color w:val="auto"/>
          <w:spacing w:val="0"/>
          <w:szCs w:val="32"/>
          <w:u w:val="none"/>
        </w:rPr>
        <w:t>第五章</w:t>
      </w:r>
      <w:r>
        <w:rPr>
          <w:rStyle w:val="9"/>
          <w:rFonts w:hint="eastAsia" w:ascii="楷体_GB2312" w:eastAsia="楷体_GB2312"/>
          <w:color w:val="auto"/>
          <w:spacing w:val="0"/>
          <w:szCs w:val="32"/>
          <w:u w:val="none"/>
          <w:lang w:val="en-US" w:eastAsia="zh-CN"/>
        </w:rPr>
        <w:t xml:space="preserve">  </w:t>
      </w:r>
      <w:r>
        <w:rPr>
          <w:rStyle w:val="9"/>
          <w:rFonts w:hint="eastAsia" w:ascii="楷体_GB2312" w:eastAsia="楷体_GB2312"/>
          <w:color w:val="auto"/>
          <w:spacing w:val="0"/>
          <w:szCs w:val="32"/>
          <w:u w:val="none"/>
        </w:rPr>
        <w:t>附则</w:t>
      </w:r>
      <w:r>
        <w:rPr>
          <w:rStyle w:val="9"/>
          <w:rFonts w:hint="eastAsia" w:ascii="楷体_GB2312" w:eastAsia="楷体_GB2312"/>
          <w:color w:val="auto"/>
          <w:spacing w:val="0"/>
          <w:szCs w:val="32"/>
          <w:u w:val="none"/>
        </w:rPr>
        <w:br/>
      </w:r>
    </w:p>
    <w:p>
      <w:pPr>
        <w:numPr>
          <w:numId w:val="0"/>
        </w:numPr>
        <w:wordWrap/>
        <w:adjustRightInd/>
        <w:snapToGrid/>
        <w:spacing w:line="560" w:lineRule="exact"/>
        <w:jc w:val="center"/>
        <w:textAlignment w:val="auto"/>
        <w:rPr>
          <w:rFonts w:hint="eastAsia" w:ascii="黑体" w:hAnsi="黑体" w:eastAsia="黑体" w:cs="黑体"/>
          <w:szCs w:val="32"/>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wordWrap/>
        <w:adjustRightInd/>
        <w:snapToGrid/>
        <w:spacing w:line="560" w:lineRule="exact"/>
        <w:textAlignment w:val="auto"/>
        <w:rPr>
          <w:rFonts w:hint="eastAsia" w:ascii="宋体" w:hAnsi="宋体" w:eastAsia="宋体" w:cs="宋体"/>
          <w:szCs w:val="32"/>
        </w:rPr>
      </w:pPr>
    </w:p>
    <w:p>
      <w:pPr>
        <w:wordWrap/>
        <w:adjustRightInd/>
        <w:snapToGrid/>
        <w:spacing w:line="560" w:lineRule="exact"/>
        <w:ind w:firstLine="545" w:firstLineChars="177"/>
        <w:textAlignment w:val="auto"/>
        <w:rPr>
          <w:rFonts w:hint="eastAsia" w:ascii="仿宋_GB2312" w:hAnsi="仿宋"/>
          <w:color w:val="000000"/>
          <w:szCs w:val="32"/>
        </w:rPr>
      </w:pPr>
      <w:r>
        <w:rPr>
          <w:rFonts w:hint="eastAsia" w:ascii="黑体" w:hAnsi="黑体" w:eastAsia="黑体" w:cs="黑体"/>
          <w:color w:val="000000"/>
          <w:szCs w:val="32"/>
        </w:rPr>
        <w:t>第一条</w:t>
      </w:r>
      <w:bookmarkStart w:id="0" w:name="tiao_1_kuan_1"/>
      <w:bookmarkEnd w:id="0"/>
      <w:r>
        <w:rPr>
          <w:rFonts w:hint="eastAsia" w:ascii="黑体" w:hAnsi="黑体" w:eastAsia="黑体" w:cs="黑体"/>
          <w:color w:val="000000"/>
          <w:szCs w:val="32"/>
          <w:lang w:val="en-US" w:eastAsia="zh-CN"/>
        </w:rPr>
        <w:t xml:space="preserve">  </w:t>
      </w:r>
      <w:r>
        <w:rPr>
          <w:rFonts w:hint="eastAsia" w:ascii="仿宋_GB2312" w:hAnsi="仿宋"/>
          <w:color w:val="000000"/>
          <w:szCs w:val="32"/>
        </w:rPr>
        <w:t>为了培育和践行社会主义核心价值观，传承和弘扬中华传统美德，引导和促进文明行为，提升公民文明素养和社会文明程度，根据有关法律、法规的规定，结合本市实际，制定本条例。</w:t>
      </w:r>
      <w:bookmarkStart w:id="1" w:name="tiao_2"/>
      <w:bookmarkEnd w:id="1"/>
    </w:p>
    <w:p>
      <w:pPr>
        <w:wordWrap/>
        <w:adjustRightInd/>
        <w:snapToGrid/>
        <w:spacing w:line="560" w:lineRule="exact"/>
        <w:ind w:firstLine="570"/>
        <w:textAlignment w:val="auto"/>
        <w:rPr>
          <w:rFonts w:ascii="仿宋_GB2312" w:hAnsi="仿宋"/>
          <w:color w:val="000000"/>
          <w:szCs w:val="32"/>
        </w:rPr>
      </w:pPr>
      <w:r>
        <w:rPr>
          <w:rFonts w:hint="eastAsia" w:ascii="黑体" w:hAnsi="黑体" w:eastAsia="黑体" w:cs="黑体"/>
          <w:color w:val="000000"/>
          <w:szCs w:val="32"/>
        </w:rPr>
        <w:t>第二条</w:t>
      </w:r>
      <w:bookmarkStart w:id="2" w:name="tiao_2_kuan_1"/>
      <w:bookmarkEnd w:id="2"/>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本市行政区域内的文明行为促进活动，适用本条例。</w:t>
      </w:r>
      <w:bookmarkStart w:id="3" w:name="tiao_3"/>
      <w:bookmarkEnd w:id="3"/>
    </w:p>
    <w:p>
      <w:pPr>
        <w:wordWrap/>
        <w:adjustRightInd/>
        <w:snapToGrid/>
        <w:spacing w:line="560" w:lineRule="exact"/>
        <w:ind w:firstLine="570"/>
        <w:textAlignment w:val="auto"/>
        <w:rPr>
          <w:rFonts w:ascii="仿宋_GB2312" w:hAnsi="仿宋"/>
          <w:color w:val="000000"/>
          <w:szCs w:val="32"/>
        </w:rPr>
      </w:pPr>
      <w:r>
        <w:rPr>
          <w:rFonts w:hint="eastAsia" w:ascii="黑体" w:hAnsi="黑体" w:eastAsia="黑体" w:cs="黑体"/>
          <w:color w:val="000000"/>
          <w:szCs w:val="32"/>
        </w:rPr>
        <w:t>第三条</w:t>
      </w:r>
      <w:bookmarkStart w:id="4" w:name="tiao_5_kuan_1"/>
      <w:bookmarkEnd w:id="4"/>
      <w:bookmarkStart w:id="5" w:name="tiao_5_kuan_2"/>
      <w:bookmarkEnd w:id="5"/>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市、县（市、区）精神文明建设指导委员会统筹推进本行政区域内的文明行为促进工作。</w:t>
      </w:r>
    </w:p>
    <w:p>
      <w:pPr>
        <w:wordWrap/>
        <w:adjustRightInd/>
        <w:snapToGrid/>
        <w:spacing w:line="560" w:lineRule="exact"/>
        <w:ind w:firstLine="570"/>
        <w:textAlignment w:val="auto"/>
        <w:rPr>
          <w:rFonts w:hint="eastAsia" w:ascii="仿宋_GB2312" w:hAnsi="仿宋"/>
          <w:color w:val="000000"/>
          <w:szCs w:val="32"/>
        </w:rPr>
      </w:pPr>
      <w:r>
        <w:rPr>
          <w:rFonts w:hint="eastAsia" w:ascii="仿宋_GB2312" w:hAnsi="仿宋"/>
          <w:color w:val="000000"/>
          <w:szCs w:val="32"/>
        </w:rPr>
        <w:t>市、县（市、区）精神文明建设指导委员会办事机构具体负责本行政区域内文明行为促进工作的指导协调、督促检查、评估考核工作。</w:t>
      </w:r>
      <w:bookmarkStart w:id="6" w:name="tiao_6"/>
      <w:bookmarkEnd w:id="6"/>
      <w:bookmarkStart w:id="7" w:name="tiao_5_kuan_3"/>
      <w:bookmarkEnd w:id="7"/>
    </w:p>
    <w:p>
      <w:pPr>
        <w:wordWrap/>
        <w:adjustRightInd/>
        <w:snapToGrid/>
        <w:spacing w:line="560" w:lineRule="exact"/>
        <w:ind w:firstLine="570"/>
        <w:textAlignment w:val="auto"/>
        <w:rPr>
          <w:rFonts w:ascii="仿宋_GB2312" w:hAnsi="仿宋"/>
          <w:color w:val="000000"/>
          <w:szCs w:val="32"/>
        </w:rPr>
      </w:pPr>
      <w:r>
        <w:rPr>
          <w:rFonts w:hint="eastAsia" w:ascii="黑体" w:hAnsi="黑体" w:eastAsia="黑体" w:cs="黑体"/>
          <w:color w:val="000000"/>
          <w:szCs w:val="32"/>
        </w:rPr>
        <w:t>第四条</w:t>
      </w:r>
      <w:bookmarkStart w:id="8" w:name="tiao_6_kuan_1"/>
      <w:bookmarkEnd w:id="8"/>
      <w:r>
        <w:rPr>
          <w:rFonts w:hint="eastAsia" w:ascii="黑体" w:hAnsi="黑体" w:eastAsia="黑体" w:cs="黑体"/>
          <w:color w:val="000000"/>
          <w:szCs w:val="32"/>
          <w:lang w:val="en-US" w:eastAsia="zh-CN"/>
        </w:rPr>
        <w:t xml:space="preserve"> </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市、县（市、区）人民政府应当将文明行为促进工作纳入国民经济和社会发展规划，所需经费列入财政预算，</w:t>
      </w:r>
      <w:r>
        <w:rPr>
          <w:rFonts w:ascii="仿宋_GB2312" w:hAnsi="仿宋"/>
          <w:color w:val="000000"/>
          <w:szCs w:val="32"/>
        </w:rPr>
        <w:t>制定相关政策措施，</w:t>
      </w:r>
      <w:r>
        <w:rPr>
          <w:rFonts w:hint="eastAsia" w:ascii="仿宋_GB2312" w:hAnsi="仿宋"/>
          <w:color w:val="000000"/>
          <w:szCs w:val="32"/>
        </w:rPr>
        <w:t>推动文明行为促进活动与</w:t>
      </w:r>
      <w:r>
        <w:rPr>
          <w:rFonts w:ascii="仿宋_GB2312" w:hAnsi="仿宋"/>
          <w:color w:val="000000"/>
          <w:szCs w:val="32"/>
        </w:rPr>
        <w:t>经济社会协调发展</w:t>
      </w:r>
      <w:r>
        <w:rPr>
          <w:rFonts w:hint="eastAsia" w:ascii="仿宋_GB2312" w:hAnsi="仿宋"/>
          <w:color w:val="000000"/>
          <w:szCs w:val="32"/>
        </w:rPr>
        <w:t>。</w:t>
      </w:r>
    </w:p>
    <w:p>
      <w:pPr>
        <w:wordWrap/>
        <w:adjustRightInd/>
        <w:snapToGrid/>
        <w:spacing w:line="560" w:lineRule="exact"/>
        <w:ind w:firstLine="570"/>
        <w:textAlignment w:val="auto"/>
        <w:rPr>
          <w:rFonts w:ascii="仿宋_GB2312" w:hAnsi="仿宋"/>
          <w:color w:val="000000"/>
          <w:szCs w:val="32"/>
        </w:rPr>
      </w:pPr>
      <w:r>
        <w:rPr>
          <w:rFonts w:hint="eastAsia" w:ascii="仿宋_GB2312" w:hAnsi="仿宋"/>
          <w:color w:val="000000"/>
          <w:szCs w:val="32"/>
        </w:rPr>
        <w:t>市、县（市、区）人民政府相关职能部门应当按照各自职责做好文明行为促进工作。</w:t>
      </w:r>
    </w:p>
    <w:p>
      <w:pPr>
        <w:wordWrap/>
        <w:adjustRightInd/>
        <w:snapToGrid/>
        <w:spacing w:line="560" w:lineRule="exact"/>
        <w:ind w:firstLine="570"/>
        <w:textAlignment w:val="auto"/>
        <w:rPr>
          <w:rFonts w:ascii="仿宋_GB2312" w:hAnsi="仿宋"/>
          <w:color w:val="000000"/>
          <w:szCs w:val="32"/>
        </w:rPr>
      </w:pPr>
      <w:r>
        <w:rPr>
          <w:rFonts w:hint="eastAsia" w:ascii="仿宋_GB2312" w:hAnsi="仿宋"/>
          <w:color w:val="000000"/>
          <w:szCs w:val="32"/>
        </w:rPr>
        <w:t>乡（镇）人民政府、街道办事处应当按照市、县（市、区）精神文明建设指导委员会的统筹部署，做好本行政区域（辖区）内的文明行为的宣传、落实等工作。</w:t>
      </w:r>
    </w:p>
    <w:p>
      <w:pPr>
        <w:wordWrap/>
        <w:adjustRightInd/>
        <w:snapToGrid/>
        <w:spacing w:line="560" w:lineRule="exact"/>
        <w:ind w:firstLine="570"/>
        <w:textAlignment w:val="auto"/>
        <w:rPr>
          <w:rFonts w:ascii="仿宋_GB2312" w:hAnsi="仿宋"/>
          <w:color w:val="000000"/>
          <w:szCs w:val="32"/>
        </w:rPr>
      </w:pPr>
      <w:r>
        <w:rPr>
          <w:rFonts w:hint="eastAsia" w:ascii="仿宋_GB2312" w:hAnsi="仿宋"/>
          <w:color w:val="000000"/>
          <w:szCs w:val="32"/>
        </w:rPr>
        <w:t>居（村）民委员会应当加强对文明行为的宣传和引导，协助开展文明行为促进工作。</w:t>
      </w:r>
    </w:p>
    <w:p>
      <w:pPr>
        <w:wordWrap/>
        <w:adjustRightInd/>
        <w:snapToGrid/>
        <w:spacing w:line="560" w:lineRule="exact"/>
        <w:ind w:firstLine="616" w:firstLineChars="200"/>
        <w:jc w:val="left"/>
        <w:textAlignment w:val="auto"/>
        <w:rPr>
          <w:rFonts w:hint="eastAsia" w:ascii="仿宋_GB2312" w:hAnsi="仿宋"/>
          <w:color w:val="000000"/>
          <w:szCs w:val="32"/>
        </w:rPr>
      </w:pPr>
      <w:r>
        <w:rPr>
          <w:rFonts w:hint="eastAsia" w:ascii="黑体" w:hAnsi="黑体" w:eastAsia="黑体" w:cs="黑体"/>
          <w:color w:val="000000"/>
          <w:szCs w:val="32"/>
        </w:rPr>
        <w:t>第五条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市、县（市、区）人民政府及</w:t>
      </w:r>
      <w:r>
        <w:rPr>
          <w:rFonts w:hint="eastAsia" w:ascii="仿宋_GB2312" w:hAnsi="仿宋"/>
          <w:color w:val="000000"/>
          <w:szCs w:val="32"/>
          <w:lang w:eastAsia="zh-CN"/>
        </w:rPr>
        <w:t>其</w:t>
      </w:r>
      <w:r>
        <w:rPr>
          <w:rFonts w:hint="eastAsia" w:ascii="仿宋_GB2312" w:hAnsi="仿宋"/>
          <w:color w:val="000000"/>
          <w:szCs w:val="32"/>
        </w:rPr>
        <w:t>有关部门、精神文明建设指导委员会办事机构应当组织和开展文明城市、文明村镇、文明单位、文明家庭、文明校园创建活动；根据有关规定，建立健全见义勇为、慈善公益、志愿服务活动的权益保障和激励机制，鼓励和支持个人做道德模范、身边好人等先进典型，对表现突出的单位和个人予以表彰、奖励。</w:t>
      </w:r>
    </w:p>
    <w:p>
      <w:pPr>
        <w:wordWrap/>
        <w:adjustRightInd/>
        <w:snapToGrid/>
        <w:spacing w:line="560" w:lineRule="exact"/>
        <w:ind w:firstLine="570"/>
        <w:jc w:val="left"/>
        <w:textAlignment w:val="auto"/>
        <w:rPr>
          <w:rFonts w:ascii="仿宋_GB2312" w:hAnsi="仿宋"/>
          <w:color w:val="000000"/>
          <w:szCs w:val="32"/>
        </w:rPr>
      </w:pPr>
      <w:r>
        <w:rPr>
          <w:rFonts w:hint="eastAsia" w:ascii="黑体" w:hAnsi="黑体" w:eastAsia="黑体" w:cs="黑体"/>
          <w:color w:val="000000"/>
          <w:szCs w:val="32"/>
        </w:rPr>
        <w:t>第六条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文明行为促进是全社会的共同责任。</w:t>
      </w:r>
    </w:p>
    <w:p>
      <w:pPr>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国家机关应当在文明行为促进活动中发挥示范作用，加强对本机关工作人员文明行为的规范、培训和监督。</w:t>
      </w:r>
    </w:p>
    <w:p>
      <w:pPr>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国家工作人员、人大代表、政协委员、先进模范等应当在文明行为促进活动中发挥表率作用。</w:t>
      </w:r>
    </w:p>
    <w:p>
      <w:pPr>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企业事业单位、社会团体、其他组织和个人应当支持和参与文明行为促进活动，有权对文明行为促进活动提出意见和建议。</w:t>
      </w:r>
    </w:p>
    <w:p>
      <w:pPr>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任何单位和个人有权对不文明行为进行劝诫、举报和投诉，对不履行文明行为促进工作职责的情况予以反映。</w:t>
      </w:r>
    </w:p>
    <w:p>
      <w:pPr>
        <w:tabs>
          <w:tab w:val="left" w:pos="3716"/>
        </w:tabs>
        <w:wordWrap/>
        <w:adjustRightInd/>
        <w:snapToGrid/>
        <w:spacing w:line="560" w:lineRule="exact"/>
        <w:jc w:val="both"/>
        <w:textAlignment w:val="auto"/>
        <w:rPr>
          <w:rFonts w:hint="eastAsia" w:ascii="宋体" w:hAnsi="宋体" w:eastAsia="宋体" w:cs="宋体"/>
          <w:color w:val="000000"/>
          <w:szCs w:val="32"/>
        </w:rPr>
      </w:pPr>
    </w:p>
    <w:p>
      <w:pPr>
        <w:tabs>
          <w:tab w:val="left" w:pos="3716"/>
        </w:tabs>
        <w:wordWrap/>
        <w:adjustRightInd/>
        <w:snapToGrid/>
        <w:spacing w:line="560" w:lineRule="exact"/>
        <w:jc w:val="center"/>
        <w:textAlignment w:val="auto"/>
        <w:rPr>
          <w:rFonts w:ascii="黑体" w:hAnsi="黑体" w:eastAsia="黑体" w:cs="黑体"/>
          <w:dstrike/>
          <w:color w:val="000000"/>
          <w:szCs w:val="32"/>
        </w:rPr>
      </w:pPr>
      <w:r>
        <w:rPr>
          <w:rFonts w:hint="eastAsia" w:ascii="黑体" w:hAnsi="黑体" w:eastAsia="黑体" w:cs="黑体"/>
          <w:color w:val="000000"/>
          <w:szCs w:val="32"/>
        </w:rPr>
        <w:t xml:space="preserve">第二章  </w:t>
      </w:r>
      <w:bookmarkStart w:id="9" w:name="tiao_7"/>
      <w:bookmarkEnd w:id="9"/>
      <w:r>
        <w:rPr>
          <w:rFonts w:hint="eastAsia" w:ascii="黑体" w:hAnsi="黑体" w:eastAsia="黑体" w:cs="黑体"/>
          <w:color w:val="000000"/>
          <w:szCs w:val="32"/>
        </w:rPr>
        <w:t>文明行为规范</w:t>
      </w:r>
    </w:p>
    <w:p>
      <w:pPr>
        <w:wordWrap/>
        <w:adjustRightInd/>
        <w:snapToGrid/>
        <w:spacing w:line="560" w:lineRule="exact"/>
        <w:jc w:val="center"/>
        <w:textAlignment w:val="auto"/>
        <w:rPr>
          <w:rFonts w:hint="eastAsia" w:ascii="宋体" w:hAnsi="宋体" w:eastAsia="宋体" w:cs="宋体"/>
          <w:color w:val="000000"/>
          <w:szCs w:val="32"/>
        </w:rPr>
      </w:pPr>
    </w:p>
    <w:p>
      <w:pPr>
        <w:wordWrap/>
        <w:adjustRightInd/>
        <w:snapToGrid/>
        <w:spacing w:line="560" w:lineRule="exact"/>
        <w:jc w:val="center"/>
        <w:textAlignment w:val="auto"/>
        <w:rPr>
          <w:rFonts w:hint="eastAsia" w:ascii="楷体_GB2312" w:hAnsi="黑体" w:eastAsia="楷体_GB2312" w:cs="楷体_GB2312"/>
          <w:color w:val="000000"/>
          <w:szCs w:val="32"/>
        </w:rPr>
      </w:pPr>
      <w:r>
        <w:rPr>
          <w:rFonts w:hint="eastAsia" w:ascii="楷体_GB2312" w:hAnsi="黑体" w:eastAsia="楷体_GB2312" w:cs="楷体_GB2312"/>
          <w:color w:val="000000"/>
          <w:szCs w:val="32"/>
        </w:rPr>
        <w:t>第一节  鼓励与倡导</w:t>
      </w:r>
    </w:p>
    <w:p>
      <w:pPr>
        <w:wordWrap/>
        <w:adjustRightInd/>
        <w:snapToGrid/>
        <w:spacing w:line="560" w:lineRule="exact"/>
        <w:ind w:firstLine="616" w:firstLineChars="200"/>
        <w:textAlignment w:val="auto"/>
        <w:rPr>
          <w:rFonts w:hint="eastAsia" w:ascii="宋体" w:hAnsi="宋体" w:eastAsia="宋体" w:cs="宋体"/>
          <w:color w:val="000000"/>
          <w:szCs w:val="32"/>
        </w:rPr>
      </w:pPr>
    </w:p>
    <w:p>
      <w:pPr>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第七条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国家机关、企业事业单位、社会团体、其他组织和个人应当遵守法律、法规，恪守社会公德、职业道德、家庭美德和个人品德，维护社会公序良俗。</w:t>
      </w:r>
    </w:p>
    <w:p>
      <w:pPr>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第八条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支持和鼓励下列文明行为：</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（一）见义勇为；</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（二）拾金不昧；</w:t>
      </w:r>
    </w:p>
    <w:p>
      <w:pPr>
        <w:wordWrap/>
        <w:adjustRightInd/>
        <w:snapToGrid/>
        <w:spacing w:line="560" w:lineRule="exact"/>
        <w:ind w:firstLine="616" w:firstLineChars="200"/>
        <w:textAlignment w:val="auto"/>
        <w:rPr>
          <w:rFonts w:hint="eastAsia" w:ascii="仿宋_GB2312" w:hAnsi="仿宋_GB2312" w:eastAsia="仿宋_GB2312" w:cs="仿宋_GB2312"/>
          <w:color w:val="000000"/>
          <w:szCs w:val="32"/>
        </w:rPr>
      </w:pPr>
      <w:r>
        <w:rPr>
          <w:rFonts w:hint="eastAsia" w:ascii="仿宋_GB2312" w:hAnsi="仿宋"/>
          <w:color w:val="000000"/>
          <w:szCs w:val="32"/>
        </w:rPr>
        <w:t>（三）无偿献血，无偿</w:t>
      </w:r>
      <w:r>
        <w:rPr>
          <w:rFonts w:hint="eastAsia" w:ascii="仿宋_GB2312" w:hAnsi="仿宋_GB2312" w:eastAsia="仿宋_GB2312" w:cs="仿宋_GB2312"/>
          <w:color w:val="000000"/>
          <w:szCs w:val="32"/>
        </w:rPr>
        <w:t>捐献</w:t>
      </w:r>
      <w:r>
        <w:rPr>
          <w:rFonts w:hint="eastAsia" w:ascii="仿宋_GB2312" w:hAnsi="仿宋_GB2312" w:eastAsia="仿宋_GB2312" w:cs="仿宋_GB2312"/>
          <w:szCs w:val="32"/>
        </w:rPr>
        <w:t>人体细胞、人体组织、人体器官、遗体</w:t>
      </w:r>
      <w:r>
        <w:rPr>
          <w:rFonts w:hint="eastAsia" w:ascii="仿宋_GB2312" w:hAnsi="仿宋_GB2312" w:eastAsia="仿宋_GB2312" w:cs="仿宋_GB2312"/>
          <w:color w:val="000000"/>
          <w:szCs w:val="32"/>
        </w:rPr>
        <w:t>；</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（四）参与志愿服务、慈善公益活动。</w:t>
      </w:r>
    </w:p>
    <w:p>
      <w:pPr>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第九条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倡导维护公共秩序，遵守下列行为规范：</w:t>
      </w:r>
    </w:p>
    <w:p>
      <w:pPr>
        <w:wordWrap/>
        <w:adjustRightInd/>
        <w:snapToGrid/>
        <w:spacing w:line="560" w:lineRule="exact"/>
        <w:ind w:firstLine="616" w:firstLineChars="200"/>
        <w:jc w:val="left"/>
        <w:textAlignment w:val="auto"/>
        <w:rPr>
          <w:rFonts w:ascii="仿宋_GB2312" w:hAnsi="仿宋"/>
          <w:color w:val="000000"/>
          <w:szCs w:val="32"/>
        </w:rPr>
      </w:pPr>
      <w:r>
        <w:rPr>
          <w:rFonts w:hint="eastAsia" w:ascii="仿宋_GB2312" w:hAnsi="仿宋"/>
          <w:color w:val="000000"/>
          <w:szCs w:val="32"/>
        </w:rPr>
        <w:t>（一）在公共场所衣着整洁，言行得体；</w:t>
      </w:r>
    </w:p>
    <w:p>
      <w:pPr>
        <w:wordWrap/>
        <w:adjustRightInd/>
        <w:snapToGrid/>
        <w:spacing w:line="560" w:lineRule="exact"/>
        <w:ind w:firstLine="616" w:firstLineChars="200"/>
        <w:jc w:val="left"/>
        <w:textAlignment w:val="auto"/>
        <w:rPr>
          <w:rFonts w:ascii="仿宋_GB2312" w:hAnsi="仿宋"/>
          <w:color w:val="000000"/>
          <w:szCs w:val="32"/>
        </w:rPr>
      </w:pPr>
      <w:r>
        <w:rPr>
          <w:rFonts w:hint="eastAsia" w:ascii="仿宋_GB2312" w:hAnsi="仿宋"/>
          <w:color w:val="000000"/>
          <w:szCs w:val="32"/>
        </w:rPr>
        <w:t>（二）文明就医，尊重医护人员，遵守公共医疗秩序；</w:t>
      </w:r>
    </w:p>
    <w:p>
      <w:pPr>
        <w:wordWrap/>
        <w:adjustRightInd/>
        <w:snapToGrid/>
        <w:spacing w:line="560" w:lineRule="exact"/>
        <w:ind w:firstLine="616" w:firstLineChars="200"/>
        <w:jc w:val="left"/>
        <w:textAlignment w:val="auto"/>
        <w:rPr>
          <w:rFonts w:ascii="仿宋_GB2312" w:hAnsi="仿宋"/>
          <w:color w:val="000000"/>
          <w:szCs w:val="32"/>
        </w:rPr>
      </w:pPr>
      <w:r>
        <w:rPr>
          <w:rFonts w:hint="eastAsia" w:ascii="仿宋_GB2312" w:hAnsi="仿宋"/>
          <w:color w:val="000000"/>
          <w:szCs w:val="32"/>
        </w:rPr>
        <w:t>（三）市场消费、等候服务、上下楼梯、搭乘电梯依次排队，</w:t>
      </w:r>
      <w:r>
        <w:rPr>
          <w:rFonts w:ascii="仿宋_GB2312" w:hAnsi="仿宋"/>
          <w:color w:val="000000"/>
          <w:szCs w:val="32"/>
        </w:rPr>
        <w:t>有序礼让</w:t>
      </w:r>
      <w:r>
        <w:rPr>
          <w:rFonts w:hint="eastAsia" w:ascii="仿宋_GB2312" w:hAnsi="仿宋"/>
          <w:color w:val="000000"/>
          <w:szCs w:val="32"/>
        </w:rPr>
        <w:t>；</w:t>
      </w:r>
    </w:p>
    <w:p>
      <w:pPr>
        <w:wordWrap/>
        <w:adjustRightInd/>
        <w:snapToGrid/>
        <w:spacing w:line="560" w:lineRule="exact"/>
        <w:ind w:firstLine="616" w:firstLineChars="200"/>
        <w:jc w:val="left"/>
        <w:textAlignment w:val="auto"/>
        <w:rPr>
          <w:rFonts w:hint="eastAsia" w:ascii="仿宋_GB2312" w:hAnsi="仿宋"/>
          <w:color w:val="000000"/>
          <w:szCs w:val="32"/>
        </w:rPr>
      </w:pPr>
      <w:r>
        <w:rPr>
          <w:rFonts w:hint="eastAsia" w:ascii="仿宋_GB2312" w:hAnsi="仿宋"/>
          <w:color w:val="000000"/>
          <w:szCs w:val="32"/>
        </w:rPr>
        <w:t>（四）观看体育比赛、文艺演出等，遵守场馆秩序，爱护场馆设施。</w:t>
      </w:r>
    </w:p>
    <w:p>
      <w:pPr>
        <w:wordWrap/>
        <w:adjustRightInd/>
        <w:snapToGrid/>
        <w:spacing w:line="560" w:lineRule="exact"/>
        <w:ind w:firstLine="699" w:firstLineChars="227"/>
        <w:textAlignment w:val="auto"/>
        <w:rPr>
          <w:rFonts w:ascii="仿宋_GB2312" w:hAnsi="仿宋"/>
          <w:color w:val="000000"/>
          <w:szCs w:val="32"/>
        </w:rPr>
      </w:pPr>
      <w:r>
        <w:rPr>
          <w:rFonts w:hint="eastAsia" w:ascii="黑体" w:hAnsi="黑体" w:eastAsia="黑体" w:cs="黑体"/>
          <w:color w:val="000000"/>
          <w:szCs w:val="32"/>
        </w:rPr>
        <w:t>第十条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倡导维护公共环境卫生，遵守下列行为规范：</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（一）爱护公共环境，养成良好卫生习惯；</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（二）规范、合理使用环境卫生设施；</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（三）参与爱国卫生运动，履行包卫生、包绿化、包秩序的“门前三包”责任；</w:t>
      </w:r>
    </w:p>
    <w:p>
      <w:pPr>
        <w:wordWrap/>
        <w:adjustRightInd/>
        <w:snapToGrid/>
        <w:spacing w:line="560" w:lineRule="exact"/>
        <w:textAlignment w:val="auto"/>
        <w:rPr>
          <w:rFonts w:hint="eastAsia" w:ascii="仿宋_GB2312" w:hAnsi="仿宋"/>
          <w:color w:val="000000"/>
          <w:szCs w:val="32"/>
        </w:rPr>
      </w:pPr>
      <w:r>
        <w:rPr>
          <w:rFonts w:hint="eastAsia" w:ascii="仿宋_GB2312" w:hAnsi="仿宋"/>
          <w:color w:val="000000"/>
          <w:szCs w:val="32"/>
        </w:rPr>
        <w:t xml:space="preserve">    （四）文明如厕，保持公共厕所卫生。</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第十一条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倡导文明交通出行，遵守下列行为规范：</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（一）文明驾驶，有序通行、礼让行人；</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（二）车辆低速通过积水路段，避免积水溅起妨碍他人；</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（三）帮助有需要的人及时安全通过人行横道；</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（四）文明乘坐公共交通工具，自觉排队，为老、弱、病、残、孕和怀抱婴幼儿的乘客让座，维护驾驶员安全驾驶；</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（五）文明使用和规范停放交通工具；</w:t>
      </w:r>
    </w:p>
    <w:p>
      <w:pPr>
        <w:wordWrap/>
        <w:adjustRightInd/>
        <w:snapToGrid/>
        <w:spacing w:line="560" w:lineRule="exact"/>
        <w:ind w:firstLine="616" w:firstLineChars="200"/>
        <w:textAlignment w:val="auto"/>
        <w:rPr>
          <w:rFonts w:hint="eastAsia" w:eastAsia="楷体_GB2312"/>
          <w:sz w:val="28"/>
          <w:szCs w:val="28"/>
        </w:rPr>
      </w:pPr>
      <w:r>
        <w:rPr>
          <w:rFonts w:hint="eastAsia" w:ascii="仿宋_GB2312" w:hAnsi="仿宋"/>
          <w:color w:val="000000"/>
          <w:szCs w:val="32"/>
        </w:rPr>
        <w:t>（六）行人在人行道内行走，没有人行道的靠道路右侧行走，通过有交通信号指示的路口，按照交通信号指示通行，不随意横穿道路、跨越道路隔离设施。</w:t>
      </w:r>
    </w:p>
    <w:p>
      <w:pPr>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第十二条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倡导维护旅游城市形象，遵守下列行为规范：</w:t>
      </w:r>
    </w:p>
    <w:p>
      <w:pPr>
        <w:wordWrap/>
        <w:adjustRightInd/>
        <w:snapToGrid/>
        <w:spacing w:line="560" w:lineRule="exact"/>
        <w:ind w:firstLine="616" w:firstLineChars="200"/>
        <w:jc w:val="left"/>
        <w:textAlignment w:val="auto"/>
        <w:rPr>
          <w:rFonts w:hint="eastAsia" w:ascii="仿宋_GB2312" w:hAnsi="仿宋"/>
          <w:color w:val="000000"/>
          <w:szCs w:val="32"/>
        </w:rPr>
      </w:pPr>
      <w:r>
        <w:rPr>
          <w:rFonts w:hint="eastAsia" w:ascii="仿宋_GB2312" w:hAnsi="仿宋"/>
          <w:color w:val="000000"/>
          <w:szCs w:val="32"/>
        </w:rPr>
        <w:t>（一）本市公民应当知晓地方历史文化，增强主人翁意识，礼貌友善对待外地游客；</w:t>
      </w:r>
    </w:p>
    <w:p>
      <w:pPr>
        <w:wordWrap/>
        <w:adjustRightInd/>
        <w:snapToGrid/>
        <w:spacing w:line="560" w:lineRule="exact"/>
        <w:jc w:val="left"/>
        <w:textAlignment w:val="auto"/>
        <w:rPr>
          <w:rFonts w:ascii="仿宋_GB2312" w:hAnsi="仿宋"/>
          <w:color w:val="000000"/>
          <w:szCs w:val="32"/>
        </w:rPr>
      </w:pPr>
      <w:r>
        <w:rPr>
          <w:rFonts w:hint="eastAsia" w:ascii="仿宋_GB2312" w:hAnsi="仿宋"/>
          <w:color w:val="000000"/>
          <w:szCs w:val="32"/>
        </w:rPr>
        <w:t xml:space="preserve">    （二）旅游应当尊重当地风俗习惯、文化传统和宗教信仰，爱护自然景观、文物古迹等旅游资源，遵守景区景点秩序；</w:t>
      </w:r>
    </w:p>
    <w:p>
      <w:pPr>
        <w:numPr>
          <w:ilvl w:val="0"/>
          <w:numId w:val="1"/>
        </w:numPr>
        <w:wordWrap/>
        <w:adjustRightInd/>
        <w:snapToGrid/>
        <w:spacing w:line="560" w:lineRule="exact"/>
        <w:ind w:firstLine="640"/>
        <w:jc w:val="left"/>
        <w:textAlignment w:val="auto"/>
        <w:rPr>
          <w:rFonts w:hint="eastAsia" w:ascii="仿宋_GB2312" w:hAnsi="仿宋"/>
          <w:color w:val="000000"/>
          <w:szCs w:val="32"/>
        </w:rPr>
      </w:pPr>
      <w:r>
        <w:rPr>
          <w:rFonts w:hint="eastAsia" w:ascii="仿宋_GB2312" w:hAnsi="仿宋"/>
          <w:color w:val="000000"/>
          <w:szCs w:val="32"/>
        </w:rPr>
        <w:t>旅游从业者应当提高专业素质，热情服务。</w:t>
      </w:r>
    </w:p>
    <w:p>
      <w:pPr>
        <w:tabs>
          <w:tab w:val="left" w:pos="472"/>
        </w:tabs>
        <w:wordWrap/>
        <w:adjustRightInd/>
        <w:snapToGrid/>
        <w:spacing w:line="560" w:lineRule="exact"/>
        <w:ind w:firstLine="570"/>
        <w:jc w:val="left"/>
        <w:textAlignment w:val="auto"/>
        <w:rPr>
          <w:rFonts w:hint="eastAsia" w:ascii="仿宋_GB2312" w:hAnsi="仿宋"/>
          <w:color w:val="000000"/>
          <w:szCs w:val="32"/>
        </w:rPr>
      </w:pPr>
      <w:r>
        <w:rPr>
          <w:rFonts w:hint="eastAsia" w:ascii="黑体" w:hAnsi="黑体" w:eastAsia="黑体" w:cs="黑体"/>
          <w:color w:val="000000"/>
          <w:szCs w:val="32"/>
        </w:rPr>
        <w:t>第十三条</w:t>
      </w:r>
      <w:r>
        <w:rPr>
          <w:rFonts w:hint="eastAsia" w:ascii="楷体_GB2312" w:hAnsi="楷体_GB2312" w:eastAsia="楷体_GB2312" w:cs="楷体_GB2312"/>
          <w:color w:val="000000"/>
          <w:szCs w:val="32"/>
          <w:lang w:val="en-US" w:eastAsia="zh-CN"/>
        </w:rPr>
        <w:t xml:space="preserve">  </w:t>
      </w:r>
      <w:r>
        <w:rPr>
          <w:rFonts w:hint="eastAsia" w:ascii="仿宋_GB2312" w:hAnsi="仿宋"/>
          <w:color w:val="000000"/>
          <w:szCs w:val="32"/>
        </w:rPr>
        <w:t>倡导文明经营，遵守下列行为规范：</w:t>
      </w:r>
    </w:p>
    <w:p>
      <w:pPr>
        <w:tabs>
          <w:tab w:val="left" w:pos="472"/>
        </w:tabs>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（一）遵守商业规则；</w:t>
      </w:r>
    </w:p>
    <w:p>
      <w:pPr>
        <w:tabs>
          <w:tab w:val="left" w:pos="472"/>
        </w:tabs>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（二）提高服务质量；</w:t>
      </w:r>
    </w:p>
    <w:p>
      <w:pPr>
        <w:tabs>
          <w:tab w:val="left" w:pos="472"/>
        </w:tabs>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（三）商业宣传用语真实恰当；</w:t>
      </w:r>
    </w:p>
    <w:p>
      <w:pPr>
        <w:tabs>
          <w:tab w:val="left" w:pos="472"/>
        </w:tabs>
        <w:wordWrap/>
        <w:adjustRightInd/>
        <w:snapToGrid/>
        <w:spacing w:line="560" w:lineRule="exact"/>
        <w:ind w:firstLine="570"/>
        <w:jc w:val="left"/>
        <w:textAlignment w:val="auto"/>
        <w:rPr>
          <w:rFonts w:hint="eastAsia" w:ascii="仿宋_GB2312" w:hAnsi="仿宋"/>
          <w:color w:val="000000"/>
          <w:szCs w:val="32"/>
        </w:rPr>
      </w:pPr>
      <w:r>
        <w:rPr>
          <w:rFonts w:hint="eastAsia" w:ascii="仿宋_GB2312" w:hAnsi="仿宋"/>
          <w:color w:val="000000"/>
          <w:szCs w:val="32"/>
        </w:rPr>
        <w:t>（四）招揽顾客不媚俗恶搞。</w:t>
      </w:r>
    </w:p>
    <w:p>
      <w:pPr>
        <w:wordWrap/>
        <w:adjustRightInd/>
        <w:snapToGrid/>
        <w:spacing w:line="560" w:lineRule="exact"/>
        <w:ind w:firstLine="603" w:firstLineChars="196"/>
        <w:jc w:val="left"/>
        <w:textAlignment w:val="auto"/>
        <w:rPr>
          <w:rFonts w:ascii="仿宋_GB2312" w:hAnsi="仿宋"/>
          <w:color w:val="000000"/>
          <w:szCs w:val="32"/>
        </w:rPr>
      </w:pPr>
      <w:r>
        <w:rPr>
          <w:rFonts w:hint="eastAsia" w:ascii="黑体" w:hAnsi="黑体" w:eastAsia="黑体" w:cs="黑体"/>
          <w:color w:val="000000"/>
          <w:szCs w:val="32"/>
        </w:rPr>
        <w:t>第十四条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倡导维护社区文明，遵守下列行为规范：</w:t>
      </w:r>
    </w:p>
    <w:p>
      <w:pPr>
        <w:wordWrap/>
        <w:adjustRightInd/>
        <w:snapToGrid/>
        <w:spacing w:line="560" w:lineRule="exact"/>
        <w:ind w:firstLine="616" w:firstLineChars="200"/>
        <w:jc w:val="left"/>
        <w:textAlignment w:val="auto"/>
        <w:rPr>
          <w:rFonts w:ascii="仿宋_GB2312" w:hAnsi="仿宋"/>
          <w:color w:val="000000"/>
          <w:szCs w:val="32"/>
        </w:rPr>
      </w:pPr>
      <w:r>
        <w:rPr>
          <w:rFonts w:hint="eastAsia" w:ascii="仿宋_GB2312" w:hAnsi="仿宋"/>
          <w:color w:val="000000"/>
          <w:szCs w:val="32"/>
        </w:rPr>
        <w:t xml:space="preserve">（一）遵守市民公约、管理规约，做文明市民、文明业主； </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（二）不占用公共空间，不在建筑物的阳台外、窗外、屋顶、平台等空间违规悬挂、堆放物品；</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（三）有序停放车辆，不占用、堵塞他人车位（库）、储藏室，在指定位置为电动车充电；</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（四）驾驶车辆不在小区内长时间鸣笛；</w:t>
      </w:r>
    </w:p>
    <w:p>
      <w:pPr>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（五）晾晒物品、清洁卫生时，不影响他人；</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（六）饲养宠物采取必要的安全、卫生措施，不影响他人。</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第十五条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倡导维护乡村文明，遵守下列行为规范：</w:t>
      </w:r>
    </w:p>
    <w:p>
      <w:pPr>
        <w:wordWrap/>
        <w:adjustRightInd/>
        <w:snapToGrid/>
        <w:spacing w:line="560" w:lineRule="exact"/>
        <w:jc w:val="left"/>
        <w:textAlignment w:val="auto"/>
        <w:rPr>
          <w:rFonts w:hint="eastAsia" w:ascii="仿宋_GB2312" w:hAnsi="仿宋"/>
          <w:color w:val="000000"/>
          <w:szCs w:val="32"/>
        </w:rPr>
      </w:pPr>
      <w:r>
        <w:rPr>
          <w:rFonts w:hint="eastAsia" w:ascii="仿宋_GB2312" w:hAnsi="仿宋"/>
          <w:color w:val="000000"/>
          <w:szCs w:val="32"/>
        </w:rPr>
        <w:t xml:space="preserve">    （一）遵守村规民约；</w:t>
      </w:r>
    </w:p>
    <w:p>
      <w:pPr>
        <w:wordWrap/>
        <w:adjustRightInd/>
        <w:snapToGrid/>
        <w:spacing w:line="560" w:lineRule="exact"/>
        <w:jc w:val="left"/>
        <w:textAlignment w:val="auto"/>
        <w:rPr>
          <w:rFonts w:hint="eastAsia" w:ascii="仿宋_GB2312" w:hAnsi="仿宋"/>
          <w:color w:val="000000"/>
          <w:szCs w:val="32"/>
        </w:rPr>
      </w:pPr>
      <w:r>
        <w:rPr>
          <w:rFonts w:hint="eastAsia" w:ascii="仿宋_GB2312" w:hAnsi="仿宋"/>
          <w:color w:val="000000"/>
          <w:szCs w:val="32"/>
        </w:rPr>
        <w:t xml:space="preserve">    （二）保持房前屋后整洁卫生，圈养家禽家畜，及时清理畜禽粪便，做好污水处理；</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（三）不在公路上打场晒粮、堆放建筑材料等物品影响通行。</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第十六条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倡导注重家庭、家教、家风，遵守下列行为规范：</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（一）孝敬父母，尊敬长辈；</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 xml:space="preserve">（二）夫妻和睦，勤劳节俭，培育和传承良好家风； </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（三）关爱未成年人健康成长，教育其养成文明行为习惯；</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（四）邻里之间互谦互让，守望相助，和谐友善相处。</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第十七条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倡导健康生活，遵守下列行为规范：</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（一）文明用餐，适量点餐，推行分餐制，使用公筷公勺，不强迫性劝酒；</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（二）在公共场所咳嗽、打喷嚏时遮掩口鼻，患有流行性感冒等传染性呼吸道疾病时佩戴口罩；</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（三）文明节俭办婚事喜事，拒绝铺张浪费，避免盲目攀比，抵制高额彩礼；</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（四）文明节俭办丧事，节地生态安葬、绿色环保祭祀，不使用塑料祭祀品；</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（五）优先选择公共交通工具出行，合理使用免费的公共产品和服务；</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（六）使用生态环保用品，减少使用塑料袋等不易降解的物品。</w:t>
      </w:r>
    </w:p>
    <w:p>
      <w:pPr>
        <w:wordWrap/>
        <w:adjustRightInd/>
        <w:snapToGrid/>
        <w:spacing w:line="560" w:lineRule="exact"/>
        <w:jc w:val="center"/>
        <w:textAlignment w:val="auto"/>
        <w:rPr>
          <w:rFonts w:hint="eastAsia" w:ascii="宋体" w:hAnsi="宋体" w:eastAsia="宋体" w:cs="宋体"/>
          <w:color w:val="000000"/>
          <w:szCs w:val="32"/>
        </w:rPr>
      </w:pPr>
    </w:p>
    <w:p>
      <w:pPr>
        <w:wordWrap/>
        <w:adjustRightInd/>
        <w:snapToGrid/>
        <w:spacing w:line="560" w:lineRule="exact"/>
        <w:jc w:val="center"/>
        <w:textAlignment w:val="auto"/>
        <w:rPr>
          <w:rFonts w:hint="eastAsia" w:ascii="楷体_GB2312" w:hAnsi="仿宋" w:eastAsia="楷体_GB2312" w:cs="楷体_GB2312"/>
          <w:color w:val="000000"/>
          <w:szCs w:val="32"/>
        </w:rPr>
      </w:pPr>
      <w:r>
        <w:rPr>
          <w:rFonts w:hint="eastAsia" w:ascii="楷体_GB2312" w:hAnsi="仿宋" w:eastAsia="楷体_GB2312" w:cs="楷体_GB2312"/>
          <w:color w:val="000000"/>
          <w:szCs w:val="32"/>
        </w:rPr>
        <w:t>第二节  禁止与重点治理</w:t>
      </w:r>
    </w:p>
    <w:p>
      <w:pPr>
        <w:wordWrap/>
        <w:adjustRightInd/>
        <w:snapToGrid/>
        <w:spacing w:line="560" w:lineRule="exact"/>
        <w:ind w:left="640"/>
        <w:textAlignment w:val="auto"/>
        <w:rPr>
          <w:rFonts w:hint="eastAsia" w:ascii="宋体" w:hAnsi="宋体" w:eastAsia="宋体" w:cs="宋体"/>
          <w:color w:val="000000"/>
          <w:szCs w:val="32"/>
        </w:rPr>
      </w:pP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第十八条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禁止下列不文明行为：</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（一）随地吐痰、便溺，乱扔烟头、纸屑、果皮、包装盒（袋）等废弃物。</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（二）在城区街道、广场、公园等公共场所和居民区举行娱乐、健身、集会、商业促销等产生环境噪声、干扰他人正常生活的活动。</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（三）在禁止吸烟的场所吸烟。</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（四）</w:t>
      </w:r>
      <w:bookmarkStart w:id="10" w:name="_Hlk17882647"/>
      <w:r>
        <w:rPr>
          <w:rFonts w:hint="eastAsia" w:ascii="仿宋_GB2312" w:hAnsi="仿宋"/>
          <w:color w:val="000000"/>
          <w:szCs w:val="32"/>
        </w:rPr>
        <w:t>违法违规张贴、涂写</w:t>
      </w:r>
      <w:bookmarkEnd w:id="10"/>
      <w:r>
        <w:rPr>
          <w:rFonts w:hint="eastAsia" w:ascii="仿宋_GB2312" w:hAnsi="仿宋"/>
          <w:color w:val="000000"/>
          <w:szCs w:val="32"/>
        </w:rPr>
        <w:t>。</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（五）露天焚烧落叶、秸秆等产生烟尘污染的物质。</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（六）高空抛掷物品。</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（七）在城镇街道和公共场所搭设灵棚办理丧事活动；制造、销售封建迷信殡葬用品。</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（八）占用、堵塞、封闭疏散通道、安全出口或者其他妨碍安全疏散的行为；占用、堵塞、封闭消防车通道，妨碍消防车通行。</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（九）破坏、占用公共绿地。</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（十）在风景名胜区刻划、涂污、损坏景物、设施。</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（十一）未取得导游证或者不具备领队条件而从事导游、领队活动，破坏旅游城市形象。</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（十二）其他法律、法规禁止的不文明行为。</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第十九条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饲养犬只应当依法履行狂犬病等动物疾病强制免疫义务，城市管理区内养犬实行登记挂牌制度。县(市、区)公安机关应当自收到养犬申请之日起五个工作日内作出是否准予登记的决定。</w:t>
      </w:r>
    </w:p>
    <w:p>
      <w:pPr>
        <w:widowControl/>
        <w:wordWrap/>
        <w:adjustRightInd/>
        <w:snapToGrid/>
        <w:spacing w:line="560" w:lineRule="exact"/>
        <w:ind w:firstLine="616" w:firstLineChars="200"/>
        <w:textAlignment w:val="auto"/>
        <w:rPr>
          <w:rFonts w:hint="eastAsia" w:eastAsia="楷体_GB2312"/>
          <w:sz w:val="28"/>
          <w:szCs w:val="28"/>
        </w:rPr>
      </w:pPr>
      <w:r>
        <w:rPr>
          <w:rFonts w:hint="eastAsia" w:ascii="黑体" w:hAnsi="黑体" w:eastAsia="黑体" w:cs="黑体"/>
          <w:color w:val="000000"/>
          <w:szCs w:val="32"/>
        </w:rPr>
        <w:t>第二十条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城市</w:t>
      </w:r>
      <w:r>
        <w:rPr>
          <w:rFonts w:ascii="仿宋_GB2312" w:hAnsi="仿宋"/>
          <w:color w:val="000000"/>
          <w:szCs w:val="32"/>
        </w:rPr>
        <w:t>管理区内</w:t>
      </w:r>
      <w:r>
        <w:rPr>
          <w:rFonts w:hint="eastAsia" w:ascii="仿宋_GB2312" w:hAnsi="仿宋"/>
          <w:color w:val="000000"/>
          <w:szCs w:val="32"/>
        </w:rPr>
        <w:t>饲养犬只的个人</w:t>
      </w:r>
      <w:r>
        <w:rPr>
          <w:rFonts w:ascii="仿宋_GB2312" w:hAnsi="仿宋"/>
          <w:color w:val="000000"/>
          <w:szCs w:val="32"/>
        </w:rPr>
        <w:t>应当</w:t>
      </w:r>
      <w:r>
        <w:rPr>
          <w:rFonts w:hint="eastAsia" w:ascii="仿宋_GB2312" w:hAnsi="仿宋"/>
          <w:color w:val="000000"/>
          <w:szCs w:val="32"/>
        </w:rPr>
        <w:t>具</w:t>
      </w:r>
      <w:r>
        <w:rPr>
          <w:rFonts w:ascii="仿宋_GB2312" w:hAnsi="仿宋"/>
          <w:color w:val="000000"/>
          <w:szCs w:val="32"/>
        </w:rPr>
        <w:t>有完全民事行为能力</w:t>
      </w:r>
      <w:r>
        <w:rPr>
          <w:rFonts w:hint="eastAsia" w:ascii="仿宋_GB2312" w:hAnsi="仿宋"/>
          <w:color w:val="000000"/>
          <w:szCs w:val="32"/>
        </w:rPr>
        <w:t>和独立居所，并到</w:t>
      </w:r>
      <w:r>
        <w:rPr>
          <w:rFonts w:ascii="仿宋_GB2312" w:hAnsi="仿宋"/>
          <w:color w:val="000000"/>
          <w:szCs w:val="32"/>
        </w:rPr>
        <w:t>所在县（</w:t>
      </w:r>
      <w:r>
        <w:rPr>
          <w:rFonts w:hint="eastAsia" w:ascii="仿宋_GB2312" w:hAnsi="仿宋"/>
          <w:color w:val="000000"/>
          <w:szCs w:val="32"/>
        </w:rPr>
        <w:t>市、区）</w:t>
      </w:r>
      <w:r>
        <w:rPr>
          <w:rFonts w:ascii="仿宋_GB2312" w:hAnsi="仿宋"/>
          <w:color w:val="000000"/>
          <w:szCs w:val="32"/>
        </w:rPr>
        <w:t>公安机关指定地点办理养犬登记，同时提交犬只</w:t>
      </w:r>
      <w:r>
        <w:rPr>
          <w:rFonts w:hint="eastAsia" w:ascii="仿宋_GB2312" w:hAnsi="仿宋"/>
          <w:color w:val="000000"/>
          <w:szCs w:val="32"/>
        </w:rPr>
        <w:t>狂犬病</w:t>
      </w:r>
      <w:r>
        <w:rPr>
          <w:rFonts w:ascii="仿宋_GB2312" w:hAnsi="仿宋"/>
          <w:color w:val="000000"/>
          <w:szCs w:val="32"/>
        </w:rPr>
        <w:t>免疫证明</w:t>
      </w:r>
      <w:r>
        <w:rPr>
          <w:rFonts w:hint="eastAsia" w:ascii="仿宋_GB2312" w:hAnsi="仿宋"/>
          <w:color w:val="000000"/>
          <w:szCs w:val="32"/>
        </w:rPr>
        <w:t>和住所证明。</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第二十一条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城市管理区内饲养犬只的单位应当配备犬笼、犬舍、围墙等封闭安全防护设施，树立明显的养</w:t>
      </w:r>
      <w:r>
        <w:rPr>
          <w:rFonts w:ascii="仿宋_GB2312" w:hAnsi="仿宋"/>
          <w:color w:val="000000"/>
          <w:szCs w:val="32"/>
        </w:rPr>
        <w:t>犬标志，安排专人饲养和管理犬只，</w:t>
      </w:r>
      <w:bookmarkStart w:id="11" w:name="tiao_17_kuan_2"/>
      <w:bookmarkEnd w:id="11"/>
      <w:r>
        <w:rPr>
          <w:rFonts w:hint="eastAsia" w:ascii="仿宋_GB2312" w:hAnsi="仿宋"/>
          <w:color w:val="000000"/>
          <w:szCs w:val="32"/>
        </w:rPr>
        <w:t>并到</w:t>
      </w:r>
      <w:r>
        <w:rPr>
          <w:rFonts w:ascii="仿宋_GB2312" w:hAnsi="仿宋"/>
          <w:color w:val="000000"/>
          <w:szCs w:val="32"/>
        </w:rPr>
        <w:t>所在县（</w:t>
      </w:r>
      <w:r>
        <w:rPr>
          <w:rFonts w:hint="eastAsia" w:ascii="仿宋_GB2312" w:hAnsi="仿宋"/>
          <w:color w:val="000000"/>
          <w:szCs w:val="32"/>
        </w:rPr>
        <w:t>市、区</w:t>
      </w:r>
      <w:r>
        <w:rPr>
          <w:rFonts w:ascii="仿宋_GB2312" w:hAnsi="仿宋"/>
          <w:color w:val="000000"/>
          <w:szCs w:val="32"/>
        </w:rPr>
        <w:t>）公安机关指定地点办理养犬登记，</w:t>
      </w:r>
      <w:r>
        <w:rPr>
          <w:rFonts w:hint="eastAsia" w:ascii="仿宋_GB2312" w:hAnsi="仿宋"/>
          <w:color w:val="000000"/>
          <w:szCs w:val="32"/>
        </w:rPr>
        <w:t>同时提交</w:t>
      </w:r>
      <w:r>
        <w:rPr>
          <w:rFonts w:ascii="仿宋_GB2312" w:hAnsi="仿宋"/>
          <w:color w:val="000000"/>
          <w:szCs w:val="32"/>
        </w:rPr>
        <w:t>下列材料：</w:t>
      </w:r>
    </w:p>
    <w:p>
      <w:pPr>
        <w:widowControl/>
        <w:wordWrap/>
        <w:adjustRightInd/>
        <w:snapToGrid/>
        <w:spacing w:line="560" w:lineRule="exact"/>
        <w:ind w:firstLine="616" w:firstLineChars="200"/>
        <w:textAlignment w:val="auto"/>
        <w:rPr>
          <w:rFonts w:ascii="仿宋_GB2312" w:hAnsi="仿宋"/>
          <w:color w:val="000000"/>
          <w:szCs w:val="32"/>
        </w:rPr>
      </w:pPr>
      <w:bookmarkStart w:id="12" w:name="tiao_17_kuan_2_xiang_1"/>
      <w:bookmarkEnd w:id="12"/>
      <w:r>
        <w:rPr>
          <w:rFonts w:ascii="仿宋_GB2312" w:hAnsi="仿宋"/>
          <w:color w:val="000000"/>
          <w:szCs w:val="32"/>
        </w:rPr>
        <w:t>（一）</w:t>
      </w:r>
      <w:bookmarkStart w:id="13" w:name="tiao_17_kuan_2_xiang_2"/>
      <w:bookmarkEnd w:id="13"/>
      <w:r>
        <w:rPr>
          <w:rFonts w:ascii="仿宋_GB2312" w:hAnsi="仿宋"/>
          <w:color w:val="000000"/>
          <w:szCs w:val="32"/>
        </w:rPr>
        <w:t>养犬必要性用途说明；</w:t>
      </w:r>
    </w:p>
    <w:p>
      <w:pPr>
        <w:widowControl/>
        <w:wordWrap/>
        <w:adjustRightInd/>
        <w:snapToGrid/>
        <w:spacing w:line="560" w:lineRule="exact"/>
        <w:ind w:firstLine="616" w:firstLineChars="200"/>
        <w:textAlignment w:val="auto"/>
        <w:rPr>
          <w:rFonts w:ascii="仿宋_GB2312" w:hAnsi="仿宋"/>
          <w:color w:val="000000"/>
          <w:szCs w:val="32"/>
        </w:rPr>
      </w:pPr>
      <w:r>
        <w:rPr>
          <w:rFonts w:ascii="仿宋_GB2312" w:hAnsi="仿宋"/>
          <w:color w:val="000000"/>
          <w:szCs w:val="32"/>
        </w:rPr>
        <w:t>（二）</w:t>
      </w:r>
      <w:bookmarkStart w:id="14" w:name="tiao_17_kuan_2_xiang_3"/>
      <w:bookmarkEnd w:id="14"/>
      <w:r>
        <w:rPr>
          <w:rFonts w:ascii="仿宋_GB2312" w:hAnsi="仿宋"/>
          <w:color w:val="000000"/>
          <w:szCs w:val="32"/>
        </w:rPr>
        <w:t>养犬安全管理制度；</w:t>
      </w:r>
    </w:p>
    <w:p>
      <w:pPr>
        <w:widowControl/>
        <w:wordWrap/>
        <w:adjustRightInd/>
        <w:snapToGrid/>
        <w:spacing w:line="560" w:lineRule="exact"/>
        <w:ind w:firstLine="616" w:firstLineChars="200"/>
        <w:textAlignment w:val="auto"/>
        <w:rPr>
          <w:rFonts w:ascii="仿宋_GB2312" w:hAnsi="仿宋"/>
          <w:color w:val="000000"/>
          <w:szCs w:val="32"/>
        </w:rPr>
      </w:pPr>
      <w:r>
        <w:rPr>
          <w:rFonts w:ascii="仿宋_GB2312" w:hAnsi="仿宋"/>
          <w:color w:val="000000"/>
          <w:szCs w:val="32"/>
        </w:rPr>
        <w:t>（三）饲养犬只专门场所和设施的证明；</w:t>
      </w:r>
    </w:p>
    <w:p>
      <w:pPr>
        <w:widowControl/>
        <w:wordWrap/>
        <w:adjustRightInd/>
        <w:snapToGrid/>
        <w:spacing w:line="560" w:lineRule="exact"/>
        <w:ind w:firstLine="616" w:firstLineChars="200"/>
        <w:textAlignment w:val="auto"/>
        <w:rPr>
          <w:rFonts w:hint="eastAsia" w:eastAsia="楷体_GB2312"/>
          <w:sz w:val="28"/>
          <w:szCs w:val="28"/>
        </w:rPr>
      </w:pPr>
      <w:bookmarkStart w:id="15" w:name="tiao_17_kuan_2_xiang_4"/>
      <w:bookmarkEnd w:id="15"/>
      <w:r>
        <w:rPr>
          <w:rFonts w:ascii="仿宋_GB2312" w:hAnsi="仿宋"/>
          <w:color w:val="000000"/>
          <w:szCs w:val="32"/>
        </w:rPr>
        <w:t>（四）</w:t>
      </w:r>
      <w:bookmarkStart w:id="16" w:name="tiao_17_kuan_2_xiang_5"/>
      <w:bookmarkEnd w:id="16"/>
      <w:r>
        <w:rPr>
          <w:rFonts w:ascii="仿宋_GB2312" w:hAnsi="仿宋"/>
          <w:color w:val="000000"/>
          <w:szCs w:val="32"/>
        </w:rPr>
        <w:t>犬只狂犬病免疫证明。</w:t>
      </w:r>
      <w:bookmarkStart w:id="17" w:name="tiao_17_kuan_2_xiang_6"/>
      <w:bookmarkEnd w:id="17"/>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第二十二条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城市管理区内饲养犬只应当遵守下列规定：</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（一）不得饲养危险犬只；</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（二）不得驱使、放任犬只伤害、恐吓他人；</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（三）犬吠影响他人时，应当采取有效措施予以制止；</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（四）不得在住宅小区的公共区域养犬；</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（五）不得虐待、遗弃犬只，不得随意抛弃犬只尸体；</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（六）其他法律、法规的相关规定。</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危险犬只的标准、品种名录由市公安机关会同同级农业农村主管部门确定，并向社会公布。因特殊工作需要饲养危险犬只的，经县（市、区）公安机关批准，不受前款限制。</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第二十三条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城市管理区内携犬出户应当遵守下列规定：</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（一）携犬出户的个人应当具有完全民事行为能力；</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（二）挂犬牌、用犬绳（链）牵领犬只，主动避让他人；</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（三）不得携工作犬、导盲犬之外的犬只乘坐公共交通工具，进入国家机关、学校、医院、商场等场所以及设有犬类禁入标识的区域；</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（四）</w:t>
      </w:r>
      <w:r>
        <w:rPr>
          <w:rFonts w:hint="eastAsia" w:ascii="仿宋_GB2312" w:hAnsi="仿宋"/>
          <w:color w:val="000000"/>
          <w:szCs w:val="32"/>
          <w:highlight w:val="none"/>
        </w:rPr>
        <w:t>即时</w:t>
      </w:r>
      <w:r>
        <w:rPr>
          <w:rFonts w:hint="eastAsia" w:ascii="仿宋_GB2312" w:hAnsi="仿宋"/>
          <w:color w:val="000000"/>
          <w:szCs w:val="32"/>
        </w:rPr>
        <w:t>清理犬只排泄物。</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第二十四条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全面禁止</w:t>
      </w:r>
      <w:r>
        <w:rPr>
          <w:rFonts w:hint="eastAsia" w:ascii="仿宋_GB2312" w:hAnsi="仿宋"/>
          <w:color w:val="000000"/>
          <w:szCs w:val="32"/>
          <w:highlight w:val="none"/>
        </w:rPr>
        <w:t>食用</w:t>
      </w:r>
      <w:r>
        <w:rPr>
          <w:rFonts w:hint="eastAsia" w:ascii="仿宋_GB2312" w:hAnsi="仿宋"/>
          <w:color w:val="000000"/>
          <w:szCs w:val="32"/>
        </w:rPr>
        <w:t>下列野生动物：</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（一）国家重点保护的陆生、水生野生动物；</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（二）省重点保护的陆生野生动物；</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（三）国务院野生动物保护主管部门公布的有重要生态、科学、社会价值的陆生野生动物，以及其他陆生野生动物，包括人工繁育、人工饲养的陆生野生动物；</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（四）法律、法规和国家、省有关规定禁止</w:t>
      </w:r>
      <w:r>
        <w:rPr>
          <w:rFonts w:hint="eastAsia" w:ascii="仿宋_GB2312" w:hAnsi="仿宋"/>
          <w:color w:val="000000"/>
          <w:szCs w:val="32"/>
          <w:highlight w:val="none"/>
        </w:rPr>
        <w:t>食用</w:t>
      </w:r>
      <w:r>
        <w:rPr>
          <w:rFonts w:hint="eastAsia" w:ascii="仿宋_GB2312" w:hAnsi="仿宋"/>
          <w:color w:val="000000"/>
          <w:szCs w:val="32"/>
        </w:rPr>
        <w:t>的其他野生动物。</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全面禁止以食用为目的猎捕、交易、运输在野外环境自然生长的陆生野生动物；任何单位和个人不得生产、经营使用禁止食用的野生动物制作的食品；不得以禁止食用的野生动物的名称、别称、图案等制作广告、招牌、菜谱等招揽、诱导顾客食用；不得为非法食用野生动物和禁止使用的猎捕工具提供交易或者消费服务。</w:t>
      </w:r>
    </w:p>
    <w:p>
      <w:pPr>
        <w:widowControl/>
        <w:wordWrap/>
        <w:adjustRightInd/>
        <w:snapToGrid/>
        <w:spacing w:line="560" w:lineRule="exact"/>
        <w:ind w:firstLine="616" w:firstLineChars="200"/>
        <w:textAlignment w:val="auto"/>
        <w:rPr>
          <w:rFonts w:hint="eastAsia" w:eastAsia="楷体_GB2312"/>
          <w:sz w:val="24"/>
          <w:szCs w:val="24"/>
        </w:rPr>
      </w:pPr>
      <w:r>
        <w:rPr>
          <w:rFonts w:hint="eastAsia" w:ascii="仿宋_GB2312" w:hAnsi="仿宋"/>
          <w:color w:val="000000"/>
          <w:szCs w:val="32"/>
        </w:rPr>
        <w:t>野生动物保护主管部门、市场监督管理及其他有关部门应当依照职责分工，加强对非法交易和食用野生动物的执法。</w:t>
      </w:r>
    </w:p>
    <w:p>
      <w:pPr>
        <w:pStyle w:val="11"/>
        <w:wordWrap/>
        <w:adjustRightInd/>
        <w:snapToGrid/>
        <w:spacing w:line="560" w:lineRule="exact"/>
        <w:ind w:firstLine="0" w:firstLineChars="0"/>
        <w:jc w:val="center"/>
        <w:textAlignment w:val="auto"/>
        <w:rPr>
          <w:rFonts w:hint="eastAsia" w:ascii="宋体" w:hAnsi="宋体" w:eastAsia="宋体" w:cs="宋体"/>
          <w:color w:val="000000"/>
          <w:sz w:val="32"/>
          <w:szCs w:val="32"/>
        </w:rPr>
      </w:pPr>
    </w:p>
    <w:p>
      <w:pPr>
        <w:pStyle w:val="11"/>
        <w:wordWrap/>
        <w:adjustRightInd/>
        <w:snapToGrid/>
        <w:spacing w:line="560" w:lineRule="exact"/>
        <w:ind w:firstLine="0" w:firstLine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第三章  实施与保障</w:t>
      </w:r>
    </w:p>
    <w:p>
      <w:pPr>
        <w:wordWrap/>
        <w:adjustRightInd/>
        <w:snapToGrid/>
        <w:spacing w:line="560" w:lineRule="exact"/>
        <w:ind w:firstLine="616" w:firstLineChars="200"/>
        <w:jc w:val="left"/>
        <w:textAlignment w:val="auto"/>
        <w:rPr>
          <w:rFonts w:hint="eastAsia" w:ascii="宋体" w:hAnsi="宋体" w:eastAsia="宋体" w:cs="宋体"/>
          <w:color w:val="000000"/>
          <w:szCs w:val="32"/>
        </w:rPr>
      </w:pP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第二十五条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市、县（市、区）人民政府应当加强市政、交通、文化、治安、卫生健康、大数据等基础设施的规划、建设和管理，完善盲道、无障碍通道、过街天桥、非机动车道和停放区、公共厕所和无障碍厕位等公用设施。</w:t>
      </w:r>
    </w:p>
    <w:p>
      <w:pPr>
        <w:wordWrap/>
        <w:adjustRightInd/>
        <w:snapToGrid/>
        <w:spacing w:line="560" w:lineRule="exact"/>
        <w:ind w:firstLine="570"/>
        <w:jc w:val="left"/>
        <w:textAlignment w:val="auto"/>
        <w:rPr>
          <w:rFonts w:ascii="仿宋_GB2312" w:hAnsi="仿宋"/>
          <w:color w:val="000000"/>
          <w:szCs w:val="32"/>
        </w:rPr>
      </w:pPr>
      <w:r>
        <w:rPr>
          <w:rFonts w:hint="eastAsia" w:ascii="仿宋_GB2312" w:hAnsi="仿宋"/>
          <w:color w:val="000000"/>
          <w:szCs w:val="32"/>
        </w:rPr>
        <w:t>鼓励单位和个人利用自有场所、设施设备设立爱心服务点。鼓励国家机关、社会团体、企业事业单位向社会免费开放卫生间。</w:t>
      </w:r>
    </w:p>
    <w:p>
      <w:pPr>
        <w:wordWrap/>
        <w:adjustRightInd/>
        <w:snapToGrid/>
        <w:spacing w:line="560" w:lineRule="exact"/>
        <w:ind w:firstLine="570"/>
        <w:textAlignment w:val="auto"/>
        <w:rPr>
          <w:rFonts w:hint="eastAsia" w:ascii="仿宋_GB2312" w:hAnsi="仿宋"/>
          <w:color w:val="000000"/>
          <w:szCs w:val="32"/>
        </w:rPr>
      </w:pPr>
      <w:r>
        <w:rPr>
          <w:rFonts w:hint="eastAsia" w:ascii="黑体" w:hAnsi="黑体" w:eastAsia="黑体" w:cs="黑体"/>
          <w:color w:val="000000"/>
          <w:szCs w:val="32"/>
        </w:rPr>
        <w:t>第二十六条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报刊、广播、电视、网络媒体、移动客户端、户外广告设施等媒介应当宣传文明行为规范和文明行为先进事迹，刊播公益广告。</w:t>
      </w:r>
    </w:p>
    <w:p>
      <w:pPr>
        <w:wordWrap/>
        <w:adjustRightInd/>
        <w:snapToGrid/>
        <w:spacing w:line="560" w:lineRule="exact"/>
        <w:ind w:firstLine="560"/>
        <w:jc w:val="left"/>
        <w:textAlignment w:val="auto"/>
        <w:rPr>
          <w:rFonts w:hint="eastAsia" w:ascii="仿宋_GB2312" w:hAnsi="仿宋"/>
          <w:color w:val="000000"/>
          <w:szCs w:val="32"/>
        </w:rPr>
      </w:pPr>
      <w:r>
        <w:rPr>
          <w:rFonts w:hint="eastAsia" w:ascii="黑体" w:hAnsi="黑体" w:eastAsia="黑体" w:cs="黑体"/>
          <w:color w:val="000000"/>
          <w:szCs w:val="32"/>
        </w:rPr>
        <w:t>第二十七条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教育主管部门、各级各类学校应当将文明行为纳入教育、教学内容，加强师德师风建设和法治宣传教育，防止校园欺凌和暴力，培育文明校风、教风、学风。全社会应当尊师重教。</w:t>
      </w:r>
    </w:p>
    <w:p>
      <w:pPr>
        <w:wordWrap/>
        <w:adjustRightInd/>
        <w:snapToGrid/>
        <w:spacing w:line="560" w:lineRule="exact"/>
        <w:ind w:firstLine="560"/>
        <w:textAlignment w:val="auto"/>
        <w:rPr>
          <w:rFonts w:hint="eastAsia" w:ascii="仿宋_GB2312" w:hAnsi="仿宋"/>
          <w:color w:val="000000"/>
          <w:szCs w:val="32"/>
        </w:rPr>
      </w:pPr>
      <w:r>
        <w:rPr>
          <w:rFonts w:hint="eastAsia" w:ascii="黑体" w:hAnsi="黑体" w:eastAsia="黑体" w:cs="黑体"/>
          <w:color w:val="000000"/>
          <w:szCs w:val="32"/>
        </w:rPr>
        <w:t>第二十八条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窗口服务行业、单位应当制定并公示行业规范和服务标准，发挥文明服务示范作用，提供便捷高效、文明礼貌的服务，树立窗口文明形象；设立优待、禁烟、噪音控制等文明宣传告示牌；保障军人等特殊人群依法享有公共服务优先权。</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第二十九条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鼓励和引导居（村）民委员会、业主委员会等制定文明行为公约，动员居（村）民参与文明行为促进工作。</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公共场所的经营者、管理者和从事物业服务、保安服务的企业，对服务区域内的不文明行为应当予以劝诫，劝诫无效的，应当及时报告有关行政执法部门，并协助取证。</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第三十条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公安、城市管理、市场监督管理、消防救援、民政、文化和旅游、生态环境等部门应当加强对禁止的不文明行为的日常检查，及时发现、劝阻、制止、查处不文明行为。</w:t>
      </w:r>
    </w:p>
    <w:p>
      <w:pPr>
        <w:widowControl/>
        <w:wordWrap/>
        <w:adjustRightInd/>
        <w:snapToGrid/>
        <w:spacing w:line="560" w:lineRule="exact"/>
        <w:ind w:firstLine="616" w:firstLineChars="200"/>
        <w:textAlignment w:val="auto"/>
        <w:rPr>
          <w:rFonts w:hint="eastAsia" w:ascii="楷体_GB2312" w:hAnsi="仿宋" w:eastAsia="楷体_GB2312" w:cs="楷体_GB2312"/>
          <w:color w:val="000000"/>
          <w:szCs w:val="32"/>
          <w:highlight w:val="darkGray"/>
        </w:rPr>
      </w:pPr>
      <w:r>
        <w:rPr>
          <w:rFonts w:hint="eastAsia" w:ascii="仿宋_GB2312" w:hAnsi="仿宋"/>
          <w:color w:val="000000"/>
          <w:szCs w:val="32"/>
        </w:rPr>
        <w:t>承担行政执法职能的部门、单位，应当根据本条例和相关法律、法规，完善检查监督、投诉举报、教育指导、奖励惩戒等文明行为实施与保障工作机制，提高公正执法、文明服务水平。</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第三十一条</w:t>
      </w:r>
      <w:r>
        <w:rPr>
          <w:rFonts w:hint="eastAsia" w:ascii="黑体" w:hAnsi="黑体" w:eastAsia="黑体" w:cs="黑体"/>
          <w:color w:val="000000"/>
          <w:szCs w:val="32"/>
          <w:lang w:val="en-US" w:eastAsia="zh-CN"/>
        </w:rPr>
        <w:t xml:space="preserve">  </w:t>
      </w:r>
      <w:r>
        <w:rPr>
          <w:rFonts w:hint="eastAsia" w:ascii="仿宋_GB2312" w:hAnsi="仿宋"/>
          <w:color w:val="000000"/>
          <w:szCs w:val="32"/>
        </w:rPr>
        <w:t>公安机关是养犬管理的主管部门。养犬登记挂牌管理和流浪犬的收容处置工作由县(市、区)公安机关负责。</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农业农村主管部门负责犬只免疫、检疫及犬尸无害化处理等相关监督管理工作，并按照有关规定建立免疫档案。</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城市管理部门负责养犬污染环境卫生行为的查处。</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第三十二条</w:t>
      </w:r>
      <w:r>
        <w:rPr>
          <w:rFonts w:hint="eastAsia" w:ascii="黑体" w:hAnsi="黑体" w:eastAsia="黑体" w:cs="黑体"/>
          <w:color w:val="000000"/>
          <w:szCs w:val="32"/>
          <w:lang w:val="en-US" w:eastAsia="zh-CN"/>
        </w:rPr>
        <w:t xml:space="preserve">  </w:t>
      </w:r>
      <w:r>
        <w:rPr>
          <w:rFonts w:hint="eastAsia" w:ascii="仿宋_GB2312" w:hAnsi="仿宋"/>
          <w:color w:val="000000"/>
          <w:szCs w:val="32"/>
        </w:rPr>
        <w:t>市、县（市、区）人民政府</w:t>
      </w:r>
      <w:r>
        <w:rPr>
          <w:rFonts w:hint="eastAsia" w:ascii="仿宋_GB2312" w:hAnsi="仿宋"/>
          <w:color w:val="000000"/>
          <w:szCs w:val="32"/>
          <w:highlight w:val="none"/>
        </w:rPr>
        <w:t>及</w:t>
      </w:r>
      <w:r>
        <w:rPr>
          <w:rFonts w:hint="eastAsia" w:ascii="仿宋_GB2312" w:hAnsi="仿宋"/>
          <w:color w:val="000000"/>
          <w:szCs w:val="32"/>
        </w:rPr>
        <w:t>有关部门应当指导、帮助受禁食野生动物规定影响的单位和个人调整、转变生产经营活动，在就业培训、社会保障、融资、税收等方面予以支持。</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第三十三条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市、县（市、区）人民政府应当加强活禽交易市场的分类管理，推行活禽集中屠宰、冷链运输、冰鲜上市，在城市管理区内逐步取消活禽交易。</w:t>
      </w:r>
    </w:p>
    <w:p>
      <w:pPr>
        <w:widowControl/>
        <w:wordWrap/>
        <w:adjustRightInd/>
        <w:snapToGrid/>
        <w:spacing w:line="560" w:lineRule="exact"/>
        <w:ind w:firstLine="616" w:firstLineChars="200"/>
        <w:textAlignment w:val="auto"/>
        <w:rPr>
          <w:rFonts w:hint="eastAsia" w:ascii="宋体" w:hAnsi="宋体" w:eastAsia="宋体" w:cs="宋体"/>
          <w:color w:val="000000"/>
          <w:szCs w:val="32"/>
        </w:rPr>
      </w:pPr>
    </w:p>
    <w:p>
      <w:pPr>
        <w:tabs>
          <w:tab w:val="left" w:pos="3716"/>
        </w:tabs>
        <w:wordWrap/>
        <w:adjustRightInd/>
        <w:snapToGrid/>
        <w:spacing w:line="560" w:lineRule="exact"/>
        <w:jc w:val="center"/>
        <w:textAlignment w:val="auto"/>
        <w:rPr>
          <w:rFonts w:ascii="黑体" w:hAnsi="黑体" w:eastAsia="黑体" w:cs="黑体"/>
          <w:color w:val="000000"/>
          <w:szCs w:val="32"/>
        </w:rPr>
      </w:pPr>
      <w:r>
        <w:rPr>
          <w:rFonts w:hint="eastAsia" w:ascii="黑体" w:hAnsi="黑体" w:eastAsia="黑体" w:cs="黑体"/>
          <w:color w:val="000000"/>
          <w:szCs w:val="32"/>
        </w:rPr>
        <w:t>第四章  法律责任</w:t>
      </w:r>
    </w:p>
    <w:p>
      <w:pPr>
        <w:wordWrap/>
        <w:adjustRightInd/>
        <w:snapToGrid/>
        <w:spacing w:line="560" w:lineRule="exact"/>
        <w:ind w:firstLine="693" w:firstLineChars="225"/>
        <w:jc w:val="left"/>
        <w:textAlignment w:val="auto"/>
        <w:rPr>
          <w:rFonts w:hint="eastAsia" w:ascii="宋体" w:hAnsi="宋体" w:eastAsia="宋体" w:cs="宋体"/>
          <w:color w:val="000000"/>
          <w:szCs w:val="32"/>
        </w:rPr>
      </w:pPr>
    </w:p>
    <w:p>
      <w:pPr>
        <w:wordWrap/>
        <w:adjustRightInd/>
        <w:snapToGrid/>
        <w:spacing w:line="560" w:lineRule="exact"/>
        <w:ind w:firstLine="693" w:firstLineChars="225"/>
        <w:jc w:val="left"/>
        <w:textAlignment w:val="auto"/>
        <w:rPr>
          <w:rFonts w:eastAsia="楷体_GB2312"/>
          <w:sz w:val="24"/>
          <w:szCs w:val="24"/>
        </w:rPr>
      </w:pPr>
      <w:r>
        <w:rPr>
          <w:rFonts w:hint="eastAsia" w:ascii="黑体" w:hAnsi="黑体" w:eastAsia="黑体" w:cs="黑体"/>
          <w:color w:val="000000"/>
          <w:szCs w:val="32"/>
        </w:rPr>
        <w:t>第三十四条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违反本条例第十八条第一项规定，随地吐痰、便溺以及乱扔烟头、纸屑、果皮、包装盒（袋）等废弃物的，由城市管理部门责令</w:t>
      </w:r>
      <w:bookmarkStart w:id="18" w:name="_Hlk15913749"/>
      <w:r>
        <w:rPr>
          <w:rFonts w:hint="eastAsia" w:ascii="仿宋_GB2312" w:hAnsi="仿宋"/>
          <w:color w:val="000000"/>
          <w:szCs w:val="32"/>
        </w:rPr>
        <w:t>改正</w:t>
      </w:r>
      <w:bookmarkEnd w:id="18"/>
      <w:r>
        <w:rPr>
          <w:rFonts w:hint="eastAsia" w:ascii="仿宋_GB2312" w:hAnsi="仿宋"/>
          <w:color w:val="000000"/>
          <w:szCs w:val="32"/>
        </w:rPr>
        <w:t>；拒不改正的，处五十元以上二百元以下罚款。</w:t>
      </w:r>
    </w:p>
    <w:p>
      <w:pPr>
        <w:wordWrap/>
        <w:adjustRightInd/>
        <w:snapToGrid/>
        <w:spacing w:line="560" w:lineRule="exact"/>
        <w:ind w:firstLine="693" w:firstLineChars="225"/>
        <w:jc w:val="left"/>
        <w:textAlignment w:val="auto"/>
        <w:rPr>
          <w:rFonts w:hint="eastAsia" w:ascii="仿宋_GB2312" w:hAnsi="仿宋_GB2312" w:eastAsia="仿宋_GB2312" w:cs="仿宋_GB2312"/>
          <w:color w:val="000000"/>
          <w:szCs w:val="32"/>
        </w:rPr>
      </w:pPr>
      <w:r>
        <w:rPr>
          <w:rFonts w:hint="eastAsia" w:ascii="黑体" w:hAnsi="黑体" w:eastAsia="黑体" w:cs="黑体"/>
          <w:color w:val="000000"/>
          <w:szCs w:val="32"/>
        </w:rPr>
        <w:t>第三十五条</w:t>
      </w:r>
      <w:r>
        <w:rPr>
          <w:rFonts w:hint="eastAsia" w:ascii="楷体_GB2312" w:hAnsi="仿宋" w:eastAsia="楷体_GB2312" w:cs="楷体_GB2312"/>
          <w:color w:val="000000"/>
          <w:szCs w:val="32"/>
          <w:lang w:val="en-US" w:eastAsia="zh-CN"/>
        </w:rPr>
        <w:t xml:space="preserve">  </w:t>
      </w:r>
      <w:r>
        <w:rPr>
          <w:rFonts w:hint="eastAsia" w:ascii="仿宋_GB2312" w:hAnsi="仿宋_GB2312" w:eastAsia="仿宋_GB2312" w:cs="仿宋_GB2312"/>
          <w:color w:val="000000"/>
          <w:szCs w:val="32"/>
        </w:rPr>
        <w:t>违反本条例第十八条第二项规定，在城区街道、广场、公园等公共场所和居民区举行娱乐、健身、集会、商业促销等产生环境噪声、干扰他人正常生活的活动，由公安机关责令改正，给予警告；拒不改正的，处二百元以上五百元以下罚款。</w:t>
      </w:r>
    </w:p>
    <w:p>
      <w:pPr>
        <w:wordWrap/>
        <w:adjustRightInd/>
        <w:snapToGrid/>
        <w:spacing w:line="560" w:lineRule="exact"/>
        <w:ind w:firstLine="693" w:firstLineChars="225"/>
        <w:jc w:val="left"/>
        <w:textAlignment w:val="auto"/>
        <w:rPr>
          <w:rFonts w:hint="eastAsia" w:eastAsia="楷体_GB2312"/>
          <w:sz w:val="24"/>
          <w:szCs w:val="24"/>
        </w:rPr>
      </w:pPr>
      <w:r>
        <w:rPr>
          <w:rFonts w:hint="eastAsia" w:ascii="黑体" w:hAnsi="黑体" w:eastAsia="黑体" w:cs="黑体"/>
          <w:color w:val="000000"/>
          <w:szCs w:val="32"/>
        </w:rPr>
        <w:t>第三十六条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违反本条例第十八条第三项规定，在有火灾、爆炸危险的场所吸烟的，</w:t>
      </w:r>
      <w:r>
        <w:rPr>
          <w:rFonts w:hint="eastAsia" w:ascii="仿宋_GB2312" w:hAnsi="仿宋"/>
          <w:color w:val="000000"/>
          <w:szCs w:val="32"/>
          <w:lang w:eastAsia="zh-CN"/>
        </w:rPr>
        <w:t>依照《中华人民共和国消防法》的相关规定予以处罚</w:t>
      </w:r>
      <w:r>
        <w:rPr>
          <w:rFonts w:hint="eastAsia" w:ascii="仿宋_GB2312" w:hAnsi="仿宋"/>
          <w:color w:val="000000"/>
          <w:szCs w:val="32"/>
        </w:rPr>
        <w:t>。</w:t>
      </w:r>
    </w:p>
    <w:p>
      <w:pPr>
        <w:widowControl/>
        <w:wordWrap/>
        <w:adjustRightInd/>
        <w:snapToGrid/>
        <w:spacing w:line="560" w:lineRule="exact"/>
        <w:ind w:firstLine="616" w:firstLineChars="200"/>
        <w:textAlignment w:val="auto"/>
        <w:rPr>
          <w:rFonts w:hint="eastAsia" w:ascii="仿宋_GB2312" w:hAnsi="仿宋_GB2312" w:eastAsia="仿宋_GB2312" w:cs="仿宋_GB2312"/>
          <w:color w:val="000000"/>
          <w:szCs w:val="32"/>
        </w:rPr>
      </w:pPr>
      <w:r>
        <w:rPr>
          <w:rFonts w:hint="eastAsia" w:ascii="黑体" w:hAnsi="黑体" w:eastAsia="黑体" w:cs="黑体"/>
          <w:color w:val="000000"/>
          <w:szCs w:val="32"/>
        </w:rPr>
        <w:t>第三十七条</w:t>
      </w:r>
      <w:r>
        <w:rPr>
          <w:rFonts w:hint="eastAsia" w:ascii="楷体_GB2312" w:hAnsi="仿宋" w:eastAsia="楷体_GB2312" w:cs="楷体_GB2312"/>
          <w:color w:val="000000"/>
          <w:szCs w:val="32"/>
          <w:lang w:val="en-US" w:eastAsia="zh-CN"/>
        </w:rPr>
        <w:t xml:space="preserve">  </w:t>
      </w:r>
      <w:r>
        <w:rPr>
          <w:rFonts w:hint="eastAsia" w:ascii="仿宋_GB2312" w:hAnsi="仿宋_GB2312" w:eastAsia="仿宋_GB2312" w:cs="仿宋_GB2312"/>
          <w:color w:val="000000"/>
          <w:szCs w:val="32"/>
        </w:rPr>
        <w:t>违反本条例第十八条第四项规定，违法违规张贴、涂写的，由城市管理部门责令清洗、改正，可以处二百元以上一千元以下罚款。</w:t>
      </w:r>
    </w:p>
    <w:p>
      <w:pPr>
        <w:wordWrap/>
        <w:adjustRightInd/>
        <w:snapToGrid/>
        <w:spacing w:line="560" w:lineRule="exact"/>
        <w:ind w:firstLine="616" w:firstLineChars="200"/>
        <w:jc w:val="left"/>
        <w:textAlignment w:val="auto"/>
        <w:rPr>
          <w:rFonts w:hint="eastAsia" w:ascii="仿宋_GB2312" w:hAnsi="仿宋"/>
          <w:color w:val="000000"/>
          <w:szCs w:val="32"/>
        </w:rPr>
      </w:pPr>
      <w:r>
        <w:rPr>
          <w:rFonts w:hint="eastAsia" w:ascii="黑体" w:hAnsi="黑体" w:eastAsia="黑体" w:cs="黑体"/>
          <w:color w:val="000000"/>
          <w:szCs w:val="32"/>
        </w:rPr>
        <w:t>第三十八条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违反本条例第十八条第五项规定，露天焚烧落叶、秸秆等产生烟尘污染的物质的，由城市管理部门责令改正，</w:t>
      </w:r>
      <w:r>
        <w:rPr>
          <w:rFonts w:hint="eastAsia" w:ascii="仿宋_GB2312" w:hAnsi="仿宋"/>
          <w:color w:val="000000"/>
          <w:szCs w:val="32"/>
          <w:lang w:eastAsia="zh-CN"/>
        </w:rPr>
        <w:t>并</w:t>
      </w:r>
      <w:r>
        <w:rPr>
          <w:rFonts w:hint="eastAsia" w:ascii="仿宋_GB2312" w:hAnsi="仿宋"/>
          <w:color w:val="000000"/>
          <w:szCs w:val="32"/>
        </w:rPr>
        <w:t>可以处五百元以上二千元以下罚款。</w:t>
      </w:r>
    </w:p>
    <w:p>
      <w:pPr>
        <w:wordWrap/>
        <w:adjustRightInd/>
        <w:snapToGrid/>
        <w:spacing w:line="560" w:lineRule="exact"/>
        <w:ind w:firstLine="616" w:firstLineChars="200"/>
        <w:jc w:val="both"/>
        <w:textAlignment w:val="auto"/>
        <w:rPr>
          <w:rFonts w:hint="eastAsia" w:ascii="仿宋_GB2312" w:hAnsi="仿宋"/>
          <w:color w:val="000000"/>
          <w:szCs w:val="32"/>
        </w:rPr>
      </w:pPr>
      <w:r>
        <w:rPr>
          <w:rFonts w:hint="eastAsia" w:ascii="黑体" w:hAnsi="黑体" w:eastAsia="黑体" w:cs="黑体"/>
          <w:color w:val="000000"/>
          <w:szCs w:val="32"/>
        </w:rPr>
        <w:t>第三十九条</w:t>
      </w:r>
      <w:r>
        <w:rPr>
          <w:rFonts w:hint="eastAsia" w:ascii="仿宋_GB2312" w:hAnsi="仿宋" w:eastAsia="黑体"/>
          <w:color w:val="000000"/>
          <w:szCs w:val="32"/>
          <w:lang w:val="en-US" w:eastAsia="zh-CN"/>
        </w:rPr>
        <w:t xml:space="preserve">  </w:t>
      </w:r>
      <w:r>
        <w:rPr>
          <w:rFonts w:hint="eastAsia" w:ascii="仿宋_GB2312" w:hAnsi="仿宋"/>
          <w:color w:val="000000"/>
          <w:szCs w:val="32"/>
        </w:rPr>
        <w:t>违反本条例第十八条第六项规定，从建筑物中抛掷物品或者从建筑物上坠落的物品造成他人损害的，公安等机关应当依法及时调查，查清责任人，由侵权人依法承担侵权责任；经调查难以确定具体侵权人的，除能够证明自己不是侵权人的外，由可能加害的建筑物使用人给予补偿。可能加害的建筑物使用人补偿后，有权向侵权人追偿。</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第四十条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七项规定，在城镇街道和公共场所搭设灵棚办理丧事活动的，由民政主管部门予以制止；违反市容环境卫生和交通管理规定的，由城市管理、公安机关交通管理部门依法处理；违反治安管理规定的，由公安机关依法给予治安处罚。</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制造、销售封建迷信殡葬用品的，由民政主管部门会同市场监督管理部门予以没收，可以</w:t>
      </w:r>
      <w:r>
        <w:rPr>
          <w:rFonts w:hint="eastAsia" w:ascii="仿宋_GB2312" w:hAnsi="仿宋"/>
          <w:color w:val="000000"/>
          <w:szCs w:val="32"/>
          <w:lang w:eastAsia="zh-CN"/>
        </w:rPr>
        <w:t>并</w:t>
      </w:r>
      <w:r>
        <w:rPr>
          <w:rFonts w:hint="eastAsia" w:ascii="仿宋_GB2312" w:hAnsi="仿宋"/>
          <w:color w:val="000000"/>
          <w:szCs w:val="32"/>
        </w:rPr>
        <w:t>处制造、销售金额一倍以上三倍以下罚款。</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第四十一条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八项规定，有下列情形之一的，由消防救援机构责令改正，对单位处五千元以上五万元以下罚款，对个人处警告或者五百元以下罚款；经责令改正拒不改正的，强制执行，所需费用由违法行为人承担：</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（一）占用、堵塞、封闭疏散通道、安全出口或者有其他妨碍安全疏散行为的；</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（二）占用、堵塞、封闭消防车通道，妨碍消防车通行的。</w:t>
      </w:r>
    </w:p>
    <w:p>
      <w:pPr>
        <w:wordWrap/>
        <w:adjustRightInd/>
        <w:snapToGrid/>
        <w:spacing w:line="560" w:lineRule="exact"/>
        <w:ind w:firstLine="560"/>
        <w:textAlignment w:val="auto"/>
        <w:rPr>
          <w:rFonts w:hint="eastAsia" w:ascii="仿宋_GB2312" w:hAnsi="仿宋"/>
          <w:color w:val="000000"/>
          <w:szCs w:val="32"/>
        </w:rPr>
      </w:pPr>
      <w:r>
        <w:rPr>
          <w:rFonts w:hint="eastAsia" w:ascii="黑体" w:hAnsi="黑体" w:eastAsia="黑体" w:cs="黑体"/>
          <w:color w:val="000000"/>
          <w:szCs w:val="32"/>
        </w:rPr>
        <w:t>第四十二条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违反本条例第十八条第九项规定，破坏、占用公共绿地的，由城市管理部门责令限期退还绿化用地，恢复原状，处每平方米二十元至一百元罚款。</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第四十三条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十项规定，在风景名胜区刻划、涂污、损坏景物、设施的，由风景名胜区管理机构责令恢复原状或者采取其他补救措施，处五十元罚款；刻划、涂污或者以其他方式故意损坏国家保护的文物、名胜古迹的，</w:t>
      </w:r>
      <w:r>
        <w:rPr>
          <w:rFonts w:hint="eastAsia" w:ascii="仿宋_GB2312" w:hAnsi="仿宋"/>
          <w:color w:val="000000"/>
          <w:szCs w:val="32"/>
          <w:lang w:eastAsia="zh-CN"/>
        </w:rPr>
        <w:t>依照《中华人民共和国治安管理处罚法》的相关规定予以处罚</w:t>
      </w:r>
      <w:r>
        <w:rPr>
          <w:rFonts w:hint="eastAsia" w:ascii="仿宋_GB2312" w:hAnsi="仿宋"/>
          <w:color w:val="000000"/>
          <w:szCs w:val="32"/>
          <w:lang w:val="en-US" w:eastAsia="zh-CN"/>
        </w:rPr>
        <w:t>；</w:t>
      </w:r>
      <w:r>
        <w:rPr>
          <w:rFonts w:hint="eastAsia" w:ascii="仿宋_GB2312" w:hAnsi="仿宋"/>
          <w:color w:val="000000"/>
          <w:szCs w:val="32"/>
          <w:lang w:eastAsia="zh-CN"/>
        </w:rPr>
        <w:t>构成犯罪的，依法追究刑事责任</w:t>
      </w:r>
      <w:r>
        <w:rPr>
          <w:rFonts w:hint="eastAsia" w:ascii="仿宋_GB2312" w:hAnsi="仿宋"/>
          <w:color w:val="000000"/>
          <w:szCs w:val="32"/>
        </w:rPr>
        <w:t>。</w:t>
      </w:r>
    </w:p>
    <w:p>
      <w:pPr>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第四十四条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违反本条例第十八条第十一项规定，未取得导游证或者不具备领队条件而从事导游、领队活动的，由旅游主管部门责令改正，没收违法所得，并处一千元以上一万元以下罚款，予以公告。</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第四十五条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十九条规定，对饲养的犬只不按照动物疫病强制免疫计划进行狂犬疫苗强制免疫接种的，由农业农村主管部门责令改正，给予警告；拒不改正的，由农业农村主管部门代作处理，所需处理费用由违法行为人承担，</w:t>
      </w:r>
      <w:r>
        <w:rPr>
          <w:rFonts w:hint="eastAsia" w:ascii="仿宋_GB2312" w:hAnsi="仿宋"/>
          <w:color w:val="000000"/>
          <w:szCs w:val="32"/>
          <w:lang w:eastAsia="zh-CN"/>
        </w:rPr>
        <w:t>并</w:t>
      </w:r>
      <w:r>
        <w:rPr>
          <w:rFonts w:hint="eastAsia" w:ascii="仿宋_GB2312" w:hAnsi="仿宋"/>
          <w:color w:val="000000"/>
          <w:szCs w:val="32"/>
        </w:rPr>
        <w:t>可以处一千元以下罚款。</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不给犬只登记的，由公安机关责令改正；拒不改正的，扣押犬只，督促养犬人在规定的期限内进行登记，并对单位处二千元罚款，对个人处五百元罚款；逾期仍不登记的，没收犬只。</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黑体" w:hAnsi="黑体" w:eastAsia="黑体" w:cs="黑体"/>
          <w:color w:val="000000"/>
          <w:szCs w:val="32"/>
        </w:rPr>
        <w:t>第四十六条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违反本条例第二十二条规定饲养危险犬只的，由公安机关责令改正；拒不改正的，没收犬只，并对单位处每只一万元罚款，对个人处每只五千元罚款。</w:t>
      </w:r>
      <w:r>
        <w:rPr>
          <w:rFonts w:hint="eastAsia" w:ascii="仿宋_GB2312" w:hAnsi="仿宋"/>
          <w:color w:val="000000"/>
          <w:szCs w:val="32"/>
          <w:lang w:eastAsia="zh-CN"/>
        </w:rPr>
        <w:t>违反第二十二条第一款其他规定</w:t>
      </w:r>
      <w:r>
        <w:rPr>
          <w:rFonts w:ascii="仿宋_GB2312" w:hAnsi="仿宋"/>
          <w:color w:val="000000"/>
          <w:szCs w:val="32"/>
        </w:rPr>
        <w:t>的，依照</w:t>
      </w:r>
      <w:r>
        <w:rPr>
          <w:rFonts w:hint="eastAsia" w:ascii="仿宋_GB2312" w:hAnsi="仿宋"/>
          <w:color w:val="000000"/>
          <w:szCs w:val="32"/>
        </w:rPr>
        <w:t>《中华人民共和国治安管理处罚法》</w:t>
      </w:r>
      <w:r>
        <w:rPr>
          <w:rFonts w:hint="eastAsia" w:ascii="仿宋_GB2312" w:hAnsi="仿宋"/>
          <w:color w:val="000000"/>
          <w:szCs w:val="32"/>
          <w:lang w:eastAsia="zh-CN"/>
        </w:rPr>
        <w:t>的</w:t>
      </w:r>
      <w:r>
        <w:rPr>
          <w:rFonts w:hint="eastAsia" w:ascii="仿宋_GB2312" w:hAnsi="仿宋"/>
          <w:color w:val="000000"/>
          <w:szCs w:val="32"/>
        </w:rPr>
        <w:t>相关</w:t>
      </w:r>
      <w:r>
        <w:rPr>
          <w:rFonts w:ascii="仿宋_GB2312" w:hAnsi="仿宋"/>
          <w:color w:val="000000"/>
          <w:szCs w:val="32"/>
        </w:rPr>
        <w:t>规定</w:t>
      </w:r>
      <w:r>
        <w:rPr>
          <w:rFonts w:hint="eastAsia" w:ascii="仿宋_GB2312" w:hAnsi="仿宋"/>
          <w:color w:val="000000"/>
          <w:szCs w:val="32"/>
        </w:rPr>
        <w:t>予以</w:t>
      </w:r>
      <w:r>
        <w:rPr>
          <w:rFonts w:ascii="仿宋_GB2312" w:hAnsi="仿宋"/>
          <w:color w:val="000000"/>
          <w:szCs w:val="32"/>
        </w:rPr>
        <w:t>处罚。</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黑体" w:hAnsi="黑体" w:eastAsia="黑体" w:cs="黑体"/>
          <w:color w:val="000000"/>
          <w:szCs w:val="32"/>
        </w:rPr>
        <w:t>第四十七条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违反本条例第二十三条规定，在城市管理区携犬出户，有下列情形之一的，由公安机关给予警告；警告后不改正的，处二百元以上五百元以下罚款：</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（一）由非完全民事行为能力人牵领的；</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（二）不挂犬牌、不束犬绳（链）的；</w:t>
      </w:r>
    </w:p>
    <w:p>
      <w:pPr>
        <w:widowControl/>
        <w:wordWrap/>
        <w:adjustRightInd/>
        <w:snapToGrid/>
        <w:spacing w:line="560" w:lineRule="exact"/>
        <w:ind w:firstLine="616" w:firstLineChars="200"/>
        <w:textAlignment w:val="auto"/>
        <w:rPr>
          <w:rFonts w:ascii="仿宋_GB2312" w:hAnsi="仿宋"/>
          <w:color w:val="000000"/>
          <w:szCs w:val="32"/>
        </w:rPr>
      </w:pPr>
      <w:r>
        <w:rPr>
          <w:rFonts w:hint="eastAsia" w:ascii="仿宋_GB2312" w:hAnsi="仿宋"/>
          <w:color w:val="000000"/>
          <w:szCs w:val="32"/>
        </w:rPr>
        <w:t>（三）携工作犬、导盲犬之外的犬只乘坐公共交通工具，进入国家机关、学校、医院、商场等场所以及设有犬类禁入标识的区域的。</w:t>
      </w:r>
    </w:p>
    <w:p>
      <w:pPr>
        <w:widowControl/>
        <w:wordWrap/>
        <w:adjustRightInd/>
        <w:snapToGrid/>
        <w:spacing w:line="560" w:lineRule="exact"/>
        <w:ind w:firstLine="616" w:firstLineChars="200"/>
        <w:textAlignment w:val="auto"/>
        <w:rPr>
          <w:rFonts w:hint="eastAsia" w:ascii="仿宋_GB2312" w:hAnsi="仿宋"/>
          <w:color w:val="000000"/>
          <w:szCs w:val="32"/>
        </w:rPr>
      </w:pPr>
      <w:r>
        <w:rPr>
          <w:rFonts w:hint="eastAsia" w:ascii="仿宋_GB2312" w:hAnsi="仿宋"/>
          <w:color w:val="000000"/>
          <w:szCs w:val="32"/>
        </w:rPr>
        <w:t>不即时清理犬只排泄物的，由城市管理部门责令改正；拒不改正的，处五十元以上一百元以下罚款。</w:t>
      </w:r>
    </w:p>
    <w:p>
      <w:pPr>
        <w:wordWrap/>
        <w:adjustRightInd/>
        <w:snapToGrid/>
        <w:spacing w:line="560" w:lineRule="exact"/>
        <w:ind w:firstLine="616" w:firstLineChars="200"/>
        <w:jc w:val="left"/>
        <w:textAlignment w:val="auto"/>
        <w:rPr>
          <w:rFonts w:hint="eastAsia" w:ascii="仿宋_GB2312" w:hAnsi="仿宋"/>
          <w:color w:val="000000"/>
          <w:szCs w:val="32"/>
        </w:rPr>
      </w:pPr>
      <w:r>
        <w:rPr>
          <w:rFonts w:hint="eastAsia" w:ascii="黑体" w:hAnsi="黑体" w:eastAsia="黑体" w:cs="黑体"/>
          <w:color w:val="000000"/>
          <w:szCs w:val="32"/>
        </w:rPr>
        <w:t>第四十八条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违反本条例第二十四条规定的，依照《中华人民共和国野生动物保护法》的相关规定予以处罚。</w:t>
      </w:r>
    </w:p>
    <w:p>
      <w:pPr>
        <w:wordWrap/>
        <w:adjustRightInd/>
        <w:snapToGrid/>
        <w:spacing w:line="560" w:lineRule="exact"/>
        <w:ind w:firstLine="570"/>
        <w:textAlignment w:val="auto"/>
        <w:rPr>
          <w:rFonts w:ascii="仿宋" w:hAnsi="仿宋" w:eastAsia="仿宋"/>
          <w:color w:val="000000"/>
          <w:szCs w:val="32"/>
        </w:rPr>
      </w:pPr>
      <w:r>
        <w:rPr>
          <w:rFonts w:hint="eastAsia" w:ascii="黑体" w:hAnsi="黑体" w:eastAsia="黑体" w:cs="黑体"/>
          <w:color w:val="000000"/>
          <w:szCs w:val="32"/>
        </w:rPr>
        <w:t>第四十九条</w:t>
      </w:r>
      <w:r>
        <w:rPr>
          <w:rFonts w:hint="eastAsia" w:ascii="楷体_GB2312" w:hAnsi="仿宋" w:eastAsia="楷体_GB2312" w:cs="楷体_GB2312"/>
          <w:color w:val="000000"/>
          <w:szCs w:val="32"/>
          <w:lang w:val="en-US" w:eastAsia="zh-CN"/>
        </w:rPr>
        <w:t xml:space="preserve">  </w:t>
      </w:r>
      <w:r>
        <w:rPr>
          <w:rFonts w:hint="eastAsia" w:ascii="仿宋_GB2312" w:hAnsi="仿宋"/>
          <w:color w:val="000000"/>
          <w:szCs w:val="32"/>
        </w:rPr>
        <w:t>国家机关及其工作人员在文明行为促进工作中不履行或者不正确履行职责的，由其上级主管部门、监察机关或者所在单位责令改正；情节严重的，对直接负责的主管人员和其他直接责任人员给予处分。</w:t>
      </w:r>
    </w:p>
    <w:p>
      <w:pPr>
        <w:wordWrap/>
        <w:adjustRightInd/>
        <w:snapToGrid/>
        <w:spacing w:line="560" w:lineRule="exact"/>
        <w:ind w:firstLine="616" w:firstLineChars="200"/>
        <w:textAlignment w:val="auto"/>
        <w:rPr>
          <w:rFonts w:hint="eastAsia" w:ascii="仿宋_GB2312" w:hAnsi="仿宋" w:cs="Calibri"/>
          <w:color w:val="000000"/>
          <w:szCs w:val="32"/>
        </w:rPr>
      </w:pPr>
      <w:r>
        <w:rPr>
          <w:rFonts w:hint="eastAsia" w:ascii="黑体" w:hAnsi="黑体" w:eastAsia="黑体" w:cs="黑体"/>
          <w:color w:val="000000"/>
          <w:szCs w:val="32"/>
        </w:rPr>
        <w:t>第五十条</w:t>
      </w:r>
      <w:r>
        <w:rPr>
          <w:rFonts w:hint="eastAsia" w:ascii="仿宋_GB2312" w:hAnsi="仿宋_GB2312" w:eastAsia="仿宋_GB2312" w:cs="仿宋_GB2312"/>
          <w:color w:val="000000"/>
          <w:szCs w:val="32"/>
          <w:lang w:val="en-US" w:eastAsia="zh-CN"/>
        </w:rPr>
        <w:t xml:space="preserve">  </w:t>
      </w:r>
      <w:r>
        <w:rPr>
          <w:rFonts w:hint="eastAsia" w:ascii="仿宋_GB2312" w:hAnsi="仿宋_GB2312" w:eastAsia="仿宋_GB2312" w:cs="仿宋_GB2312"/>
          <w:color w:val="000000"/>
          <w:szCs w:val="32"/>
        </w:rPr>
        <w:t>违反本条例规定的其他不文明行为，法律、法规已有规定的，适用其规定。</w:t>
      </w:r>
    </w:p>
    <w:p>
      <w:pPr>
        <w:pStyle w:val="11"/>
        <w:wordWrap/>
        <w:adjustRightInd/>
        <w:snapToGrid/>
        <w:spacing w:line="560" w:lineRule="exact"/>
        <w:ind w:firstLine="0" w:firstLineChars="0"/>
        <w:jc w:val="center"/>
        <w:textAlignment w:val="auto"/>
        <w:rPr>
          <w:rFonts w:hint="eastAsia" w:ascii="宋体" w:hAnsi="宋体" w:eastAsia="宋体" w:cs="宋体"/>
          <w:color w:val="000000"/>
          <w:sz w:val="32"/>
          <w:szCs w:val="32"/>
        </w:rPr>
      </w:pPr>
    </w:p>
    <w:p>
      <w:pPr>
        <w:pStyle w:val="11"/>
        <w:wordWrap/>
        <w:adjustRightInd/>
        <w:snapToGrid/>
        <w:spacing w:line="560" w:lineRule="exact"/>
        <w:ind w:firstLine="0" w:firstLine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第五章  附则</w:t>
      </w:r>
    </w:p>
    <w:p>
      <w:pPr>
        <w:wordWrap/>
        <w:adjustRightInd/>
        <w:snapToGrid/>
        <w:spacing w:line="560" w:lineRule="exact"/>
        <w:ind w:firstLine="570"/>
        <w:textAlignment w:val="auto"/>
        <w:rPr>
          <w:rFonts w:hint="eastAsia" w:ascii="宋体" w:hAnsi="宋体" w:eastAsia="宋体" w:cs="宋体"/>
          <w:color w:val="000000"/>
          <w:szCs w:val="32"/>
        </w:rPr>
      </w:pPr>
    </w:p>
    <w:p>
      <w:pPr>
        <w:wordWrap/>
        <w:adjustRightInd/>
        <w:snapToGrid/>
        <w:spacing w:line="560" w:lineRule="exact"/>
        <w:ind w:firstLine="616" w:firstLineChars="200"/>
        <w:textAlignment w:val="auto"/>
        <w:rPr>
          <w:rFonts w:hint="eastAsia" w:ascii="仿宋_GB2312" w:hAnsi="仿宋" w:cs="仿宋_GB2312"/>
          <w:spacing w:val="0"/>
          <w:szCs w:val="32"/>
        </w:rPr>
      </w:pPr>
      <w:r>
        <w:rPr>
          <w:rFonts w:hint="eastAsia" w:ascii="黑体" w:hAnsi="黑体" w:eastAsia="黑体" w:cs="黑体"/>
          <w:color w:val="000000"/>
          <w:szCs w:val="32"/>
        </w:rPr>
        <w:t>第五十一条</w:t>
      </w:r>
      <w:r>
        <w:rPr>
          <w:rFonts w:hint="eastAsia" w:ascii="楷体_GB2312" w:hAnsi="仿宋" w:eastAsia="楷体_GB2312" w:cs="楷体_GB2312"/>
          <w:color w:val="000000"/>
          <w:szCs w:val="32"/>
          <w:lang w:val="en-US" w:eastAsia="zh-CN"/>
        </w:rPr>
        <w:t xml:space="preserve">  </w:t>
      </w:r>
      <w:r>
        <w:rPr>
          <w:rFonts w:ascii="仿宋_GB2312" w:hAnsi="仿宋"/>
          <w:color w:val="000000"/>
          <w:szCs w:val="32"/>
        </w:rPr>
        <w:t>本条例自</w:t>
      </w:r>
      <w:r>
        <w:rPr>
          <w:rFonts w:hint="eastAsia" w:ascii="仿宋_GB2312" w:hAnsi="仿宋"/>
          <w:color w:val="000000"/>
          <w:szCs w:val="32"/>
        </w:rPr>
        <w:t>2020</w:t>
      </w:r>
      <w:r>
        <w:rPr>
          <w:rFonts w:ascii="仿宋_GB2312" w:hAnsi="仿宋"/>
          <w:color w:val="000000"/>
          <w:szCs w:val="32"/>
        </w:rPr>
        <w:t>年</w:t>
      </w:r>
      <w:r>
        <w:rPr>
          <w:rFonts w:hint="eastAsia" w:ascii="仿宋_GB2312" w:hAnsi="仿宋"/>
          <w:color w:val="000000"/>
          <w:szCs w:val="32"/>
        </w:rPr>
        <w:t>10</w:t>
      </w:r>
      <w:r>
        <w:rPr>
          <w:rFonts w:ascii="仿宋_GB2312" w:hAnsi="仿宋"/>
          <w:color w:val="000000"/>
          <w:szCs w:val="32"/>
        </w:rPr>
        <w:t>月</w:t>
      </w:r>
      <w:r>
        <w:rPr>
          <w:rFonts w:hint="eastAsia" w:ascii="仿宋_GB2312" w:hAnsi="仿宋"/>
          <w:color w:val="000000"/>
          <w:szCs w:val="32"/>
        </w:rPr>
        <w:t>1</w:t>
      </w:r>
      <w:r>
        <w:rPr>
          <w:rFonts w:ascii="仿宋_GB2312" w:hAnsi="仿宋"/>
          <w:color w:val="000000"/>
          <w:szCs w:val="32"/>
        </w:rPr>
        <w:t>日起施行。</w:t>
      </w:r>
    </w:p>
    <w:p>
      <w:pPr>
        <w:wordWrap/>
        <w:adjustRightInd/>
        <w:snapToGrid/>
        <w:spacing w:line="560" w:lineRule="exact"/>
        <w:ind w:firstLine="640" w:firstLineChars="200"/>
        <w:textAlignment w:val="auto"/>
        <w:rPr>
          <w:rFonts w:hint="eastAsia" w:ascii="仿宋_GB2312" w:hAnsi="仿宋" w:cs="仿宋_GB2312"/>
          <w:spacing w:val="0"/>
          <w:szCs w:val="32"/>
        </w:rPr>
      </w:pPr>
    </w:p>
    <w:p>
      <w:pPr>
        <w:wordWrap/>
        <w:adjustRightInd/>
        <w:snapToGrid/>
        <w:spacing w:line="560" w:lineRule="exact"/>
        <w:textAlignment w:val="auto"/>
        <w:rPr>
          <w:rFonts w:hint="eastAsia" w:ascii="仿宋_GB2312"/>
          <w:spacing w:val="0"/>
          <w:szCs w:val="32"/>
        </w:rPr>
      </w:pPr>
    </w:p>
    <w:p>
      <w:pPr>
        <w:wordWrap/>
        <w:adjustRightInd/>
        <w:snapToGrid/>
        <w:spacing w:line="560" w:lineRule="exact"/>
        <w:textAlignment w:val="auto"/>
      </w:pPr>
    </w:p>
    <w:p>
      <w:pPr>
        <w:wordWrap/>
        <w:adjustRightInd/>
        <w:snapToGrid/>
        <w:spacing w:line="560" w:lineRule="exact"/>
        <w:textAlignment w:val="auto"/>
      </w:pPr>
    </w:p>
    <w:sectPr>
      <w:headerReference r:id="rId4" w:type="default"/>
      <w:footerReference r:id="rId5" w:type="default"/>
      <w:footerReference r:id="rId6" w:type="even"/>
      <w:pgSz w:w="11906" w:h="16838"/>
      <w:pgMar w:top="2098" w:right="1531" w:bottom="1984" w:left="1531" w:header="851" w:footer="1587" w:gutter="0"/>
      <w:pgNumType w:fmt="numberInDash"/>
      <w:cols w:space="720" w:num="1"/>
      <w:rtlGutter w:val="0"/>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w:altName w:val="Lucida Sans"/>
    <w:panose1 w:val="020F0502020204030204"/>
    <w:charset w:val="00"/>
    <w:family w:val="auto"/>
    <w:pitch w:val="default"/>
    <w:sig w:usb0="E10002FF" w:usb1="4000ACFF" w:usb2="00000009" w:usb3="00000000" w:csb0="2000019F" w:csb1="00000000"/>
  </w:font>
  <w:font w:name="仿宋">
    <w:altName w:val="仿宋_GB2312"/>
    <w:panose1 w:val="02010609060101010101"/>
    <w:charset w:val="86"/>
    <w:family w:val="auto"/>
    <w:pitch w:val="default"/>
    <w:sig w:usb0="800002BF" w:usb1="38CF7CFA" w:usb2="00000016" w:usb3="00000000" w:csb0="00040001"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outside" w:y="1"/>
      <w:rPr>
        <w:rStyle w:val="8"/>
        <w:rFonts w:ascii="宋体" w:hAnsi="宋体" w:eastAsia="宋体"/>
        <w:sz w:val="28"/>
        <w:szCs w:val="28"/>
      </w:rPr>
    </w:pPr>
    <w:r>
      <w:rPr>
        <w:rFonts w:ascii="宋体" w:hAnsi="宋体" w:eastAsia="宋体"/>
        <w:sz w:val="28"/>
        <w:szCs w:val="28"/>
      </w:rPr>
      <w:fldChar w:fldCharType="begin"/>
    </w:r>
    <w:r>
      <w:rPr>
        <w:rStyle w:val="8"/>
        <w:rFonts w:ascii="宋体" w:hAnsi="宋体" w:eastAsia="宋体"/>
        <w:sz w:val="28"/>
        <w:szCs w:val="28"/>
      </w:rPr>
      <w:instrText xml:space="preserve">PAGE  </w:instrText>
    </w:r>
    <w:r>
      <w:rPr>
        <w:rFonts w:ascii="宋体" w:hAnsi="宋体" w:eastAsia="宋体"/>
        <w:sz w:val="28"/>
        <w:szCs w:val="28"/>
      </w:rPr>
      <w:fldChar w:fldCharType="separate"/>
    </w:r>
    <w:r>
      <w:rPr>
        <w:rStyle w:val="8"/>
        <w:rFonts w:ascii="宋体" w:hAnsi="宋体" w:eastAsia="宋体"/>
        <w:sz w:val="28"/>
        <w:szCs w:val="28"/>
      </w:rPr>
      <w:t>- 1 -</w:t>
    </w:r>
    <w:r>
      <w:rPr>
        <w:rFonts w:ascii="宋体" w:hAnsi="宋体" w:eastAsia="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outside" w:y="1"/>
      <w:rPr>
        <w:rStyle w:val="8"/>
      </w:rPr>
    </w:pPr>
    <w:r>
      <w:fldChar w:fldCharType="begin"/>
    </w:r>
    <w:r>
      <w:rPr>
        <w:rStyle w:val="8"/>
      </w:rPr>
      <w:instrText xml:space="preserve">PAGE  </w:instrText>
    </w:r>
    <w:r>
      <w:fldChar w:fldCharType="end"/>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1078314">
    <w:nsid w:val="5ED5EDAA"/>
    <w:multiLevelType w:val="singleLevel"/>
    <w:tmpl w:val="5ED5EDAA"/>
    <w:lvl w:ilvl="0" w:tentative="1">
      <w:start w:val="3"/>
      <w:numFmt w:val="chineseCounting"/>
      <w:suff w:val="nothing"/>
      <w:lvlText w:val="（%1）"/>
      <w:lvlJc w:val="left"/>
    </w:lvl>
  </w:abstractNum>
  <w:num w:numId="1">
    <w:abstractNumId w:val="15910783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1B274FA8"/>
    <w:rsid w:val="22D56652"/>
    <w:rsid w:val="273D7225"/>
    <w:rsid w:val="2A3929B6"/>
    <w:rsid w:val="2D253577"/>
    <w:rsid w:val="44E20D23"/>
    <w:rsid w:val="4B3F5C58"/>
    <w:rsid w:val="60316046"/>
    <w:rsid w:val="610D5265"/>
    <w:rsid w:val="6B5604CA"/>
    <w:rsid w:val="72860CE0"/>
    <w:rsid w:val="734E61D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keepNext/>
      <w:keepLines/>
      <w:spacing w:beforeLines="0" w:beforeAutospacing="0" w:afterLines="0" w:afterAutospacing="0" w:line="560" w:lineRule="exact"/>
      <w:ind w:firstLine="632" w:firstLineChars="200"/>
      <w:outlineLvl w:val="0"/>
    </w:pPr>
    <w:rPr>
      <w:rFonts w:eastAsia="黑体" w:cs="Times New Roman"/>
      <w:kern w:val="44"/>
      <w:sz w:val="32"/>
      <w:szCs w:val="20"/>
    </w:rPr>
  </w:style>
  <w:style w:type="paragraph" w:styleId="3">
    <w:name w:val="heading 2"/>
    <w:basedOn w:val="1"/>
    <w:next w:val="1"/>
    <w:unhideWhenUsed/>
    <w:qFormat/>
    <w:uiPriority w:val="0"/>
    <w:pPr>
      <w:keepNext/>
      <w:keepLines/>
      <w:spacing w:beforeLines="0" w:beforeAutospacing="0" w:afterLines="0" w:afterAutospacing="0" w:line="560" w:lineRule="exact"/>
      <w:ind w:firstLine="632" w:firstLineChars="200"/>
      <w:outlineLvl w:val="1"/>
    </w:pPr>
    <w:rPr>
      <w:rFonts w:ascii="Arial" w:hAnsi="Arial" w:eastAsia="楷体_GB2312" w:cs="Times New Roman"/>
      <w:kern w:val="32"/>
      <w:sz w:val="32"/>
      <w:szCs w:val="20"/>
    </w:rPr>
  </w:style>
  <w:style w:type="character" w:default="1" w:styleId="7">
    <w:name w:val="Default Paragraph Font"/>
    <w:semiHidden/>
    <w:qFormat/>
    <w:uiPriority w:val="0"/>
  </w:style>
  <w:style w:type="table" w:default="1" w:styleId="10">
    <w:name w:val="Normal Table"/>
    <w:semiHidden/>
    <w:qFormat/>
    <w:uiPriority w:val="0"/>
    <w:tblPr>
      <w:tblStyle w:val="10"/>
      <w:tblLayout w:type="fixed"/>
      <w:tblCellMar>
        <w:top w:w="0" w:type="dxa"/>
        <w:left w:w="108" w:type="dxa"/>
        <w:bottom w:w="0" w:type="dxa"/>
        <w:right w:w="108" w:type="dxa"/>
      </w:tblCellMar>
    </w:tblPr>
    <w:tcPr>
      <w:textDirection w:val="lrTb"/>
    </w:tcPr>
  </w:style>
  <w:style w:type="paragraph" w:styleId="4">
    <w:name w:val="Body Text"/>
    <w:basedOn w:val="1"/>
    <w:uiPriority w:val="0"/>
    <w:pPr>
      <w:spacing w:after="120" w:line="240" w:lineRule="auto"/>
    </w:pPr>
    <w:rPr>
      <w:rFonts w:eastAsia="宋体"/>
      <w:spacing w:val="0"/>
      <w:sz w:val="21"/>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character" w:styleId="9">
    <w:name w:val="Hyperlink"/>
    <w:basedOn w:val="7"/>
    <w:uiPriority w:val="0"/>
    <w:rPr>
      <w:color w:val="0000FF"/>
      <w:u w:val="single"/>
    </w:rPr>
  </w:style>
  <w:style w:type="paragraph" w:customStyle="1" w:styleId="11">
    <w:name w:val="列出段落1"/>
    <w:basedOn w:val="1"/>
    <w:qFormat/>
    <w:uiPriority w:val="0"/>
    <w:pPr>
      <w:spacing w:line="240" w:lineRule="auto"/>
      <w:ind w:firstLine="420" w:firstLineChars="200"/>
    </w:pPr>
    <w:rPr>
      <w:rFonts w:ascii="Calibri" w:hAnsi="Calibri" w:eastAsia="宋体" w:cs="Calibri"/>
      <w:spacing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Lei</cp:lastModifiedBy>
  <dcterms:modified xsi:type="dcterms:W3CDTF">2020-08-20T07:01:42Z</dcterms:modified>
  <dc:title>九江市文明行为促进条例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