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560" w:lineRule="exact"/>
        <w:jc w:val="center"/>
        <w:rPr>
          <w:rFonts w:ascii="宋体" w:hAnsi="宋体" w:eastAsia="宋体" w:cs="宋体"/>
          <w:bCs/>
          <w:color w:val="000000"/>
          <w:sz w:val="32"/>
          <w:szCs w:val="32"/>
        </w:rPr>
      </w:pPr>
    </w:p>
    <w:p>
      <w:pPr>
        <w:pStyle w:val="12"/>
        <w:widowControl w:val="0"/>
        <w:wordWrap/>
        <w:adjustRightInd/>
        <w:snapToGrid/>
        <w:spacing w:after="0" w:line="560" w:lineRule="exact"/>
        <w:ind w:left="0" w:leftChars="0" w:firstLine="0" w:firstLineChars="0"/>
        <w:jc w:val="center"/>
        <w:rPr>
          <w:rFonts w:hint="eastAsia" w:ascii="宋体" w:hAnsi="宋体" w:eastAsia="宋体" w:cs="宋体"/>
          <w:sz w:val="32"/>
          <w:szCs w:val="32"/>
        </w:rPr>
      </w:pPr>
    </w:p>
    <w:p>
      <w:pPr>
        <w:pStyle w:val="2"/>
        <w:widowControl w:val="0"/>
        <w:wordWrap/>
        <w:adjustRightInd/>
        <w:snapToGrid/>
        <w:spacing w:after="0" w:line="560" w:lineRule="exact"/>
        <w:jc w:val="center"/>
        <w:textAlignment w:val="auto"/>
        <w:rPr>
          <w:color w:val="000000"/>
        </w:rPr>
      </w:pPr>
      <w:r>
        <w:rPr>
          <w:rFonts w:hint="eastAsia" w:ascii="宋体" w:hAnsi="宋体" w:eastAsia="宋体" w:cs="宋体"/>
          <w:bCs/>
          <w:sz w:val="44"/>
          <w:szCs w:val="44"/>
        </w:rPr>
        <w:t>萍乡市文明行为促进条例</w:t>
      </w:r>
    </w:p>
    <w:p>
      <w:pPr>
        <w:pStyle w:val="2"/>
        <w:widowControl w:val="0"/>
        <w:wordWrap/>
        <w:adjustRightInd/>
        <w:snapToGrid/>
        <w:spacing w:after="0" w:line="560" w:lineRule="exact"/>
        <w:ind w:left="632" w:leftChars="200" w:right="632" w:rightChars="200" w:firstLine="0" w:firstLineChars="0"/>
        <w:textAlignment w:val="auto"/>
        <w:rPr>
          <w:rFonts w:hint="eastAsia" w:ascii="宋体" w:hAnsi="宋体" w:eastAsia="宋体" w:cs="宋体"/>
          <w:color w:val="000000"/>
        </w:rPr>
      </w:pPr>
    </w:p>
    <w:p>
      <w:pPr>
        <w:pStyle w:val="2"/>
        <w:widowControl w:val="0"/>
        <w:wordWrap/>
        <w:adjustRightInd/>
        <w:snapToGrid/>
        <w:spacing w:after="0" w:line="560" w:lineRule="exact"/>
        <w:ind w:left="632" w:leftChars="200" w:right="632" w:rightChars="200" w:firstLine="0" w:firstLineChars="0"/>
        <w:textAlignment w:val="auto"/>
        <w:rPr>
          <w:rFonts w:ascii="宋体" w:eastAsia="宋体" w:cs="宋体"/>
          <w:bCs/>
          <w:sz w:val="44"/>
          <w:szCs w:val="44"/>
        </w:rPr>
      </w:pPr>
      <w:r>
        <w:rPr>
          <w:rFonts w:hint="eastAsia" w:ascii="楷体_GB2312" w:eastAsia="楷体_GB2312"/>
          <w:color w:val="000000"/>
        </w:rPr>
        <w:t>（</w:t>
      </w:r>
      <w:r>
        <w:rPr>
          <w:rFonts w:ascii="楷体_GB2312" w:eastAsia="楷体_GB2312"/>
          <w:color w:val="000000"/>
        </w:rPr>
        <w:t>2020</w:t>
      </w:r>
      <w:r>
        <w:rPr>
          <w:rFonts w:hint="eastAsia" w:ascii="楷体_GB2312" w:eastAsia="楷体_GB2312"/>
          <w:color w:val="000000"/>
        </w:rPr>
        <w:t>年</w:t>
      </w:r>
      <w:r>
        <w:rPr>
          <w:rFonts w:ascii="楷体_GB2312" w:eastAsia="楷体_GB2312"/>
          <w:color w:val="000000"/>
        </w:rPr>
        <w:t>6</w:t>
      </w:r>
      <w:r>
        <w:rPr>
          <w:rFonts w:hint="eastAsia" w:ascii="楷体_GB2312" w:eastAsia="楷体_GB2312"/>
          <w:color w:val="000000"/>
        </w:rPr>
        <w:t>月</w:t>
      </w:r>
      <w:r>
        <w:rPr>
          <w:rFonts w:ascii="楷体_GB2312" w:eastAsia="楷体_GB2312"/>
          <w:color w:val="000000"/>
        </w:rPr>
        <w:t>30</w:t>
      </w:r>
      <w:r>
        <w:rPr>
          <w:rFonts w:hint="eastAsia" w:ascii="楷体_GB2312" w:eastAsia="楷体_GB2312"/>
          <w:color w:val="000000"/>
        </w:rPr>
        <w:t>日萍乡市第十五届人民代表大会常务委员会第二十八次会议通过</w:t>
      </w:r>
      <w:r>
        <w:rPr>
          <w:rFonts w:hint="eastAsia" w:ascii="楷体_GB2312" w:eastAsia="楷体_GB2312"/>
          <w:color w:val="000000"/>
          <w:lang w:val="en-US" w:eastAsia="zh-CN"/>
        </w:rPr>
        <w:t xml:space="preserve">  </w:t>
      </w:r>
      <w:r>
        <w:rPr>
          <w:rFonts w:ascii="楷体_GB2312" w:eastAsia="楷体_GB2312"/>
          <w:color w:val="000000"/>
        </w:rPr>
        <w:t>2020</w:t>
      </w:r>
      <w:r>
        <w:rPr>
          <w:rFonts w:hint="eastAsia" w:ascii="楷体_GB2312" w:eastAsia="楷体_GB2312"/>
          <w:color w:val="000000"/>
        </w:rPr>
        <w:t>年</w:t>
      </w:r>
      <w:r>
        <w:rPr>
          <w:rFonts w:hint="eastAsia" w:ascii="楷体_GB2312" w:eastAsia="楷体_GB2312"/>
          <w:color w:val="000000"/>
          <w:lang w:val="en-US" w:eastAsia="zh-CN"/>
        </w:rPr>
        <w:t>7</w:t>
      </w:r>
      <w:r>
        <w:rPr>
          <w:rFonts w:hint="eastAsia" w:ascii="楷体_GB2312" w:eastAsia="楷体_GB2312"/>
          <w:color w:val="000000"/>
        </w:rPr>
        <w:t>月</w:t>
      </w:r>
      <w:r>
        <w:rPr>
          <w:rFonts w:hint="eastAsia" w:ascii="楷体_GB2312" w:eastAsia="楷体_GB2312"/>
          <w:color w:val="000000"/>
          <w:lang w:val="en-US" w:eastAsia="zh-CN"/>
        </w:rPr>
        <w:t>24</w:t>
      </w:r>
      <w:r>
        <w:rPr>
          <w:rFonts w:hint="eastAsia" w:ascii="楷体_GB2312" w:eastAsia="楷体_GB2312"/>
          <w:color w:val="000000"/>
        </w:rPr>
        <w:t>日江西省第十三届人民代表大会常务委员会第</w:t>
      </w:r>
      <w:r>
        <w:rPr>
          <w:rFonts w:hint="eastAsia" w:ascii="楷体_GB2312" w:eastAsia="楷体_GB2312"/>
          <w:color w:val="000000"/>
          <w:lang w:eastAsia="zh-CN"/>
        </w:rPr>
        <w:t>二十一</w:t>
      </w:r>
      <w:r>
        <w:rPr>
          <w:rFonts w:hint="eastAsia" w:ascii="楷体_GB2312" w:eastAsia="楷体_GB2312"/>
          <w:color w:val="000000"/>
        </w:rPr>
        <w:t>次会议批准）</w:t>
      </w:r>
    </w:p>
    <w:p>
      <w:pPr>
        <w:widowControl w:val="0"/>
        <w:wordWrap/>
        <w:adjustRightInd/>
        <w:snapToGrid/>
        <w:spacing w:line="560" w:lineRule="exact"/>
        <w:contextualSpacing/>
        <w:textAlignment w:val="auto"/>
        <w:rPr>
          <w:rFonts w:ascii="宋体" w:eastAsia="宋体" w:cs="宋体"/>
          <w:szCs w:val="32"/>
        </w:rPr>
      </w:pPr>
    </w:p>
    <w:p>
      <w:pPr>
        <w:widowControl w:val="0"/>
        <w:wordWrap/>
        <w:adjustRightInd/>
        <w:snapToGrid/>
        <w:spacing w:line="560" w:lineRule="exact"/>
        <w:contextualSpacing/>
        <w:jc w:val="center"/>
        <w:textAlignment w:val="auto"/>
        <w:rPr>
          <w:rFonts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widowControl w:val="0"/>
        <w:wordWrap/>
        <w:adjustRightInd/>
        <w:snapToGrid/>
        <w:spacing w:line="560" w:lineRule="exact"/>
        <w:ind w:firstLine="632" w:firstLineChars="200"/>
        <w:contextualSpacing/>
        <w:textAlignment w:val="auto"/>
        <w:rPr>
          <w:rFonts w:ascii="楷体_GB2312" w:hAnsi="楷体_GB2312" w:eastAsia="楷体_GB2312" w:cs="楷体_GB2312"/>
          <w:szCs w:val="32"/>
        </w:rPr>
      </w:pP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widowControl w:val="0"/>
        <w:wordWrap/>
        <w:adjustRightInd/>
        <w:snapToGrid/>
        <w:spacing w:line="560" w:lineRule="exact"/>
        <w:ind w:firstLine="632" w:firstLineChars="200"/>
        <w:contextualSpacing/>
        <w:textAlignment w:val="auto"/>
        <w:rPr>
          <w:rFonts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文明行为规范</w:t>
      </w:r>
    </w:p>
    <w:p>
      <w:pPr>
        <w:widowControl w:val="0"/>
        <w:wordWrap/>
        <w:adjustRightInd/>
        <w:snapToGrid/>
        <w:spacing w:line="560" w:lineRule="exact"/>
        <w:ind w:firstLine="632" w:firstLineChars="200"/>
        <w:contextualSpacing/>
        <w:textAlignment w:val="auto"/>
        <w:rPr>
          <w:rFonts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促进与保障</w:t>
      </w:r>
    </w:p>
    <w:p>
      <w:pPr>
        <w:widowControl w:val="0"/>
        <w:wordWrap/>
        <w:adjustRightInd/>
        <w:snapToGrid/>
        <w:spacing w:line="560" w:lineRule="exact"/>
        <w:ind w:firstLine="632" w:firstLineChars="200"/>
        <w:contextualSpacing/>
        <w:textAlignment w:val="auto"/>
        <w:rPr>
          <w:rFonts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widowControl w:val="0"/>
        <w:wordWrap/>
        <w:adjustRightInd/>
        <w:snapToGrid/>
        <w:spacing w:line="560" w:lineRule="exact"/>
        <w:ind w:firstLine="632" w:firstLineChars="200"/>
        <w:contextualSpacing/>
        <w:textAlignment w:val="auto"/>
        <w:rPr>
          <w:rFonts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widowControl w:val="0"/>
        <w:wordWrap/>
        <w:adjustRightInd/>
        <w:snapToGrid/>
        <w:spacing w:line="560" w:lineRule="exact"/>
        <w:contextualSpacing/>
        <w:textAlignment w:val="auto"/>
        <w:rPr>
          <w:rFonts w:hint="eastAsia" w:ascii="宋体" w:hAnsi="宋体" w:eastAsia="宋体" w:cs="宋体"/>
          <w:szCs w:val="32"/>
        </w:rPr>
      </w:pPr>
    </w:p>
    <w:p>
      <w:pPr>
        <w:widowControl w:val="0"/>
        <w:wordWrap/>
        <w:adjustRightInd/>
        <w:snapToGrid/>
        <w:spacing w:line="560" w:lineRule="exact"/>
        <w:contextualSpacing/>
        <w:jc w:val="center"/>
        <w:textAlignment w:val="auto"/>
        <w:rPr>
          <w:rFonts w:ascii="黑体" w:hAnsi="黑体" w:eastAsia="黑体" w:cs="宋体"/>
          <w:szCs w:val="32"/>
        </w:rPr>
      </w:pPr>
      <w:r>
        <w:rPr>
          <w:rFonts w:hint="eastAsia" w:ascii="黑体" w:hAnsi="黑体" w:eastAsia="黑体" w:cs="宋体"/>
          <w:szCs w:val="32"/>
        </w:rPr>
        <w:t>第一章</w:t>
      </w:r>
      <w:r>
        <w:rPr>
          <w:rFonts w:hint="eastAsia" w:ascii="黑体" w:hAnsi="黑体" w:eastAsia="黑体" w:cs="宋体"/>
          <w:szCs w:val="32"/>
          <w:lang w:val="en-US" w:eastAsia="zh-CN"/>
        </w:rPr>
        <w:t xml:space="preserve">  </w:t>
      </w:r>
      <w:r>
        <w:rPr>
          <w:rFonts w:hint="eastAsia" w:ascii="黑体" w:hAnsi="黑体" w:eastAsia="黑体" w:cs="宋体"/>
          <w:szCs w:val="32"/>
        </w:rPr>
        <w:t>总则</w:t>
      </w:r>
    </w:p>
    <w:p>
      <w:pPr>
        <w:widowControl w:val="0"/>
        <w:wordWrap/>
        <w:adjustRightInd/>
        <w:snapToGrid/>
        <w:spacing w:line="560" w:lineRule="exact"/>
        <w:ind w:firstLine="632" w:firstLineChars="200"/>
        <w:contextualSpacing/>
        <w:textAlignment w:val="auto"/>
        <w:rPr>
          <w:rFonts w:hint="eastAsia" w:ascii="宋体" w:hAnsi="宋体" w:eastAsia="宋体" w:cs="宋体"/>
          <w:szCs w:val="32"/>
        </w:rPr>
      </w:pPr>
      <w:bookmarkStart w:id="0" w:name="_GoBack"/>
      <w:bookmarkEnd w:id="0"/>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szCs w:val="32"/>
        </w:rPr>
        <w:t>第一条</w:t>
      </w:r>
      <w:r>
        <w:rPr>
          <w:rFonts w:hint="eastAsia" w:ascii="仿宋_GB2312" w:hAnsi="仿宋_GB2312" w:eastAsia="黑体" w:cs="仿宋_GB2312"/>
          <w:szCs w:val="32"/>
          <w:lang w:val="en-US" w:eastAsia="zh-CN"/>
        </w:rPr>
        <w:t xml:space="preserve">  </w:t>
      </w:r>
      <w:r>
        <w:rPr>
          <w:rFonts w:hint="eastAsia" w:ascii="仿宋_GB2312" w:hAnsi="仿宋_GB2312" w:cs="仿宋_GB2312"/>
          <w:szCs w:val="32"/>
        </w:rPr>
        <w:t>为了培育和践行社会主义核心价值观，规范和引导文明行为，提升公民文明素质和社会文明程度，根据有关法律、法规的规定，结合本市实际，制定本条例。</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szCs w:val="32"/>
        </w:rPr>
        <w:t>第二条</w:t>
      </w:r>
      <w:r>
        <w:rPr>
          <w:rFonts w:hint="eastAsia" w:ascii="仿宋_GB2312" w:hAnsi="仿宋_GB2312" w:eastAsia="黑体" w:cs="仿宋_GB2312"/>
          <w:szCs w:val="32"/>
          <w:lang w:val="en-US" w:eastAsia="zh-CN"/>
        </w:rPr>
        <w:t xml:space="preserve">  </w:t>
      </w:r>
      <w:r>
        <w:rPr>
          <w:rFonts w:hint="eastAsia" w:ascii="仿宋_GB2312" w:hAnsi="仿宋_GB2312" w:cs="仿宋_GB2312"/>
          <w:szCs w:val="32"/>
        </w:rPr>
        <w:t>本市行政区域内的文明行为促进活动，适用本条例。</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本条例所称文明行为，是指遵守宪法和法律、法规的规定，践行社会主义核心价值观，符合社会主义道德要求和公序良俗，引领社会风尚，推动社会文明进步的行为。</w:t>
      </w:r>
    </w:p>
    <w:p>
      <w:pPr>
        <w:widowControl w:val="0"/>
        <w:wordWrap/>
        <w:adjustRightInd/>
        <w:snapToGrid/>
        <w:spacing w:line="560" w:lineRule="exact"/>
        <w:ind w:firstLine="632" w:firstLineChars="200"/>
        <w:contextualSpacing/>
        <w:textAlignment w:val="auto"/>
        <w:rPr>
          <w:rFonts w:ascii="仿宋_GB2312" w:cs="仿宋_GB2312"/>
          <w:color w:val="000000"/>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黑体" w:cs="仿宋_GB2312"/>
          <w:color w:val="000000"/>
          <w:szCs w:val="32"/>
          <w:lang w:val="en-US" w:eastAsia="zh-CN"/>
        </w:rPr>
        <w:t xml:space="preserve"> </w:t>
      </w:r>
      <w:r>
        <w:rPr>
          <w:rFonts w:hint="eastAsia" w:ascii="仿宋_GB2312" w:hAnsi="仿宋_GB2312" w:cs="仿宋_GB2312"/>
          <w:color w:val="000000"/>
          <w:szCs w:val="32"/>
        </w:rPr>
        <w:t>本市文明行为促进活动应当与城市战略定位相符合，建设</w:t>
      </w:r>
      <w:r>
        <w:rPr>
          <w:rFonts w:hint="eastAsia" w:ascii="仿宋_GB2312" w:hAnsi="仿宋_GB2312" w:cs="仿宋_GB2312"/>
          <w:color w:val="222222"/>
          <w:szCs w:val="32"/>
        </w:rPr>
        <w:t>崇德向善、文化厚重、和谐</w:t>
      </w:r>
      <w:r>
        <w:rPr>
          <w:rFonts w:hint="eastAsia" w:ascii="仿宋_GB2312" w:hAnsi="仿宋_GB2312" w:cs="仿宋_GB2312"/>
          <w:color w:val="000000"/>
          <w:szCs w:val="32"/>
        </w:rPr>
        <w:t>宜</w:t>
      </w:r>
      <w:r>
        <w:rPr>
          <w:rFonts w:hint="eastAsia" w:ascii="仿宋_GB2312" w:hAnsi="仿宋_GB2312" w:cs="仿宋_GB2312"/>
          <w:color w:val="222222"/>
          <w:szCs w:val="32"/>
        </w:rPr>
        <w:t>居、人民满意的文明城市</w:t>
      </w:r>
      <w:r>
        <w:rPr>
          <w:rFonts w:hint="eastAsia" w:ascii="仿宋_GB2312" w:hAnsi="仿宋_GB2312" w:cs="仿宋_GB2312"/>
          <w:color w:val="000000"/>
          <w:szCs w:val="32"/>
        </w:rPr>
        <w:t>，打造“工运摇篮，小城大爱”城市品牌。</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仿宋_GB2312" w:hAnsi="仿宋_GB2312" w:eastAsia="黑体" w:cs="仿宋_GB2312"/>
          <w:szCs w:val="32"/>
          <w:lang w:val="en-US" w:eastAsia="zh-CN"/>
        </w:rPr>
        <w:t xml:space="preserve"> </w:t>
      </w:r>
      <w:r>
        <w:rPr>
          <w:rFonts w:hint="eastAsia" w:ascii="仿宋_GB2312" w:hAnsi="仿宋_GB2312" w:cs="仿宋_GB2312"/>
          <w:szCs w:val="32"/>
        </w:rPr>
        <w:t>文明行为促进活动应当坚持党委领导、政府主导、社会协同、公众参与的原则。</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szCs w:val="32"/>
        </w:rPr>
        <w:t>第五条</w:t>
      </w:r>
      <w:r>
        <w:rPr>
          <w:rFonts w:hint="eastAsia" w:ascii="黑体" w:hAnsi="黑体" w:eastAsia="黑体" w:cs="黑体"/>
          <w:szCs w:val="32"/>
          <w:lang w:val="en-US" w:eastAsia="zh-CN"/>
        </w:rPr>
        <w:t xml:space="preserve">  </w:t>
      </w:r>
      <w:r>
        <w:rPr>
          <w:rFonts w:hint="eastAsia" w:ascii="仿宋_GB2312" w:hAnsi="仿宋_GB2312" w:cs="仿宋_GB2312"/>
          <w:szCs w:val="32"/>
        </w:rPr>
        <w:t>市、县（区）精神文明建设指导委员会统筹推进本行政区域内的文明行为促进工作。</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市、县（区）精神文明建设工作机构具体负责本行政区域内的文明行为促进工作的规划、组织、督导和检查。</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仿宋_GB2312" w:hAnsi="仿宋_GB2312" w:cs="仿宋_GB2312"/>
          <w:szCs w:val="32"/>
        </w:rPr>
        <w:t>市、县（区）人民政府应当将文明行为促进工作纳入国民经济和社会发展规划，制定相关政策措施，推动文明行为促进工作与经济社会协调发展，并将文明行为促进工作所需经费纳入财政预算。</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市、县（区）人民政府有关部门应当按照各自职责做好文明行为促进工作。</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乡（镇）人民政府、街道办事处应当将文明行为促进工作作为基层精神文明建设的工作内容。</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村</w:t>
      </w:r>
      <w:r>
        <w:rPr>
          <w:rFonts w:ascii="仿宋_GB2312" w:hAnsi="仿宋_GB2312" w:cs="仿宋_GB2312"/>
          <w:szCs w:val="32"/>
        </w:rPr>
        <w:t>(</w:t>
      </w:r>
      <w:r>
        <w:rPr>
          <w:rFonts w:hint="eastAsia" w:ascii="仿宋_GB2312" w:hAnsi="仿宋_GB2312" w:cs="仿宋_GB2312"/>
          <w:szCs w:val="32"/>
        </w:rPr>
        <w:t>居</w:t>
      </w:r>
      <w:r>
        <w:rPr>
          <w:rFonts w:ascii="仿宋_GB2312" w:hAnsi="仿宋_GB2312" w:cs="仿宋_GB2312"/>
          <w:szCs w:val="32"/>
        </w:rPr>
        <w:t>)</w:t>
      </w:r>
      <w:r>
        <w:rPr>
          <w:rFonts w:hint="eastAsia" w:ascii="仿宋_GB2312" w:hAnsi="仿宋_GB2312" w:cs="仿宋_GB2312"/>
          <w:szCs w:val="32"/>
        </w:rPr>
        <w:t>民委员会应当加强对文明行为的宣传与引导，协助做好文明行为促进工作。</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szCs w:val="32"/>
        </w:rPr>
        <w:t>第七条</w:t>
      </w:r>
      <w:r>
        <w:rPr>
          <w:rFonts w:hint="eastAsia" w:ascii="仿宋_GB2312" w:hAnsi="仿宋_GB2312" w:eastAsia="黑体" w:cs="仿宋_GB2312"/>
          <w:szCs w:val="32"/>
          <w:lang w:val="en-US" w:eastAsia="zh-CN"/>
        </w:rPr>
        <w:t xml:space="preserve">  </w:t>
      </w:r>
      <w:r>
        <w:rPr>
          <w:rFonts w:hint="eastAsia" w:ascii="仿宋_GB2312" w:hAnsi="仿宋_GB2312" w:cs="仿宋_GB2312"/>
          <w:color w:val="000000"/>
          <w:szCs w:val="32"/>
        </w:rPr>
        <w:t>单位</w:t>
      </w:r>
      <w:r>
        <w:rPr>
          <w:rFonts w:hint="eastAsia" w:ascii="仿宋_GB2312" w:hAnsi="仿宋_GB2312" w:cs="仿宋_GB2312"/>
          <w:szCs w:val="32"/>
        </w:rPr>
        <w:t>和个人应当积极参与文明行为促进活动。</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国家公职人员、人大代表、政协委员、先进模范应当在文明行为促进活动中发挥表率作用。</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hint="eastAsia" w:ascii="宋体" w:hAnsi="宋体" w:eastAsia="宋体" w:cs="宋体"/>
          <w:color w:val="000000"/>
          <w:kern w:val="32"/>
          <w:sz w:val="32"/>
          <w:szCs w:val="32"/>
        </w:rPr>
      </w:pPr>
    </w:p>
    <w:p>
      <w:pPr>
        <w:widowControl w:val="0"/>
        <w:tabs>
          <w:tab w:val="left" w:pos="2730"/>
        </w:tabs>
        <w:wordWrap/>
        <w:adjustRightInd/>
        <w:snapToGrid/>
        <w:spacing w:line="560" w:lineRule="exact"/>
        <w:contextualSpacing/>
        <w:jc w:val="center"/>
        <w:textAlignment w:val="auto"/>
        <w:rPr>
          <w:rFonts w:ascii="黑体" w:hAnsi="黑体" w:eastAsia="黑体" w:cs="宋体"/>
          <w:szCs w:val="32"/>
        </w:rPr>
      </w:pPr>
      <w:r>
        <w:rPr>
          <w:rFonts w:hint="eastAsia" w:ascii="黑体" w:hAnsi="黑体" w:eastAsia="黑体" w:cs="宋体"/>
          <w:szCs w:val="32"/>
        </w:rPr>
        <w:t>第二章</w:t>
      </w:r>
      <w:r>
        <w:rPr>
          <w:rFonts w:hint="eastAsia" w:ascii="黑体" w:hAnsi="黑体" w:eastAsia="黑体" w:cs="宋体"/>
          <w:szCs w:val="32"/>
          <w:lang w:val="en-US" w:eastAsia="zh-CN"/>
        </w:rPr>
        <w:t xml:space="preserve">  </w:t>
      </w:r>
      <w:r>
        <w:rPr>
          <w:rFonts w:hint="eastAsia" w:ascii="黑体" w:hAnsi="黑体" w:eastAsia="黑体" w:cs="宋体"/>
          <w:szCs w:val="32"/>
        </w:rPr>
        <w:t>文明行为规范</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hint="eastAsia" w:ascii="宋体" w:hAnsi="宋体" w:eastAsia="宋体" w:cs="宋体"/>
          <w:kern w:val="32"/>
          <w:sz w:val="32"/>
          <w:szCs w:val="32"/>
        </w:rPr>
      </w:pP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kern w:val="32"/>
          <w:sz w:val="32"/>
          <w:szCs w:val="32"/>
        </w:rPr>
      </w:pPr>
      <w:r>
        <w:rPr>
          <w:rFonts w:hint="eastAsia" w:ascii="黑体" w:hAnsi="黑体" w:eastAsia="黑体" w:cs="黑体"/>
          <w:kern w:val="32"/>
          <w:sz w:val="32"/>
          <w:szCs w:val="32"/>
        </w:rPr>
        <w:t>第八条</w:t>
      </w:r>
      <w:r>
        <w:rPr>
          <w:rFonts w:hint="eastAsia" w:ascii="黑体" w:hAnsi="黑体" w:eastAsia="黑体" w:cs="黑体"/>
          <w:kern w:val="32"/>
          <w:sz w:val="32"/>
          <w:szCs w:val="32"/>
          <w:lang w:val="en-US" w:eastAsia="zh-CN"/>
        </w:rPr>
        <w:t xml:space="preserve"> </w:t>
      </w:r>
      <w:r>
        <w:rPr>
          <w:rFonts w:hint="eastAsia" w:ascii="仿宋_GB2312" w:hAnsi="仿宋_GB2312" w:eastAsia="黑体" w:cs="仿宋_GB2312"/>
          <w:kern w:val="32"/>
          <w:sz w:val="32"/>
          <w:szCs w:val="32"/>
          <w:lang w:val="en-US" w:eastAsia="zh-CN"/>
        </w:rPr>
        <w:t xml:space="preserve"> </w:t>
      </w:r>
      <w:r>
        <w:rPr>
          <w:rFonts w:hint="eastAsia" w:ascii="仿宋_GB2312" w:hAnsi="仿宋_GB2312" w:cs="仿宋_GB2312"/>
          <w:kern w:val="32"/>
          <w:sz w:val="32"/>
          <w:szCs w:val="32"/>
        </w:rPr>
        <w:t>在公共场所，倡导下列文明行为：</w:t>
      </w:r>
      <w:r>
        <w:rPr>
          <w:rFonts w:ascii="仿宋_GB2312" w:cs="仿宋_GB2312"/>
          <w:kern w:val="32"/>
          <w:sz w:val="32"/>
          <w:szCs w:val="32"/>
        </w:rPr>
        <w:t> </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kern w:val="32"/>
          <w:sz w:val="32"/>
          <w:szCs w:val="32"/>
        </w:rPr>
      </w:pPr>
      <w:r>
        <w:rPr>
          <w:rFonts w:hint="eastAsia" w:ascii="仿宋_GB2312" w:hAnsi="仿宋_GB2312" w:cs="仿宋_GB2312"/>
          <w:kern w:val="32"/>
          <w:sz w:val="32"/>
          <w:szCs w:val="32"/>
        </w:rPr>
        <w:t>（一）衣着整洁，礼貌用语，不喧哗、干扰他人；</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kern w:val="32"/>
          <w:sz w:val="32"/>
          <w:szCs w:val="32"/>
        </w:rPr>
      </w:pPr>
      <w:r>
        <w:rPr>
          <w:rFonts w:hint="eastAsia" w:ascii="仿宋_GB2312" w:hAnsi="仿宋_GB2312" w:cs="仿宋_GB2312"/>
          <w:kern w:val="32"/>
          <w:sz w:val="32"/>
          <w:szCs w:val="32"/>
        </w:rPr>
        <w:t>（二）观看展览、体育比赛、文艺演出、电影等，遵守场馆管理规定和礼仪规范；</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kern w:val="32"/>
          <w:sz w:val="32"/>
          <w:szCs w:val="32"/>
        </w:rPr>
      </w:pPr>
      <w:r>
        <w:rPr>
          <w:rFonts w:hint="eastAsia" w:ascii="仿宋_GB2312" w:hAnsi="仿宋_GB2312" w:cs="仿宋_GB2312"/>
          <w:kern w:val="32"/>
          <w:sz w:val="32"/>
          <w:szCs w:val="32"/>
        </w:rPr>
        <w:t>（三）开展广场舞、室外演唱演奏等文体活动，合理选择活动的时间、地点以及方式，避免影响他人；</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kern w:val="32"/>
          <w:sz w:val="32"/>
          <w:szCs w:val="32"/>
        </w:rPr>
      </w:pPr>
      <w:r>
        <w:rPr>
          <w:rFonts w:hint="eastAsia" w:ascii="仿宋_GB2312" w:hAnsi="仿宋_GB2312" w:cs="仿宋_GB2312"/>
          <w:kern w:val="32"/>
          <w:sz w:val="32"/>
          <w:szCs w:val="32"/>
        </w:rPr>
        <w:t>（四）等候公共服务、使用公共设施、参加公共活动时，相互礼让，依次排队；</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kern w:val="32"/>
          <w:sz w:val="32"/>
          <w:szCs w:val="32"/>
        </w:rPr>
      </w:pPr>
      <w:r>
        <w:rPr>
          <w:rFonts w:hint="eastAsia" w:ascii="仿宋_GB2312" w:hAnsi="仿宋_GB2312" w:cs="仿宋_GB2312"/>
          <w:kern w:val="32"/>
          <w:sz w:val="32"/>
          <w:szCs w:val="32"/>
        </w:rPr>
        <w:t>（五）乘坐公共交通工具时有序上下，主动为老弱病残孕、携带婴幼儿和其他有需要的乘客让座；</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kern w:val="32"/>
          <w:sz w:val="32"/>
          <w:szCs w:val="32"/>
        </w:rPr>
      </w:pPr>
      <w:r>
        <w:rPr>
          <w:rFonts w:hint="eastAsia" w:ascii="仿宋_GB2312" w:hAnsi="仿宋_GB2312" w:cs="仿宋_GB2312"/>
          <w:kern w:val="32"/>
          <w:sz w:val="32"/>
          <w:szCs w:val="32"/>
        </w:rPr>
        <w:t>（六）驾驶机动车时，有序通行，礼让行人；</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kern w:val="32"/>
          <w:sz w:val="32"/>
          <w:szCs w:val="32"/>
        </w:rPr>
      </w:pPr>
      <w:r>
        <w:rPr>
          <w:rFonts w:hint="eastAsia" w:ascii="仿宋_GB2312" w:hAnsi="仿宋_GB2312" w:cs="仿宋_GB2312"/>
          <w:kern w:val="32"/>
          <w:sz w:val="32"/>
          <w:szCs w:val="32"/>
        </w:rPr>
        <w:t>（七）诚实守信，自觉履行法定和约定义务；</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（八）热情好客，礼貌待人，做文明有礼萍乡人；</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（九）聚餐用膳，公勺公筷；</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（十）节俭办理婚丧嫁娶、节庆等事宜；</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kern w:val="32"/>
          <w:sz w:val="32"/>
          <w:szCs w:val="32"/>
        </w:rPr>
      </w:pPr>
      <w:r>
        <w:rPr>
          <w:rFonts w:hint="eastAsia" w:ascii="仿宋_GB2312" w:hAnsi="仿宋_GB2312" w:cs="仿宋_GB2312"/>
          <w:kern w:val="32"/>
          <w:sz w:val="32"/>
          <w:szCs w:val="32"/>
        </w:rPr>
        <w:t>（十一）就医时，遵守医疗秩序，医患相互尊重，协商、依法处理医疗纠纷；</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kern w:val="32"/>
          <w:sz w:val="32"/>
          <w:szCs w:val="32"/>
        </w:rPr>
      </w:pPr>
      <w:r>
        <w:rPr>
          <w:rFonts w:hint="eastAsia" w:ascii="仿宋_GB2312" w:hAnsi="仿宋_GB2312" w:cs="仿宋_GB2312"/>
          <w:kern w:val="32"/>
          <w:sz w:val="32"/>
          <w:szCs w:val="32"/>
        </w:rPr>
        <w:t>（十二）旅游时，尊重当地习俗、传统文化和宗教信仰，爱护文物古迹、旅游设施和环境卫生。</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kern w:val="32"/>
          <w:sz w:val="32"/>
          <w:szCs w:val="32"/>
        </w:rPr>
      </w:pPr>
      <w:r>
        <w:rPr>
          <w:rFonts w:hint="eastAsia" w:ascii="黑体" w:hAnsi="黑体" w:eastAsia="黑体" w:cs="黑体"/>
          <w:color w:val="000000"/>
          <w:kern w:val="32"/>
          <w:sz w:val="32"/>
          <w:szCs w:val="32"/>
        </w:rPr>
        <w:t>第九条</w:t>
      </w:r>
      <w:r>
        <w:rPr>
          <w:rFonts w:hint="eastAsia" w:ascii="黑体" w:hAnsi="黑体" w:eastAsia="黑体" w:cs="黑体"/>
          <w:color w:val="000000"/>
          <w:kern w:val="32"/>
          <w:sz w:val="32"/>
          <w:szCs w:val="32"/>
          <w:lang w:val="en-US" w:eastAsia="zh-CN"/>
        </w:rPr>
        <w:t xml:space="preserve"> </w:t>
      </w:r>
      <w:r>
        <w:rPr>
          <w:rFonts w:hint="eastAsia" w:ascii="仿宋_GB2312" w:hAnsi="仿宋_GB2312" w:eastAsia="黑体" w:cs="仿宋_GB2312"/>
          <w:kern w:val="32"/>
          <w:sz w:val="32"/>
          <w:szCs w:val="32"/>
          <w:lang w:val="en-US" w:eastAsia="zh-CN"/>
        </w:rPr>
        <w:t xml:space="preserve"> </w:t>
      </w:r>
      <w:r>
        <w:rPr>
          <w:rFonts w:hint="eastAsia" w:ascii="仿宋_GB2312" w:hAnsi="仿宋_GB2312" w:cs="仿宋_GB2312"/>
          <w:kern w:val="32"/>
          <w:sz w:val="32"/>
          <w:szCs w:val="32"/>
        </w:rPr>
        <w:t>在家庭邻里间，倡导下列文明行为：</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kern w:val="32"/>
          <w:sz w:val="32"/>
          <w:szCs w:val="32"/>
        </w:rPr>
      </w:pPr>
      <w:r>
        <w:rPr>
          <w:rFonts w:hint="eastAsia" w:ascii="仿宋_GB2312" w:hAnsi="仿宋_GB2312" w:cs="仿宋_GB2312"/>
          <w:kern w:val="32"/>
          <w:sz w:val="32"/>
          <w:szCs w:val="32"/>
        </w:rPr>
        <w:t>（一）家庭成员间相互扶持，平等相待，和睦相处；</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kern w:val="32"/>
          <w:sz w:val="32"/>
          <w:szCs w:val="32"/>
        </w:rPr>
      </w:pPr>
      <w:r>
        <w:rPr>
          <w:rFonts w:hint="eastAsia" w:ascii="仿宋_GB2312" w:hAnsi="仿宋_GB2312" w:cs="仿宋_GB2312"/>
          <w:kern w:val="32"/>
          <w:sz w:val="32"/>
          <w:szCs w:val="32"/>
        </w:rPr>
        <w:t>（二）尊敬长辈，赡养老人；</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kern w:val="32"/>
          <w:sz w:val="32"/>
          <w:szCs w:val="32"/>
        </w:rPr>
      </w:pPr>
      <w:r>
        <w:rPr>
          <w:rFonts w:hint="eastAsia" w:ascii="仿宋_GB2312" w:hAnsi="仿宋_GB2312" w:cs="仿宋_GB2312"/>
          <w:kern w:val="32"/>
          <w:sz w:val="32"/>
          <w:szCs w:val="32"/>
        </w:rPr>
        <w:t>（三）关爱未成年人健康成长，培育文明行为习惯；</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kern w:val="32"/>
          <w:sz w:val="32"/>
          <w:szCs w:val="32"/>
        </w:rPr>
      </w:pPr>
      <w:r>
        <w:rPr>
          <w:rFonts w:hint="eastAsia" w:ascii="仿宋_GB2312" w:hAnsi="仿宋_GB2312" w:cs="仿宋_GB2312"/>
          <w:kern w:val="32"/>
          <w:sz w:val="32"/>
          <w:szCs w:val="32"/>
        </w:rPr>
        <w:t>（四）邻里间团结互助，不干扰他人正常生活。</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kern w:val="32"/>
          <w:sz w:val="32"/>
          <w:szCs w:val="32"/>
        </w:rPr>
      </w:pPr>
      <w:r>
        <w:rPr>
          <w:rFonts w:hint="eastAsia" w:ascii="黑体" w:hAnsi="黑体" w:eastAsia="黑体" w:cs="黑体"/>
          <w:color w:val="000000"/>
          <w:kern w:val="32"/>
          <w:sz w:val="32"/>
          <w:szCs w:val="32"/>
        </w:rPr>
        <w:t>第十条</w:t>
      </w:r>
      <w:r>
        <w:rPr>
          <w:rFonts w:hint="eastAsia" w:ascii="仿宋_GB2312" w:hAnsi="仿宋_GB2312" w:eastAsia="黑体" w:cs="仿宋_GB2312"/>
          <w:kern w:val="32"/>
          <w:sz w:val="32"/>
          <w:szCs w:val="32"/>
          <w:lang w:val="en-US" w:eastAsia="zh-CN"/>
        </w:rPr>
        <w:t xml:space="preserve">  </w:t>
      </w:r>
      <w:r>
        <w:rPr>
          <w:rFonts w:hint="eastAsia" w:ascii="仿宋_GB2312" w:hAnsi="仿宋_GB2312" w:cs="仿宋_GB2312"/>
          <w:kern w:val="32"/>
          <w:sz w:val="32"/>
          <w:szCs w:val="32"/>
        </w:rPr>
        <w:t>鼓励和支持下列文明行为：</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（一）采取适当的、与自身能力相适应的方式实施见义勇为行为；</w:t>
      </w:r>
    </w:p>
    <w:p>
      <w:pPr>
        <w:widowControl w:val="0"/>
        <w:wordWrap/>
        <w:adjustRightInd/>
        <w:snapToGrid/>
        <w:spacing w:line="560" w:lineRule="exact"/>
        <w:ind w:firstLine="632" w:firstLineChars="200"/>
        <w:contextualSpacing/>
        <w:textAlignment w:val="auto"/>
        <w:rPr>
          <w:rFonts w:ascii="仿宋_GB2312" w:cs="仿宋_GB2312"/>
          <w:color w:val="000000"/>
          <w:szCs w:val="32"/>
        </w:rPr>
      </w:pPr>
      <w:r>
        <w:rPr>
          <w:rFonts w:hint="eastAsia" w:ascii="仿宋_GB2312" w:hAnsi="仿宋_GB2312" w:cs="仿宋_GB2312"/>
          <w:szCs w:val="32"/>
        </w:rPr>
        <w:t>（二）</w:t>
      </w:r>
      <w:r>
        <w:rPr>
          <w:rFonts w:hint="eastAsia" w:ascii="仿宋_GB2312" w:hAnsi="仿宋_GB2312" w:cs="仿宋_GB2312"/>
          <w:color w:val="000000"/>
          <w:szCs w:val="32"/>
        </w:rPr>
        <w:t>开展扶贫、济困、救孤、赈灾、优抚、助学、助医、助残、扶老等慈善活动；</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（三）单位、个人依法参加志愿服务活动，为开展志愿服务活动提供资金支持、场所和便利条件；</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（四）无偿献血，无偿捐献人体细胞、人体组织、人体器官、遗体；</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（五）机关、企业事业单位、社会组织为环卫工人等户外工作人员和其他需要帮助的人员提供茶水、加热饭菜、遮风避雨、如厕等便利服务；</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kern w:val="32"/>
          <w:sz w:val="32"/>
          <w:szCs w:val="32"/>
        </w:rPr>
      </w:pPr>
      <w:r>
        <w:rPr>
          <w:rFonts w:hint="eastAsia" w:ascii="仿宋_GB2312" w:hAnsi="仿宋_GB2312" w:cs="仿宋_GB2312"/>
          <w:color w:val="000000"/>
          <w:kern w:val="32"/>
          <w:sz w:val="32"/>
          <w:szCs w:val="32"/>
        </w:rPr>
        <w:t>（六）具备急救技能的人员，对需要急救的人员实施紧急现场救护。</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color w:val="000000"/>
          <w:szCs w:val="32"/>
        </w:rPr>
        <w:t>第十一条</w:t>
      </w:r>
      <w:r>
        <w:rPr>
          <w:rFonts w:hint="eastAsia" w:ascii="黑体" w:hAnsi="黑体" w:eastAsia="黑体" w:cs="黑体"/>
          <w:color w:val="000000"/>
          <w:szCs w:val="32"/>
          <w:lang w:val="en-US" w:eastAsia="zh-CN"/>
        </w:rPr>
        <w:t xml:space="preserve">  </w:t>
      </w:r>
      <w:r>
        <w:rPr>
          <w:rFonts w:hint="eastAsia" w:ascii="仿宋_GB2312" w:hAnsi="仿宋_GB2312" w:cs="仿宋_GB2312"/>
          <w:szCs w:val="32"/>
        </w:rPr>
        <w:t>在维护公共环境卫生方面，应当遵守下列文明行为规范：</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（一）绿色低碳生活；</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（二）不在禁止区域和时段燃放烟花爆竹；</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（三）爱护花草树木，不破坏草坪、绿篱、花卉、树木、植被等公共绿地和绿化设施；</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（四）不食用野生动物，不非法买卖野生动物及其制品；</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（五）在公共场所咳嗽、打喷嚏时遮掩口鼻，患有流行性感冒等传染性呼吸道疾病时主动佩戴口罩；</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（六）其他维护公共环境卫生的文明行为规范。</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color w:val="000000"/>
          <w:szCs w:val="32"/>
        </w:rPr>
        <w:t>第十二条</w:t>
      </w:r>
      <w:r>
        <w:rPr>
          <w:rFonts w:hint="eastAsia" w:ascii="黑体" w:hAnsi="黑体" w:eastAsia="黑体" w:cs="黑体"/>
          <w:color w:val="000000"/>
          <w:szCs w:val="32"/>
          <w:lang w:val="en-US" w:eastAsia="zh-CN"/>
        </w:rPr>
        <w:t xml:space="preserve"> </w:t>
      </w:r>
      <w:r>
        <w:rPr>
          <w:rFonts w:hint="eastAsia" w:ascii="仿宋_GB2312" w:hAnsi="仿宋_GB2312" w:eastAsia="黑体" w:cs="仿宋_GB2312"/>
          <w:szCs w:val="32"/>
          <w:lang w:val="en-US" w:eastAsia="zh-CN"/>
        </w:rPr>
        <w:t xml:space="preserve"> </w:t>
      </w:r>
      <w:r>
        <w:rPr>
          <w:rFonts w:hint="eastAsia" w:ascii="仿宋_GB2312" w:hAnsi="仿宋_GB2312" w:cs="仿宋_GB2312"/>
          <w:szCs w:val="32"/>
        </w:rPr>
        <w:t>在维护交通安全秩序方面，应当遵守下列文明行为规范：</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（一）驾驶机动车、非机动车，按照道路标志、标线行驶，不插队，不逆行；</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（二）驾驶机动车时不使用电话和上网；</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（三）机动车、非机动车、行人主动避让应急车辆；</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（四）不干扰驾驶员安全驾驶；</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（五）爱护共享交通工具及相关设施，使用后在规定地点有序停放；</w:t>
      </w:r>
      <w:r>
        <w:rPr>
          <w:rFonts w:ascii="仿宋_GB2312" w:hAnsi="仿宋_GB2312" w:cs="仿宋_GB2312"/>
          <w:szCs w:val="32"/>
        </w:rPr>
        <w:t xml:space="preserve"> </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（六）其他维护交通安全秩序的文明行为规范。</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color w:val="000000"/>
          <w:szCs w:val="32"/>
        </w:rPr>
        <w:t>第十三条</w:t>
      </w:r>
      <w:r>
        <w:rPr>
          <w:rFonts w:hint="eastAsia" w:ascii="仿宋_GB2312" w:hAnsi="仿宋_GB2312" w:eastAsia="黑体" w:cs="仿宋_GB2312"/>
          <w:szCs w:val="32"/>
          <w:lang w:val="en-US" w:eastAsia="zh-CN"/>
        </w:rPr>
        <w:t xml:space="preserve">  </w:t>
      </w:r>
      <w:r>
        <w:rPr>
          <w:rFonts w:hint="eastAsia" w:ascii="仿宋_GB2312" w:hAnsi="仿宋_GB2312" w:cs="仿宋_GB2312"/>
          <w:szCs w:val="32"/>
        </w:rPr>
        <w:t>在维护社区和谐方面，应当遵守下列文明行为规范：</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（一）有序停放车辆，不妨碍其他车辆和人员通行，不堵塞他人车库门，不占用他人停车位；</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（二）家庭聚会娱乐、房屋装修等不影响他人正常生活；</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（三）不违反规定饲养家禽、家畜和宠物；</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（四）其他维护社区和谐文明的行为规范。</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color w:val="000000"/>
          <w:szCs w:val="32"/>
        </w:rPr>
        <w:t>第十四条</w:t>
      </w:r>
      <w:r>
        <w:rPr>
          <w:rFonts w:hint="eastAsia" w:ascii="黑体" w:hAnsi="黑体" w:eastAsia="黑体" w:cs="黑体"/>
          <w:color w:val="000000"/>
          <w:szCs w:val="32"/>
          <w:lang w:val="en-US" w:eastAsia="zh-CN"/>
        </w:rPr>
        <w:t xml:space="preserve">  </w:t>
      </w:r>
      <w:r>
        <w:rPr>
          <w:rFonts w:hint="eastAsia" w:ascii="仿宋_GB2312" w:hAnsi="仿宋_GB2312" w:cs="仿宋_GB2312"/>
          <w:szCs w:val="32"/>
        </w:rPr>
        <w:t>在维护乡村文明方面，应当遵守下列文明行为规范：</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（一）保持街道、院落整洁；</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（二）家禽家畜集中圈养，及时清理粪便；</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（三）不在公路上打场晒粮、堆放杂物；</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（四）不违反规定垂钓、用电或者用药捕鱼；</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（五）不违反规定建造坟墓；</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（六）其他维护乡村文明规范的行为规范。</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color w:val="000000"/>
          <w:szCs w:val="32"/>
        </w:rPr>
        <w:t>第十五条</w:t>
      </w:r>
      <w:r>
        <w:rPr>
          <w:rFonts w:hint="eastAsia" w:ascii="黑体" w:hAnsi="黑体" w:eastAsia="黑体" w:cs="黑体"/>
          <w:color w:val="000000"/>
          <w:szCs w:val="32"/>
          <w:lang w:val="en-US" w:eastAsia="zh-CN"/>
        </w:rPr>
        <w:t xml:space="preserve"> </w:t>
      </w:r>
      <w:r>
        <w:rPr>
          <w:rFonts w:hint="eastAsia" w:ascii="仿宋_GB2312" w:hAnsi="仿宋_GB2312" w:eastAsia="黑体" w:cs="仿宋_GB2312"/>
          <w:szCs w:val="32"/>
          <w:lang w:val="en-US" w:eastAsia="zh-CN"/>
        </w:rPr>
        <w:t xml:space="preserve"> </w:t>
      </w:r>
      <w:r>
        <w:rPr>
          <w:rFonts w:hint="eastAsia" w:ascii="仿宋_GB2312" w:hAnsi="仿宋_GB2312" w:cs="仿宋_GB2312"/>
          <w:szCs w:val="32"/>
        </w:rPr>
        <w:t>在维护网络文明方面，应当遵守下列文明行为规范：　　</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（一）自觉维护网络安全和秩序，文明上网，诚信用网，理性表达，有序参与；</w:t>
      </w:r>
      <w:r>
        <w:rPr>
          <w:rFonts w:ascii="仿宋_GB2312" w:cs="仿宋_GB2312"/>
          <w:szCs w:val="32"/>
        </w:rPr>
        <w:t> </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（二）自觉抵制网络谣言和不良信息，不编造、发布和传播虚假、低俗、淫秽、暴力信息；</w:t>
      </w:r>
      <w:r>
        <w:rPr>
          <w:rFonts w:ascii="仿宋_GB2312" w:cs="仿宋_GB2312"/>
          <w:szCs w:val="32"/>
        </w:rPr>
        <w:t> </w:t>
      </w:r>
      <w:r>
        <w:rPr>
          <w:rFonts w:hint="eastAsia" w:ascii="仿宋_GB2312" w:hAnsi="仿宋_GB2312" w:cs="仿宋_GB2312"/>
          <w:szCs w:val="32"/>
        </w:rPr>
        <w:t>　　</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（三）不泄露他人隐私和个人信息；</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（四）其他维护网络文明的行为规范。</w:t>
      </w:r>
    </w:p>
    <w:p>
      <w:pPr>
        <w:widowControl w:val="0"/>
        <w:wordWrap/>
        <w:adjustRightInd/>
        <w:snapToGrid/>
        <w:spacing w:line="560" w:lineRule="exact"/>
        <w:ind w:firstLine="632" w:firstLineChars="200"/>
        <w:contextualSpacing/>
        <w:textAlignment w:val="auto"/>
        <w:rPr>
          <w:rFonts w:ascii="仿宋_GB2312" w:cs="仿宋_GB2312"/>
          <w:color w:val="000000"/>
          <w:szCs w:val="32"/>
        </w:rPr>
      </w:pPr>
      <w:r>
        <w:rPr>
          <w:rFonts w:hint="eastAsia" w:ascii="黑体" w:hAnsi="黑体" w:eastAsia="黑体" w:cs="黑体"/>
          <w:color w:val="000000"/>
          <w:szCs w:val="32"/>
        </w:rPr>
        <w:t>第十六条</w:t>
      </w:r>
      <w:r>
        <w:rPr>
          <w:rFonts w:hint="eastAsia" w:ascii="黑体" w:hAnsi="黑体" w:eastAsia="黑体" w:cs="黑体"/>
          <w:color w:val="000000"/>
          <w:szCs w:val="32"/>
          <w:lang w:val="en-US" w:eastAsia="zh-CN"/>
        </w:rPr>
        <w:t xml:space="preserve"> </w:t>
      </w:r>
      <w:r>
        <w:rPr>
          <w:rFonts w:hint="eastAsia" w:ascii="仿宋_GB2312" w:hAnsi="仿宋_GB2312" w:eastAsia="黑体" w:cs="仿宋_GB2312"/>
          <w:color w:val="000000"/>
          <w:szCs w:val="32"/>
          <w:lang w:val="en-US" w:eastAsia="zh-CN"/>
        </w:rPr>
        <w:t xml:space="preserve"> </w:t>
      </w:r>
      <w:r>
        <w:rPr>
          <w:rFonts w:hint="eastAsia" w:ascii="仿宋_GB2312" w:hAnsi="仿宋_GB2312" w:cs="仿宋_GB2312"/>
          <w:color w:val="000000"/>
          <w:szCs w:val="32"/>
        </w:rPr>
        <w:t>重点治理下列不文明行为：</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（一）驾驶机动车行经人行横道时不减速行驶，遇行人通过人行横道不停车礼让行人，随意变道、加塞、不按照规定使用喇叭、灯光，乱停乱放；</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（二）驾驶非机动车闯红灯，违反规定在机动车道行驶</w:t>
      </w:r>
      <w:r>
        <w:rPr>
          <w:rFonts w:ascii="仿宋_GB2312" w:hAnsi="仿宋_GB2312" w:cs="仿宋_GB2312"/>
          <w:color w:val="000000"/>
          <w:kern w:val="32"/>
          <w:sz w:val="32"/>
          <w:szCs w:val="32"/>
        </w:rPr>
        <w:t>;</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（三）行人乱穿马路、闯红灯、跨越隔离栏；</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（四）出租车驾驶员非法揽客、拒载、途中甩客、故意绕道行驶、未经乘客同意搭载其他乘客；</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（五）违反规定堆放物品，擅自搭建建（构）筑物、占用公共停车位；</w:t>
      </w:r>
    </w:p>
    <w:p>
      <w:pPr>
        <w:widowControl w:val="0"/>
        <w:wordWrap/>
        <w:adjustRightInd/>
        <w:snapToGrid/>
        <w:spacing w:line="560" w:lineRule="exact"/>
        <w:ind w:firstLine="632" w:firstLineChars="200"/>
        <w:contextualSpacing/>
        <w:textAlignment w:val="auto"/>
        <w:rPr>
          <w:rFonts w:ascii="仿宋_GB2312" w:cs="仿宋_GB2312"/>
          <w:color w:val="000000"/>
          <w:szCs w:val="32"/>
        </w:rPr>
      </w:pPr>
      <w:r>
        <w:rPr>
          <w:rFonts w:hint="eastAsia" w:ascii="仿宋_GB2312" w:hAnsi="仿宋_GB2312" w:cs="仿宋_GB2312"/>
          <w:color w:val="000000"/>
          <w:szCs w:val="32"/>
        </w:rPr>
        <w:t>（六）从建筑物、车辆上向外抛掷物品；</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（七）遛犬不牵绳、不及时清理犬粪；</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（八）乱贴、乱涂小广告；</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（九）公共场所乱扔垃圾、随地吐痰；</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（十）在禁止吸烟的场所吸烟；</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（十一）在公共场所大声喧哗、争吵谩骂；</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（十二）户外广告设施、店铺招牌、标识，出现安全隐患、标识残缺污损以及含有不健康内容。</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hint="eastAsia" w:ascii="宋体" w:hAnsi="宋体" w:eastAsia="宋体" w:cs="宋体"/>
          <w:kern w:val="32"/>
          <w:sz w:val="32"/>
          <w:szCs w:val="32"/>
        </w:rPr>
      </w:pPr>
    </w:p>
    <w:p>
      <w:pPr>
        <w:widowControl w:val="0"/>
        <w:tabs>
          <w:tab w:val="left" w:pos="2730"/>
        </w:tabs>
        <w:wordWrap/>
        <w:adjustRightInd/>
        <w:snapToGrid/>
        <w:spacing w:line="560" w:lineRule="exact"/>
        <w:contextualSpacing/>
        <w:jc w:val="center"/>
        <w:textAlignment w:val="auto"/>
        <w:rPr>
          <w:rFonts w:ascii="黑体" w:hAnsi="黑体" w:eastAsia="黑体" w:cs="宋体"/>
          <w:szCs w:val="32"/>
        </w:rPr>
      </w:pPr>
      <w:r>
        <w:rPr>
          <w:rFonts w:hint="eastAsia" w:ascii="黑体" w:hAnsi="黑体" w:eastAsia="黑体" w:cs="宋体"/>
          <w:szCs w:val="32"/>
        </w:rPr>
        <w:t>第三章</w:t>
      </w:r>
      <w:r>
        <w:rPr>
          <w:rFonts w:hint="eastAsia" w:ascii="黑体" w:hAnsi="黑体" w:eastAsia="黑体" w:cs="宋体"/>
          <w:szCs w:val="32"/>
          <w:lang w:val="en-US" w:eastAsia="zh-CN"/>
        </w:rPr>
        <w:t xml:space="preserve">  </w:t>
      </w:r>
      <w:r>
        <w:rPr>
          <w:rFonts w:hint="eastAsia" w:ascii="黑体" w:hAnsi="黑体" w:eastAsia="黑体" w:cs="宋体"/>
          <w:szCs w:val="32"/>
        </w:rPr>
        <w:t>促进与保障</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hint="eastAsia" w:ascii="宋体" w:hAnsi="宋体" w:eastAsia="宋体" w:cs="宋体"/>
          <w:kern w:val="32"/>
          <w:sz w:val="32"/>
          <w:szCs w:val="32"/>
        </w:rPr>
      </w:pP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kern w:val="32"/>
          <w:sz w:val="32"/>
          <w:szCs w:val="32"/>
        </w:rPr>
      </w:pPr>
      <w:r>
        <w:rPr>
          <w:rFonts w:hint="eastAsia" w:ascii="黑体" w:hAnsi="黑体" w:eastAsia="黑体" w:cs="黑体"/>
          <w:color w:val="000000"/>
          <w:kern w:val="32"/>
          <w:sz w:val="32"/>
          <w:szCs w:val="32"/>
        </w:rPr>
        <w:t>第十七条</w:t>
      </w:r>
      <w:r>
        <w:rPr>
          <w:rFonts w:hint="eastAsia" w:ascii="仿宋_GB2312" w:hAnsi="仿宋_GB2312" w:eastAsia="黑体" w:cs="仿宋_GB2312"/>
          <w:kern w:val="32"/>
          <w:sz w:val="32"/>
          <w:szCs w:val="32"/>
          <w:lang w:val="en-US" w:eastAsia="zh-CN"/>
        </w:rPr>
        <w:t xml:space="preserve">  </w:t>
      </w:r>
      <w:r>
        <w:rPr>
          <w:rFonts w:hint="eastAsia" w:ascii="仿宋_GB2312" w:hAnsi="仿宋_GB2312" w:cs="仿宋_GB2312"/>
          <w:kern w:val="32"/>
          <w:sz w:val="32"/>
          <w:szCs w:val="32"/>
        </w:rPr>
        <w:t>市、县（区）人民政府应当根据本条例和相关法律、法规，完善检查监督、投诉举报、教育指导、诚信激励、联合执法等文明行为促进工作机制。</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color w:val="000000"/>
          <w:szCs w:val="32"/>
        </w:rPr>
        <w:t>第十八条</w:t>
      </w:r>
      <w:r>
        <w:rPr>
          <w:rFonts w:hint="eastAsia" w:ascii="黑体" w:hAnsi="黑体" w:eastAsia="黑体" w:cs="黑体"/>
          <w:color w:val="000000"/>
          <w:szCs w:val="32"/>
          <w:lang w:val="en-US" w:eastAsia="zh-CN"/>
        </w:rPr>
        <w:t xml:space="preserve"> </w:t>
      </w:r>
      <w:r>
        <w:rPr>
          <w:rFonts w:hint="eastAsia" w:ascii="仿宋_GB2312" w:hAnsi="仿宋_GB2312" w:eastAsia="黑体" w:cs="仿宋_GB2312"/>
          <w:szCs w:val="32"/>
          <w:lang w:val="en-US" w:eastAsia="zh-CN"/>
        </w:rPr>
        <w:t xml:space="preserve"> </w:t>
      </w:r>
      <w:r>
        <w:rPr>
          <w:rFonts w:hint="eastAsia" w:ascii="仿宋_GB2312" w:hAnsi="仿宋_GB2312" w:cs="仿宋_GB2312"/>
          <w:szCs w:val="32"/>
        </w:rPr>
        <w:t>市、县（区）人民政府及其有关部门应当合理布局和设置下列促进文明行为的公共设施</w:t>
      </w:r>
      <w:r>
        <w:rPr>
          <w:rFonts w:ascii="仿宋_GB2312" w:hAnsi="仿宋_GB2312" w:cs="仿宋_GB2312"/>
          <w:szCs w:val="32"/>
        </w:rPr>
        <w:t>:</w:t>
      </w:r>
    </w:p>
    <w:p>
      <w:pPr>
        <w:widowControl w:val="0"/>
        <w:wordWrap/>
        <w:adjustRightInd/>
        <w:snapToGrid/>
        <w:spacing w:line="560" w:lineRule="exact"/>
        <w:ind w:firstLine="632" w:firstLineChars="200"/>
        <w:contextualSpacing/>
        <w:textAlignment w:val="auto"/>
        <w:rPr>
          <w:rFonts w:ascii="仿宋_GB2312" w:cs="仿宋_GB2312"/>
          <w:color w:val="000000"/>
          <w:szCs w:val="32"/>
        </w:rPr>
      </w:pPr>
      <w:r>
        <w:rPr>
          <w:rFonts w:hint="eastAsia" w:ascii="仿宋_GB2312" w:hAnsi="仿宋_GB2312" w:cs="仿宋_GB2312"/>
          <w:color w:val="000000"/>
          <w:szCs w:val="32"/>
        </w:rPr>
        <w:t>（一）道路、桥梁、交通标志标线、电子监控等交通设施；</w:t>
      </w:r>
    </w:p>
    <w:p>
      <w:pPr>
        <w:widowControl w:val="0"/>
        <w:wordWrap/>
        <w:adjustRightInd/>
        <w:snapToGrid/>
        <w:spacing w:line="560" w:lineRule="exact"/>
        <w:ind w:firstLine="632" w:firstLineChars="200"/>
        <w:contextualSpacing/>
        <w:textAlignment w:val="auto"/>
        <w:rPr>
          <w:rFonts w:ascii="仿宋_GB2312" w:cs="仿宋_GB2312"/>
          <w:color w:val="000000"/>
          <w:szCs w:val="32"/>
        </w:rPr>
      </w:pPr>
      <w:r>
        <w:rPr>
          <w:rFonts w:hint="eastAsia" w:ascii="仿宋_GB2312" w:hAnsi="仿宋_GB2312" w:cs="仿宋_GB2312"/>
          <w:color w:val="000000"/>
          <w:szCs w:val="32"/>
        </w:rPr>
        <w:t>（二）人行横道、过街天桥、地下通道、绿化照明、停车泊位等市政设施；</w:t>
      </w:r>
    </w:p>
    <w:p>
      <w:pPr>
        <w:widowControl w:val="0"/>
        <w:wordWrap/>
        <w:adjustRightInd/>
        <w:snapToGrid/>
        <w:spacing w:line="560" w:lineRule="exact"/>
        <w:ind w:firstLine="632" w:firstLineChars="200"/>
        <w:contextualSpacing/>
        <w:textAlignment w:val="auto"/>
        <w:rPr>
          <w:rFonts w:ascii="仿宋_GB2312" w:cs="仿宋_GB2312"/>
          <w:color w:val="000000"/>
          <w:szCs w:val="32"/>
        </w:rPr>
      </w:pPr>
      <w:r>
        <w:rPr>
          <w:rFonts w:hint="eastAsia" w:ascii="仿宋_GB2312" w:hAnsi="仿宋_GB2312" w:cs="仿宋_GB2312"/>
          <w:color w:val="000000"/>
          <w:szCs w:val="32"/>
        </w:rPr>
        <w:t>（三）果壳箱，公共厕所，垃圾中转、处理和污水收集、处理等环卫设施；</w:t>
      </w:r>
    </w:p>
    <w:p>
      <w:pPr>
        <w:widowControl w:val="0"/>
        <w:wordWrap/>
        <w:adjustRightInd/>
        <w:snapToGrid/>
        <w:spacing w:line="560" w:lineRule="exact"/>
        <w:ind w:firstLine="632" w:firstLineChars="200"/>
        <w:contextualSpacing/>
        <w:textAlignment w:val="auto"/>
        <w:rPr>
          <w:rFonts w:ascii="仿宋_GB2312" w:cs="仿宋_GB2312"/>
          <w:color w:val="000000"/>
          <w:szCs w:val="32"/>
        </w:rPr>
      </w:pPr>
      <w:r>
        <w:rPr>
          <w:rFonts w:hint="eastAsia" w:ascii="仿宋_GB2312" w:hAnsi="仿宋_GB2312" w:cs="仿宋_GB2312"/>
          <w:color w:val="000000"/>
          <w:szCs w:val="32"/>
        </w:rPr>
        <w:t>（四）盲道、坡道、电梯等无障碍设施；</w:t>
      </w:r>
    </w:p>
    <w:p>
      <w:pPr>
        <w:widowControl w:val="0"/>
        <w:wordWrap/>
        <w:adjustRightInd/>
        <w:snapToGrid/>
        <w:spacing w:line="560" w:lineRule="exact"/>
        <w:ind w:firstLine="632" w:firstLineChars="200"/>
        <w:contextualSpacing/>
        <w:textAlignment w:val="auto"/>
        <w:rPr>
          <w:rFonts w:ascii="仿宋_GB2312" w:cs="仿宋_GB2312"/>
          <w:color w:val="000000"/>
          <w:szCs w:val="32"/>
        </w:rPr>
      </w:pPr>
      <w:r>
        <w:rPr>
          <w:rFonts w:hint="eastAsia" w:ascii="仿宋_GB2312" w:hAnsi="仿宋_GB2312" w:cs="仿宋_GB2312"/>
          <w:color w:val="000000"/>
          <w:szCs w:val="32"/>
        </w:rPr>
        <w:t>（五）必要的急救设备、设施；</w:t>
      </w:r>
    </w:p>
    <w:p>
      <w:pPr>
        <w:widowControl w:val="0"/>
        <w:wordWrap/>
        <w:adjustRightInd/>
        <w:snapToGrid/>
        <w:spacing w:line="560" w:lineRule="exact"/>
        <w:ind w:firstLine="632" w:firstLineChars="200"/>
        <w:contextualSpacing/>
        <w:textAlignment w:val="auto"/>
        <w:rPr>
          <w:rFonts w:ascii="仿宋_GB2312" w:cs="仿宋_GB2312"/>
          <w:color w:val="000000"/>
          <w:szCs w:val="32"/>
        </w:rPr>
      </w:pPr>
      <w:r>
        <w:rPr>
          <w:rFonts w:hint="eastAsia" w:ascii="仿宋_GB2312" w:hAnsi="仿宋_GB2312" w:cs="仿宋_GB2312"/>
          <w:color w:val="000000"/>
          <w:szCs w:val="32"/>
        </w:rPr>
        <w:t>（六）体育场（馆）、图书馆、文化馆、美术馆、博物馆、影剧院等公共文化设施；</w:t>
      </w:r>
    </w:p>
    <w:p>
      <w:pPr>
        <w:widowControl w:val="0"/>
        <w:wordWrap/>
        <w:adjustRightInd/>
        <w:snapToGrid/>
        <w:spacing w:line="560" w:lineRule="exact"/>
        <w:ind w:firstLine="632" w:firstLineChars="200"/>
        <w:contextualSpacing/>
        <w:textAlignment w:val="auto"/>
        <w:rPr>
          <w:rFonts w:ascii="仿宋_GB2312" w:cs="仿宋_GB2312"/>
          <w:color w:val="000000"/>
          <w:szCs w:val="32"/>
        </w:rPr>
      </w:pPr>
      <w:r>
        <w:rPr>
          <w:rFonts w:hint="eastAsia" w:ascii="仿宋_GB2312" w:hAnsi="仿宋_GB2312" w:cs="仿宋_GB2312"/>
          <w:color w:val="000000"/>
          <w:szCs w:val="32"/>
        </w:rPr>
        <w:t>（七）公园、广场等休闲娱乐设施；</w:t>
      </w:r>
    </w:p>
    <w:p>
      <w:pPr>
        <w:widowControl w:val="0"/>
        <w:wordWrap/>
        <w:adjustRightInd/>
        <w:snapToGrid/>
        <w:spacing w:line="560" w:lineRule="exact"/>
        <w:ind w:firstLine="632" w:firstLineChars="200"/>
        <w:contextualSpacing/>
        <w:textAlignment w:val="auto"/>
        <w:rPr>
          <w:rFonts w:ascii="仿宋_GB2312" w:cs="仿宋_GB2312"/>
          <w:color w:val="000000"/>
          <w:szCs w:val="32"/>
        </w:rPr>
      </w:pPr>
      <w:r>
        <w:rPr>
          <w:rFonts w:hint="eastAsia" w:ascii="仿宋_GB2312" w:hAnsi="仿宋_GB2312" w:cs="仿宋_GB2312"/>
          <w:color w:val="000000"/>
          <w:szCs w:val="32"/>
        </w:rPr>
        <w:t>（八）街道、楼宇、门牌等地名标识；</w:t>
      </w:r>
    </w:p>
    <w:p>
      <w:pPr>
        <w:widowControl w:val="0"/>
        <w:wordWrap/>
        <w:adjustRightInd/>
        <w:snapToGrid/>
        <w:spacing w:line="560" w:lineRule="exact"/>
        <w:ind w:firstLine="632" w:firstLineChars="200"/>
        <w:contextualSpacing/>
        <w:textAlignment w:val="auto"/>
        <w:rPr>
          <w:rFonts w:ascii="仿宋_GB2312" w:cs="仿宋_GB2312"/>
          <w:color w:val="000000"/>
          <w:szCs w:val="32"/>
        </w:rPr>
      </w:pPr>
      <w:r>
        <w:rPr>
          <w:rFonts w:hint="eastAsia" w:ascii="仿宋_GB2312" w:hAnsi="仿宋_GB2312" w:cs="仿宋_GB2312"/>
          <w:color w:val="000000"/>
          <w:szCs w:val="32"/>
        </w:rPr>
        <w:t>（九）文明行为引导标识和公益广告宣传设施；</w:t>
      </w:r>
    </w:p>
    <w:p>
      <w:pPr>
        <w:widowControl w:val="0"/>
        <w:wordWrap/>
        <w:adjustRightInd/>
        <w:snapToGrid/>
        <w:spacing w:line="560" w:lineRule="exact"/>
        <w:ind w:firstLine="632" w:firstLineChars="200"/>
        <w:contextualSpacing/>
        <w:textAlignment w:val="auto"/>
        <w:rPr>
          <w:rFonts w:ascii="仿宋_GB2312" w:cs="仿宋_GB2312"/>
          <w:color w:val="000000"/>
          <w:szCs w:val="32"/>
        </w:rPr>
      </w:pPr>
      <w:r>
        <w:rPr>
          <w:rFonts w:hint="eastAsia" w:ascii="仿宋_GB2312" w:hAnsi="仿宋_GB2312" w:cs="仿宋_GB2312"/>
          <w:color w:val="000000"/>
          <w:szCs w:val="32"/>
        </w:rPr>
        <w:t>（十）其他与文明行为促进有关的设施。</w:t>
      </w:r>
    </w:p>
    <w:p>
      <w:pPr>
        <w:widowControl w:val="0"/>
        <w:wordWrap/>
        <w:adjustRightInd/>
        <w:snapToGrid/>
        <w:spacing w:line="560" w:lineRule="exact"/>
        <w:ind w:firstLine="632" w:firstLineChars="200"/>
        <w:contextualSpacing/>
        <w:textAlignment w:val="auto"/>
        <w:rPr>
          <w:rFonts w:ascii="仿宋_GB2312" w:cs="仿宋_GB2312"/>
          <w:color w:val="000000"/>
          <w:szCs w:val="32"/>
        </w:rPr>
      </w:pPr>
      <w:r>
        <w:rPr>
          <w:rFonts w:hint="eastAsia" w:ascii="仿宋_GB2312" w:hAnsi="仿宋_GB2312" w:cs="仿宋_GB2312"/>
          <w:color w:val="000000"/>
          <w:szCs w:val="32"/>
        </w:rPr>
        <w:t>前款规定设施的经营管理单位应当加强日常检查，保证设施完好、整洁有序。</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kern w:val="32"/>
          <w:sz w:val="32"/>
          <w:szCs w:val="32"/>
        </w:rPr>
      </w:pPr>
      <w:r>
        <w:rPr>
          <w:rFonts w:hint="eastAsia" w:ascii="黑体" w:hAnsi="黑体" w:eastAsia="黑体" w:cs="黑体"/>
          <w:color w:val="000000"/>
          <w:kern w:val="32"/>
          <w:sz w:val="32"/>
          <w:szCs w:val="32"/>
        </w:rPr>
        <w:t>第十九条</w:t>
      </w:r>
      <w:r>
        <w:rPr>
          <w:rFonts w:hint="eastAsia" w:ascii="仿宋_GB2312" w:hAnsi="仿宋_GB2312" w:eastAsia="黑体" w:cs="仿宋_GB2312"/>
          <w:kern w:val="32"/>
          <w:sz w:val="32"/>
          <w:szCs w:val="32"/>
          <w:lang w:val="en-US" w:eastAsia="zh-CN"/>
        </w:rPr>
        <w:t xml:space="preserve">  </w:t>
      </w:r>
      <w:r>
        <w:rPr>
          <w:rFonts w:hint="eastAsia" w:ascii="仿宋_GB2312" w:hAnsi="仿宋_GB2312" w:cs="仿宋_GB2312"/>
          <w:kern w:val="32"/>
          <w:sz w:val="32"/>
          <w:szCs w:val="32"/>
        </w:rPr>
        <w:t>承担文明行为促进工作职责的有关部门和单位，可以聘请文明行为劝导员、监督员，协助开展文明行为的宣传、引导和不文明行为的劝诫等工作。</w:t>
      </w:r>
    </w:p>
    <w:p>
      <w:pPr>
        <w:widowControl w:val="0"/>
        <w:wordWrap/>
        <w:adjustRightInd/>
        <w:snapToGrid/>
        <w:spacing w:line="560" w:lineRule="exact"/>
        <w:ind w:firstLine="632" w:firstLineChars="200"/>
        <w:contextualSpacing/>
        <w:textAlignment w:val="auto"/>
        <w:rPr>
          <w:rFonts w:ascii="仿宋_GB2312" w:cs="仿宋_GB2312"/>
          <w:color w:val="000000"/>
          <w:szCs w:val="32"/>
        </w:rPr>
      </w:pPr>
      <w:r>
        <w:rPr>
          <w:rFonts w:hint="eastAsia" w:ascii="黑体" w:hAnsi="黑体" w:eastAsia="黑体" w:cs="黑体"/>
          <w:color w:val="000000"/>
          <w:szCs w:val="32"/>
        </w:rPr>
        <w:t>第二十条</w:t>
      </w:r>
      <w:r>
        <w:rPr>
          <w:rFonts w:hint="eastAsia" w:ascii="仿宋_GB2312" w:hAnsi="仿宋_GB2312" w:eastAsia="黑体" w:cs="仿宋_GB2312"/>
          <w:szCs w:val="32"/>
          <w:lang w:val="en-US" w:eastAsia="zh-CN"/>
        </w:rPr>
        <w:t xml:space="preserve">  </w:t>
      </w:r>
      <w:r>
        <w:rPr>
          <w:rFonts w:hint="eastAsia" w:ascii="仿宋_GB2312" w:hAnsi="仿宋_GB2312" w:cs="仿宋_GB2312"/>
          <w:color w:val="000000"/>
          <w:szCs w:val="32"/>
        </w:rPr>
        <w:t>市、县（区）人民政府有关部门和单位应当按照各自职责范围开展文明行为促进活动：</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（一）网信主管部门应当加强网络空间管理，净化网络环境，倡导文明上网，推动网络文明建设</w:t>
      </w:r>
      <w:r>
        <w:rPr>
          <w:rFonts w:ascii="仿宋_GB2312" w:hAnsi="仿宋_GB2312" w:cs="仿宋_GB2312"/>
          <w:szCs w:val="32"/>
        </w:rPr>
        <w:t>;</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（二）</w:t>
      </w:r>
      <w:r>
        <w:rPr>
          <w:rFonts w:ascii="仿宋_GB2312" w:hAnsi="仿宋_GB2312" w:cs="仿宋_GB2312"/>
          <w:szCs w:val="32"/>
        </w:rPr>
        <w:t xml:space="preserve"> </w:t>
      </w:r>
      <w:r>
        <w:rPr>
          <w:rFonts w:hint="eastAsia" w:ascii="仿宋_GB2312" w:hAnsi="仿宋_GB2312" w:cs="仿宋_GB2312"/>
          <w:szCs w:val="32"/>
        </w:rPr>
        <w:t>公安机关应当在依法打击违法犯罪、开展治安防范、处置矛盾纠纷的过程中，开展法治教育，宣传文明行为，维护社会和谐稳定；</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（三）公安交通管理部门应当加强道路交通法律、法规和安全知识宣传教育，引导文明出行</w:t>
      </w:r>
      <w:r>
        <w:rPr>
          <w:rFonts w:ascii="仿宋_GB2312" w:hAnsi="仿宋_GB2312" w:cs="仿宋_GB2312"/>
          <w:szCs w:val="32"/>
        </w:rPr>
        <w:t>;</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（四）城市管理部门应当加强对破坏市容、环境卫生不文明行为的监管，依法查处违法行为</w:t>
      </w:r>
      <w:r>
        <w:rPr>
          <w:rFonts w:ascii="仿宋_GB2312" w:hAnsi="仿宋_GB2312" w:cs="仿宋_GB2312"/>
          <w:szCs w:val="32"/>
        </w:rPr>
        <w:t>;</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（五）交通运输主管部门应当加强对公共汽车、出租车，共享汽车、共享单车等公共交通工具运营单位的监督管理，宣传文明行为和职业道德，提升文明服务水平</w:t>
      </w:r>
      <w:r>
        <w:rPr>
          <w:rFonts w:ascii="仿宋_GB2312" w:hAnsi="仿宋_GB2312" w:cs="仿宋_GB2312"/>
          <w:szCs w:val="32"/>
        </w:rPr>
        <w:t>;</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（六）农业农村主管部门应当积极组织推进农村环境治理，培育文明乡风，提升农民精神面貌，建设美丽宜居乡村</w:t>
      </w:r>
      <w:r>
        <w:rPr>
          <w:rFonts w:ascii="仿宋_GB2312" w:hAnsi="仿宋_GB2312" w:cs="仿宋_GB2312"/>
          <w:szCs w:val="32"/>
        </w:rPr>
        <w:t>;</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（七）商务、文化广电新闻旅游、市场监督管理等部门应当将文明服务纳入行业服务标准，督促指导有关单位开展具有行业特色的文明行为促进活动</w:t>
      </w:r>
      <w:r>
        <w:rPr>
          <w:rFonts w:ascii="仿宋_GB2312" w:hAnsi="仿宋_GB2312" w:cs="仿宋_GB2312"/>
          <w:szCs w:val="32"/>
        </w:rPr>
        <w:t>;</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（八）教育主管部门应当将文明行为教育纳入教育教学内容，制定校园文明行为规范，促进学生养成文明行为习惯。</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color w:val="000000"/>
          <w:szCs w:val="32"/>
        </w:rPr>
        <w:t>第二十一条</w:t>
      </w:r>
      <w:r>
        <w:rPr>
          <w:rFonts w:hint="eastAsia" w:ascii="黑体" w:hAnsi="黑体" w:eastAsia="黑体" w:cs="黑体"/>
          <w:color w:val="000000"/>
          <w:szCs w:val="32"/>
          <w:lang w:val="en-US" w:eastAsia="zh-CN"/>
        </w:rPr>
        <w:t xml:space="preserve">  </w:t>
      </w:r>
      <w:r>
        <w:rPr>
          <w:rFonts w:hint="eastAsia" w:ascii="仿宋_GB2312" w:hAnsi="仿宋_GB2312" w:cs="仿宋_GB2312"/>
          <w:szCs w:val="32"/>
        </w:rPr>
        <w:t>机关、社会组织、企业事业单位应当对其工作场所、营业场所或者服务区域内发生的不文明行为进行劝诫。属于违法行为的，应当及时制止，通报有关行政执法部门并协助调查取证。</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color w:val="000000"/>
          <w:szCs w:val="32"/>
        </w:rPr>
        <w:t>第二十二条</w:t>
      </w:r>
      <w:r>
        <w:rPr>
          <w:rFonts w:hint="eastAsia" w:ascii="黑体" w:hAnsi="黑体" w:eastAsia="黑体" w:cs="黑体"/>
          <w:color w:val="000000"/>
          <w:szCs w:val="32"/>
          <w:lang w:val="en-US" w:eastAsia="zh-CN"/>
        </w:rPr>
        <w:t xml:space="preserve"> </w:t>
      </w:r>
      <w:r>
        <w:rPr>
          <w:rFonts w:hint="eastAsia" w:ascii="仿宋_GB2312" w:hAnsi="仿宋_GB2312" w:eastAsia="黑体" w:cs="仿宋_GB2312"/>
          <w:szCs w:val="32"/>
          <w:lang w:val="en-US" w:eastAsia="zh-CN"/>
        </w:rPr>
        <w:t xml:space="preserve"> </w:t>
      </w:r>
      <w:r>
        <w:rPr>
          <w:rFonts w:hint="eastAsia" w:ascii="仿宋_GB2312" w:hAnsi="仿宋_GB2312" w:cs="仿宋_GB2312"/>
          <w:szCs w:val="32"/>
        </w:rPr>
        <w:t>旅游、银行、邮政、通信、医疗卫生、公共交通等窗口服务行业，应当制定并公示本行业文明行为规范，以及相应的文明行为规范引导措施，树立窗口文明形象，打造文明服务品牌。</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color w:val="000000"/>
          <w:szCs w:val="32"/>
        </w:rPr>
        <w:t>第二十三条</w:t>
      </w:r>
      <w:r>
        <w:rPr>
          <w:rFonts w:hint="eastAsia" w:ascii="黑体" w:hAnsi="黑体" w:eastAsia="黑体" w:cs="黑体"/>
          <w:color w:val="000000"/>
          <w:szCs w:val="32"/>
          <w:lang w:val="en-US" w:eastAsia="zh-CN"/>
        </w:rPr>
        <w:t xml:space="preserve">  </w:t>
      </w:r>
      <w:r>
        <w:rPr>
          <w:rFonts w:hint="eastAsia" w:ascii="仿宋_GB2312" w:hAnsi="仿宋_GB2312" w:cs="仿宋_GB2312"/>
          <w:szCs w:val="32"/>
        </w:rPr>
        <w:t>报刊、广播、电视、互联网络等媒体和户外广告公共设施经营管理单位应当开设文明行为宣传栏目、专题节目，刊登、播出文明行为公益广告，开展文明行为宣传教育活动。</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color w:val="000000"/>
          <w:szCs w:val="32"/>
        </w:rPr>
        <w:t>第二十四条</w:t>
      </w:r>
      <w:r>
        <w:rPr>
          <w:rFonts w:hint="eastAsia" w:ascii="黑体" w:hAnsi="黑体" w:eastAsia="黑体" w:cs="黑体"/>
          <w:color w:val="000000"/>
          <w:szCs w:val="32"/>
          <w:lang w:val="en-US" w:eastAsia="zh-CN"/>
        </w:rPr>
        <w:t xml:space="preserve">  </w:t>
      </w:r>
      <w:r>
        <w:rPr>
          <w:rFonts w:hint="eastAsia" w:ascii="仿宋_GB2312" w:hAnsi="仿宋_GB2312" w:cs="仿宋_GB2312"/>
          <w:szCs w:val="32"/>
        </w:rPr>
        <w:t>鼓励用人单位在同等条件下优先录用或者聘用道德模范、见义勇为人员、身边好人、文明市民、优秀志愿者、无偿献血奉献奖获得者等先进人物。</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鼓励社会力量对文明行为促进活动提供帮助。</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color w:val="000000"/>
          <w:szCs w:val="32"/>
        </w:rPr>
        <w:t>第二十五条</w:t>
      </w:r>
      <w:r>
        <w:rPr>
          <w:rFonts w:hint="eastAsia" w:ascii="仿宋_GB2312" w:hAnsi="仿宋_GB2312" w:eastAsia="黑体" w:cs="仿宋_GB2312"/>
          <w:szCs w:val="32"/>
          <w:lang w:val="en-US" w:eastAsia="zh-CN"/>
        </w:rPr>
        <w:t xml:space="preserve">  </w:t>
      </w:r>
      <w:r>
        <w:rPr>
          <w:rFonts w:hint="eastAsia" w:ascii="仿宋_GB2312" w:hAnsi="仿宋_GB2312" w:cs="仿宋_GB2312"/>
          <w:szCs w:val="32"/>
        </w:rPr>
        <w:t>任何单位和个人有权劝诫、投诉和举报不文明行为。有关部门应当建立不文明行为投诉、举报、查处制度，接到投诉、举报后</w:t>
      </w:r>
      <w:r>
        <w:rPr>
          <w:rFonts w:ascii="仿宋_GB2312" w:cs="仿宋_GB2312"/>
          <w:szCs w:val="32"/>
        </w:rPr>
        <w:t>,</w:t>
      </w:r>
      <w:r>
        <w:rPr>
          <w:rFonts w:hint="eastAsia" w:ascii="仿宋_GB2312" w:hAnsi="仿宋_GB2312" w:cs="仿宋_GB2312"/>
          <w:szCs w:val="32"/>
        </w:rPr>
        <w:t>应当及时处理，并将处理结果反馈投诉、举报人。投诉人、举报人有保密要求的，应当予以保密。</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color w:val="000000"/>
          <w:szCs w:val="32"/>
        </w:rPr>
        <w:t>第二十六条</w:t>
      </w:r>
      <w:r>
        <w:rPr>
          <w:rFonts w:hint="eastAsia" w:ascii="黑体" w:hAnsi="黑体" w:eastAsia="黑体" w:cs="黑体"/>
          <w:color w:val="000000"/>
          <w:szCs w:val="32"/>
          <w:lang w:val="en-US" w:eastAsia="zh-CN"/>
        </w:rPr>
        <w:t xml:space="preserve">  </w:t>
      </w:r>
      <w:r>
        <w:rPr>
          <w:rFonts w:hint="eastAsia" w:ascii="仿宋_GB2312" w:hAnsi="仿宋_GB2312" w:cs="仿宋_GB2312"/>
          <w:szCs w:val="32"/>
        </w:rPr>
        <w:t>本市实行文明行为记录制度。单位和个人参加慈善公益、志愿服务等文明行为由有关部门和单位予以记录，并可以作为荣誉表彰和奖励的依据。</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仿宋_GB2312" w:hAnsi="仿宋_GB2312" w:cs="仿宋_GB2312"/>
          <w:szCs w:val="32"/>
        </w:rPr>
        <w:t>文明行为记录制度由市精神文明建设工作机构会同有关部门制定。</w:t>
      </w:r>
    </w:p>
    <w:p>
      <w:pPr>
        <w:widowControl w:val="0"/>
        <w:wordWrap/>
        <w:adjustRightInd/>
        <w:snapToGrid/>
        <w:spacing w:line="560" w:lineRule="exact"/>
        <w:ind w:firstLine="632" w:firstLineChars="200"/>
        <w:contextualSpacing/>
        <w:textAlignment w:val="auto"/>
        <w:rPr>
          <w:rFonts w:hint="eastAsia" w:ascii="宋体" w:hAnsi="宋体" w:eastAsia="宋体" w:cs="宋体"/>
          <w:szCs w:val="32"/>
        </w:rPr>
      </w:pPr>
    </w:p>
    <w:p>
      <w:pPr>
        <w:widowControl w:val="0"/>
        <w:tabs>
          <w:tab w:val="left" w:pos="2730"/>
        </w:tabs>
        <w:wordWrap/>
        <w:adjustRightInd/>
        <w:snapToGrid/>
        <w:spacing w:line="560" w:lineRule="exact"/>
        <w:contextualSpacing/>
        <w:jc w:val="center"/>
        <w:textAlignment w:val="auto"/>
        <w:rPr>
          <w:rFonts w:ascii="黑体" w:hAnsi="黑体" w:eastAsia="黑体" w:cs="宋体"/>
          <w:szCs w:val="32"/>
        </w:rPr>
      </w:pPr>
      <w:r>
        <w:rPr>
          <w:rFonts w:hint="eastAsia" w:ascii="黑体" w:hAnsi="黑体" w:eastAsia="黑体" w:cs="宋体"/>
          <w:szCs w:val="32"/>
        </w:rPr>
        <w:t>第四章</w:t>
      </w:r>
      <w:r>
        <w:rPr>
          <w:rFonts w:hint="eastAsia" w:ascii="黑体" w:hAnsi="黑体" w:eastAsia="黑体" w:cs="宋体"/>
          <w:szCs w:val="32"/>
          <w:lang w:val="en-US" w:eastAsia="zh-CN"/>
        </w:rPr>
        <w:t xml:space="preserve">  </w:t>
      </w:r>
      <w:r>
        <w:rPr>
          <w:rFonts w:hint="eastAsia" w:ascii="黑体" w:hAnsi="黑体" w:eastAsia="黑体" w:cs="宋体"/>
          <w:szCs w:val="32"/>
        </w:rPr>
        <w:t>法律责任</w:t>
      </w:r>
    </w:p>
    <w:p>
      <w:pPr>
        <w:widowControl w:val="0"/>
        <w:wordWrap/>
        <w:adjustRightInd/>
        <w:snapToGrid/>
        <w:spacing w:line="560" w:lineRule="exact"/>
        <w:ind w:firstLine="632" w:firstLineChars="200"/>
        <w:contextualSpacing/>
        <w:textAlignment w:val="auto"/>
        <w:rPr>
          <w:rFonts w:hint="eastAsia" w:ascii="宋体" w:hAnsi="宋体" w:eastAsia="宋体" w:cs="宋体"/>
          <w:szCs w:val="32"/>
        </w:rPr>
      </w:pPr>
    </w:p>
    <w:p>
      <w:pPr>
        <w:widowControl w:val="0"/>
        <w:wordWrap/>
        <w:adjustRightInd/>
        <w:snapToGrid/>
        <w:spacing w:line="560" w:lineRule="exact"/>
        <w:ind w:firstLine="632" w:firstLineChars="200"/>
        <w:contextualSpacing/>
        <w:textAlignment w:val="auto"/>
        <w:rPr>
          <w:rFonts w:ascii="仿宋_GB2312" w:cs="仿宋_GB2312"/>
          <w:color w:val="000000"/>
          <w:szCs w:val="32"/>
        </w:rPr>
      </w:pPr>
      <w:r>
        <w:rPr>
          <w:rFonts w:hint="eastAsia" w:ascii="黑体" w:hAnsi="黑体" w:eastAsia="黑体" w:cs="黑体"/>
          <w:color w:val="000000"/>
          <w:szCs w:val="32"/>
        </w:rPr>
        <w:t>第二十七条</w:t>
      </w:r>
      <w:r>
        <w:rPr>
          <w:rFonts w:hint="eastAsia" w:ascii="黑体" w:hAnsi="黑体" w:eastAsia="黑体" w:cs="黑体"/>
          <w:color w:val="000000"/>
          <w:szCs w:val="32"/>
          <w:lang w:val="en-US" w:eastAsia="zh-CN"/>
        </w:rPr>
        <w:t xml:space="preserve"> </w:t>
      </w:r>
      <w:r>
        <w:rPr>
          <w:rFonts w:hint="eastAsia" w:ascii="仿宋_GB2312" w:hAnsi="仿宋_GB2312" w:eastAsia="黑体" w:cs="仿宋_GB2312"/>
          <w:szCs w:val="32"/>
          <w:lang w:val="en-US" w:eastAsia="zh-CN"/>
        </w:rPr>
        <w:t xml:space="preserve"> </w:t>
      </w:r>
      <w:r>
        <w:rPr>
          <w:rFonts w:hint="eastAsia" w:ascii="仿宋_GB2312" w:hAnsi="仿宋_GB2312" w:cs="仿宋_GB2312"/>
          <w:color w:val="000000"/>
          <w:szCs w:val="32"/>
        </w:rPr>
        <w:t>公安、交通运输、城市管理等相关部门及其工作人员在文明行为促进活动中滥用职权、徇私舞弊、玩忽职守的，对直接负责的主管人员和其他直接责任人员依法给予处分。</w:t>
      </w:r>
    </w:p>
    <w:p>
      <w:pPr>
        <w:widowControl w:val="0"/>
        <w:wordWrap/>
        <w:adjustRightInd/>
        <w:snapToGrid/>
        <w:spacing w:line="560" w:lineRule="exact"/>
        <w:ind w:firstLine="632" w:firstLineChars="200"/>
        <w:contextualSpacing/>
        <w:textAlignment w:val="auto"/>
        <w:rPr>
          <w:rFonts w:ascii="仿宋_GB2312" w:cs="仿宋_GB2312"/>
          <w:color w:val="000000"/>
          <w:szCs w:val="32"/>
        </w:rPr>
      </w:pPr>
      <w:r>
        <w:rPr>
          <w:rFonts w:hint="eastAsia" w:ascii="黑体" w:hAnsi="黑体" w:eastAsia="黑体" w:cs="黑体"/>
          <w:color w:val="000000"/>
          <w:szCs w:val="32"/>
        </w:rPr>
        <w:t>第二十八条</w:t>
      </w:r>
      <w:r>
        <w:rPr>
          <w:rFonts w:hint="eastAsia" w:ascii="黑体" w:hAnsi="黑体" w:eastAsia="黑体" w:cs="黑体"/>
          <w:color w:val="000000"/>
          <w:szCs w:val="32"/>
          <w:lang w:val="en-US" w:eastAsia="zh-CN"/>
        </w:rPr>
        <w:t xml:space="preserve"> </w:t>
      </w:r>
      <w:r>
        <w:rPr>
          <w:rFonts w:hint="eastAsia" w:ascii="仿宋_GB2312" w:hAnsi="仿宋_GB2312" w:eastAsia="黑体" w:cs="仿宋_GB2312"/>
          <w:szCs w:val="32"/>
          <w:lang w:val="en-US" w:eastAsia="zh-CN"/>
        </w:rPr>
        <w:t xml:space="preserve"> </w:t>
      </w:r>
      <w:r>
        <w:rPr>
          <w:rFonts w:hint="eastAsia" w:ascii="仿宋_GB2312" w:hAnsi="仿宋_GB2312" w:cs="仿宋_GB2312"/>
          <w:color w:val="000000"/>
          <w:szCs w:val="32"/>
        </w:rPr>
        <w:t>违反本条例第十六条的规定，由相关行政管理部门依照下列规定处理：</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一）违反第一项至第三项规定的，由公安机关交通管理部门依照《中华人民共和国道路交通安全法》《中华人民共和国道路交通安全法实施条例》《江西省实施〈中华人民共和国道路交通安全法〉办法》等法律、法规的相关规定予以处罚。</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（二）违反第四项规定的，由交通运输主管部门依照《中华人民共和国道路运输条例》《江西省道路运输条例》的相关规定予以处罚。</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（三）违反第五项、第六项、第九项、第十二项规定的，由市容环境卫生主管部门依照《萍乡市城市市容和环境卫生管理条例》的相关规定予以处罚。</w:t>
      </w:r>
    </w:p>
    <w:p>
      <w:pPr>
        <w:pStyle w:val="6"/>
        <w:widowControl w:val="0"/>
        <w:wordWrap/>
        <w:adjustRightInd/>
        <w:snapToGrid/>
        <w:spacing w:before="0" w:beforeAutospacing="0" w:after="0" w:afterAutospacing="0" w:line="560" w:lineRule="exact"/>
        <w:ind w:firstLine="632" w:firstLineChars="200"/>
        <w:contextualSpacing/>
        <w:jc w:val="both"/>
        <w:textAlignment w:val="auto"/>
        <w:rPr>
          <w:rFonts w:ascii="仿宋_GB2312" w:cs="仿宋_GB2312"/>
          <w:color w:val="000000"/>
          <w:kern w:val="32"/>
          <w:sz w:val="32"/>
          <w:szCs w:val="32"/>
        </w:rPr>
      </w:pPr>
      <w:r>
        <w:rPr>
          <w:rFonts w:hint="eastAsia" w:ascii="仿宋_GB2312" w:hAnsi="仿宋_GB2312" w:cs="仿宋_GB2312"/>
          <w:color w:val="000000"/>
          <w:kern w:val="32"/>
          <w:sz w:val="32"/>
          <w:szCs w:val="32"/>
        </w:rPr>
        <w:t>（</w:t>
      </w:r>
      <w:r>
        <w:rPr>
          <w:rFonts w:hint="eastAsia" w:ascii="仿宋_GB2312" w:hAnsi="仿宋_GB2312" w:cs="仿宋_GB2312"/>
          <w:color w:val="000000"/>
          <w:kern w:val="32"/>
          <w:sz w:val="32"/>
          <w:szCs w:val="32"/>
          <w:lang w:eastAsia="zh-CN"/>
        </w:rPr>
        <w:t>四</w:t>
      </w:r>
      <w:r>
        <w:rPr>
          <w:rFonts w:hint="eastAsia" w:ascii="仿宋_GB2312" w:hAnsi="仿宋_GB2312" w:cs="仿宋_GB2312"/>
          <w:color w:val="000000"/>
          <w:kern w:val="32"/>
          <w:sz w:val="32"/>
          <w:szCs w:val="32"/>
        </w:rPr>
        <w:t>）违反第十项规定，在具有火灾、爆炸危险的场所吸烟的，依照《中华人民共和国消防法》《江西省消防条例》的相关规定予以处罚；在其他禁止吸烟的场所吸烟的，由有关主管部门责令改正；拒不改正的，处五十元以上二百元以下罚款。</w:t>
      </w:r>
      <w:r>
        <w:rPr>
          <w:rFonts w:ascii="仿宋_GB2312" w:hAnsi="仿宋_GB2312" w:cs="仿宋_GB2312"/>
          <w:color w:val="000000"/>
          <w:kern w:val="32"/>
          <w:sz w:val="32"/>
          <w:szCs w:val="32"/>
        </w:rPr>
        <w:t xml:space="preserve">  </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color w:val="000000"/>
          <w:szCs w:val="32"/>
        </w:rPr>
        <w:t>第二十九条</w:t>
      </w:r>
      <w:r>
        <w:rPr>
          <w:rFonts w:hint="eastAsia" w:ascii="仿宋_GB2312" w:hAnsi="仿宋_GB2312" w:eastAsia="黑体" w:cs="仿宋_GB2312"/>
          <w:szCs w:val="32"/>
          <w:lang w:val="en-US" w:eastAsia="zh-CN"/>
        </w:rPr>
        <w:t xml:space="preserve">  </w:t>
      </w:r>
      <w:r>
        <w:rPr>
          <w:rFonts w:hint="eastAsia" w:ascii="仿宋_GB2312" w:hAnsi="仿宋_GB2312" w:cs="仿宋_GB2312"/>
          <w:szCs w:val="32"/>
        </w:rPr>
        <w:t>打击报复劝诫人、投诉人、举报人，构成违反治安管理处罚行为的，由公安机关依照《中华人民共和国治安管理处罚法》的规定予以处罚；构成犯罪的，依法追究刑事责任。</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color w:val="000000"/>
          <w:szCs w:val="32"/>
        </w:rPr>
        <w:t>第三十条</w:t>
      </w:r>
      <w:r>
        <w:rPr>
          <w:rFonts w:hint="eastAsia" w:ascii="黑体" w:hAnsi="黑体" w:eastAsia="黑体" w:cs="黑体"/>
          <w:color w:val="000000"/>
          <w:szCs w:val="32"/>
          <w:lang w:val="en-US" w:eastAsia="zh-CN"/>
        </w:rPr>
        <w:t xml:space="preserve">  </w:t>
      </w:r>
      <w:r>
        <w:rPr>
          <w:rFonts w:hint="eastAsia" w:ascii="仿宋_GB2312" w:hAnsi="仿宋_GB2312" w:cs="仿宋_GB2312"/>
          <w:szCs w:val="32"/>
        </w:rPr>
        <w:t>违反本条例规定的其他不文明行为，法律、法规已有规定的，适用其规定。</w:t>
      </w:r>
    </w:p>
    <w:p>
      <w:pPr>
        <w:widowControl w:val="0"/>
        <w:wordWrap/>
        <w:adjustRightInd/>
        <w:snapToGrid/>
        <w:spacing w:line="560" w:lineRule="exact"/>
        <w:ind w:firstLine="632" w:firstLineChars="200"/>
        <w:contextualSpacing/>
        <w:textAlignment w:val="auto"/>
        <w:rPr>
          <w:rFonts w:hint="eastAsia" w:ascii="宋体" w:hAnsi="宋体" w:eastAsia="宋体" w:cs="宋体"/>
          <w:szCs w:val="32"/>
        </w:rPr>
      </w:pPr>
    </w:p>
    <w:p>
      <w:pPr>
        <w:widowControl w:val="0"/>
        <w:tabs>
          <w:tab w:val="left" w:pos="2730"/>
        </w:tabs>
        <w:wordWrap/>
        <w:adjustRightInd/>
        <w:snapToGrid/>
        <w:spacing w:line="560" w:lineRule="exact"/>
        <w:contextualSpacing/>
        <w:jc w:val="center"/>
        <w:textAlignment w:val="auto"/>
        <w:rPr>
          <w:rFonts w:ascii="黑体" w:hAnsi="黑体" w:eastAsia="黑体" w:cs="宋体"/>
          <w:szCs w:val="32"/>
        </w:rPr>
      </w:pPr>
      <w:r>
        <w:rPr>
          <w:rFonts w:hint="eastAsia" w:ascii="黑体" w:hAnsi="黑体" w:eastAsia="黑体" w:cs="宋体"/>
          <w:szCs w:val="32"/>
        </w:rPr>
        <w:t>第五章</w:t>
      </w:r>
      <w:r>
        <w:rPr>
          <w:rFonts w:hint="eastAsia" w:ascii="黑体" w:hAnsi="黑体" w:eastAsia="黑体" w:cs="宋体"/>
          <w:szCs w:val="32"/>
          <w:lang w:val="en-US" w:eastAsia="zh-CN"/>
        </w:rPr>
        <w:t xml:space="preserve"> </w:t>
      </w:r>
      <w:r>
        <w:rPr>
          <w:rFonts w:ascii="黑体" w:hAnsi="黑体" w:eastAsia="黑体" w:cs="宋体"/>
          <w:szCs w:val="32"/>
        </w:rPr>
        <w:t xml:space="preserve"> </w:t>
      </w:r>
      <w:r>
        <w:rPr>
          <w:rFonts w:hint="eastAsia" w:ascii="黑体" w:hAnsi="黑体" w:eastAsia="黑体" w:cs="宋体"/>
          <w:szCs w:val="32"/>
        </w:rPr>
        <w:t>附则</w:t>
      </w:r>
    </w:p>
    <w:p>
      <w:pPr>
        <w:widowControl w:val="0"/>
        <w:wordWrap/>
        <w:adjustRightInd/>
        <w:snapToGrid/>
        <w:spacing w:line="560" w:lineRule="exact"/>
        <w:ind w:firstLine="632" w:firstLineChars="200"/>
        <w:contextualSpacing/>
        <w:textAlignment w:val="auto"/>
        <w:rPr>
          <w:rFonts w:hint="eastAsia" w:ascii="宋体" w:hAnsi="宋体" w:eastAsia="宋体" w:cs="宋体"/>
          <w:szCs w:val="32"/>
        </w:rPr>
      </w:pP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color w:val="000000"/>
          <w:szCs w:val="32"/>
        </w:rPr>
        <w:t>第三十一条</w:t>
      </w:r>
      <w:r>
        <w:rPr>
          <w:rFonts w:hint="eastAsia" w:ascii="黑体" w:hAnsi="黑体" w:eastAsia="黑体" w:cs="黑体"/>
          <w:color w:val="000000"/>
          <w:szCs w:val="32"/>
          <w:lang w:val="en-US" w:eastAsia="zh-CN"/>
        </w:rPr>
        <w:t xml:space="preserve">  </w:t>
      </w:r>
      <w:r>
        <w:rPr>
          <w:rFonts w:hint="eastAsia" w:ascii="仿宋_GB2312" w:hAnsi="仿宋_GB2312" w:cs="仿宋_GB2312"/>
          <w:szCs w:val="32"/>
        </w:rPr>
        <w:t>萍乡经济技术开发区管理机构、萍乡武功山风景名胜区管理机构开展文明行为促进活动参照本条例执行。</w:t>
      </w:r>
    </w:p>
    <w:p>
      <w:pPr>
        <w:widowControl w:val="0"/>
        <w:wordWrap/>
        <w:adjustRightInd/>
        <w:snapToGrid/>
        <w:spacing w:line="560" w:lineRule="exact"/>
        <w:ind w:firstLine="632" w:firstLineChars="200"/>
        <w:contextualSpacing/>
        <w:textAlignment w:val="auto"/>
        <w:rPr>
          <w:rFonts w:ascii="仿宋_GB2312" w:cs="仿宋_GB2312"/>
          <w:szCs w:val="32"/>
        </w:rPr>
      </w:pPr>
      <w:r>
        <w:rPr>
          <w:rFonts w:hint="eastAsia" w:ascii="黑体" w:hAnsi="黑体" w:eastAsia="黑体" w:cs="黑体"/>
          <w:color w:val="000000"/>
          <w:szCs w:val="32"/>
        </w:rPr>
        <w:t>第三十二条</w:t>
      </w:r>
      <w:r>
        <w:rPr>
          <w:rFonts w:hint="eastAsia" w:ascii="仿宋_GB2312" w:hAnsi="仿宋_GB2312" w:eastAsia="黑体" w:cs="仿宋_GB2312"/>
          <w:szCs w:val="32"/>
          <w:lang w:val="en-US" w:eastAsia="zh-CN"/>
        </w:rPr>
        <w:t xml:space="preserve">  </w:t>
      </w:r>
      <w:r>
        <w:rPr>
          <w:rFonts w:hint="eastAsia" w:ascii="仿宋_GB2312" w:hAnsi="仿宋_GB2312" w:cs="仿宋_GB2312"/>
          <w:szCs w:val="32"/>
        </w:rPr>
        <w:t>本条例自</w:t>
      </w:r>
      <w:r>
        <w:rPr>
          <w:rFonts w:ascii="仿宋_GB2312" w:hAnsi="仿宋_GB2312" w:cs="仿宋_GB2312"/>
          <w:szCs w:val="32"/>
        </w:rPr>
        <w:t>2020</w:t>
      </w:r>
      <w:r>
        <w:rPr>
          <w:rFonts w:hint="eastAsia" w:ascii="仿宋_GB2312" w:hAnsi="仿宋_GB2312" w:cs="仿宋_GB2312"/>
          <w:szCs w:val="32"/>
        </w:rPr>
        <w:t>年</w:t>
      </w:r>
      <w:r>
        <w:rPr>
          <w:rFonts w:ascii="仿宋_GB2312" w:hAnsi="仿宋_GB2312" w:cs="仿宋_GB2312"/>
          <w:szCs w:val="32"/>
        </w:rPr>
        <w:t>9</w:t>
      </w:r>
      <w:r>
        <w:rPr>
          <w:rFonts w:hint="eastAsia" w:ascii="仿宋_GB2312" w:hAnsi="仿宋_GB2312" w:cs="仿宋_GB2312"/>
          <w:szCs w:val="32"/>
        </w:rPr>
        <w:t>月</w:t>
      </w:r>
      <w:r>
        <w:rPr>
          <w:rFonts w:ascii="仿宋_GB2312" w:hAnsi="仿宋_GB2312" w:cs="仿宋_GB2312"/>
          <w:szCs w:val="32"/>
        </w:rPr>
        <w:t>1</w:t>
      </w:r>
      <w:r>
        <w:rPr>
          <w:rFonts w:hint="eastAsia" w:ascii="仿宋_GB2312" w:hAnsi="仿宋_GB2312" w:cs="仿宋_GB2312"/>
          <w:szCs w:val="32"/>
        </w:rPr>
        <w:t>日起施行。</w:t>
      </w:r>
    </w:p>
    <w:p>
      <w:pPr>
        <w:widowControl w:val="0"/>
        <w:wordWrap/>
        <w:topLinePunct w:val="1"/>
        <w:adjustRightInd/>
        <w:snapToGrid/>
        <w:spacing w:line="560" w:lineRule="exact"/>
        <w:contextualSpacing/>
        <w:textAlignment w:val="auto"/>
        <w:rPr>
          <w:rFonts w:hint="eastAsia" w:hAnsi="仿宋_GB2312" w:cs="仿宋_GB2312"/>
          <w:sz w:val="32"/>
          <w:szCs w:val="32"/>
        </w:rPr>
      </w:pPr>
    </w:p>
    <w:sectPr>
      <w:headerReference r:id="rId6" w:type="first"/>
      <w:footerReference r:id="rId9" w:type="first"/>
      <w:headerReference r:id="rId4" w:type="default"/>
      <w:footerReference r:id="rId7" w:type="default"/>
      <w:headerReference r:id="rId5" w:type="even"/>
      <w:footerReference r:id="rId8" w:type="even"/>
      <w:pgSz w:w="11906" w:h="16838"/>
      <w:pgMar w:top="2098" w:right="1531" w:bottom="1984" w:left="1531" w:header="851" w:footer="1587" w:gutter="0"/>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仿宋">
    <w:altName w:val="仿宋_GB2312"/>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r>
      <w:rPr>
        <w:rFonts w:ascii="Times New Roman" w:hAnsi="Times New Roman" w:eastAsia="仿宋_GB2312" w:cs="Times New Roman"/>
        <w:kern w:val="32"/>
        <w:sz w:val="18"/>
        <w:szCs w:val="18"/>
        <w:lang w:val="en-US" w:eastAsia="zh-CN" w:bidi="ar-SA"/>
      </w:rPr>
      <w:pict>
        <v:shape id="文本框 7" o:spid="_x0000_s1025" type="#_x0000_t202" style="position:absolute;left:0;margin-top:0pt;height:144pt;width:144pt;mso-position-horizontal:outside;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4"/>
                  <w:ind w:left="320" w:leftChars="100" w:right="320" w:rightChars="100"/>
                  <w:rPr>
                    <w:rFonts w:ascii="宋体" w:eastAsia="宋体" w:cs="宋体"/>
                    <w:sz w:val="28"/>
                    <w:szCs w:val="28"/>
                  </w:rPr>
                </w:pPr>
                <w:r>
                  <w:rPr>
                    <w:rFonts w:ascii="宋体" w:hAnsi="宋体" w:eastAsia="宋体" w:cs="宋体"/>
                    <w:sz w:val="28"/>
                    <w:szCs w:val="28"/>
                  </w:rPr>
                  <w:t xml:space="preserve">— </w:t>
                </w:r>
                <w:r>
                  <w:rPr>
                    <w:rFonts w:ascii="宋体" w:hAnsi="宋体" w:eastAsia="宋体" w:cs="宋体"/>
                    <w:sz w:val="28"/>
                    <w:szCs w:val="28"/>
                  </w:rPr>
                  <w:fldChar w:fldCharType="begin"/>
                </w:r>
                <w:r>
                  <w:rPr>
                    <w:rFonts w:ascii="宋体" w:hAnsi="宋体" w:eastAsia="宋体" w:cs="宋体"/>
                    <w:sz w:val="28"/>
                    <w:szCs w:val="28"/>
                  </w:rPr>
                  <w:instrText xml:space="preserve"> PAGE  \* MERGEFORMAT </w:instrText>
                </w:r>
                <w:r>
                  <w:rPr>
                    <w:rFonts w:ascii="宋体" w:hAnsi="宋体" w:eastAsia="宋体" w:cs="宋体"/>
                    <w:sz w:val="28"/>
                    <w:szCs w:val="28"/>
                  </w:rPr>
                  <w:fldChar w:fldCharType="separate"/>
                </w:r>
                <w:r>
                  <w:rPr>
                    <w:rFonts w:ascii="宋体" w:hAnsi="宋体" w:cs="宋体"/>
                    <w:sz w:val="28"/>
                    <w:szCs w:val="28"/>
                  </w:rPr>
                  <w:t>46</w:t>
                </w:r>
                <w:r>
                  <w:rPr>
                    <w:rFonts w:ascii="宋体" w:hAnsi="宋体" w:eastAsia="宋体" w:cs="宋体"/>
                    <w:sz w:val="28"/>
                    <w:szCs w:val="28"/>
                  </w:rPr>
                  <w:fldChar w:fldCharType="end"/>
                </w:r>
                <w:r>
                  <w:rPr>
                    <w:rFonts w:ascii="宋体" w:hAnsi="宋体" w:eastAsia="宋体" w:cs="宋体"/>
                    <w:sz w:val="28"/>
                    <w:szCs w:val="28"/>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noPunctuationKerning w:val="1"/>
  <w:characterSpacingControl w:val="compressPunctuation"/>
  <w:noLineBreaksAfter w:lang="zh-CN" w:val="$([{£¥·‘“〈《「『【〔〖〝﹙﹛﹝＄（．［｛￡￥"/>
  <w:noLineBreaksBefore w:lang="zh-CN" w:val="!%),.:;&gt;?]}¢¨°·ˇˉ―‖’”…‰′″›℃∶、。〃〉》」』】〕〗〞︶︺︾﹀﹄﹚﹜﹞！＂％＇），．：；？］｀｜｝～￠"/>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96F57"/>
    <w:rsid w:val="00044882"/>
    <w:rsid w:val="001108AE"/>
    <w:rsid w:val="001E3855"/>
    <w:rsid w:val="0025345A"/>
    <w:rsid w:val="003220C1"/>
    <w:rsid w:val="0041004E"/>
    <w:rsid w:val="004D31AC"/>
    <w:rsid w:val="00530D6A"/>
    <w:rsid w:val="0060343F"/>
    <w:rsid w:val="00606258"/>
    <w:rsid w:val="007213D3"/>
    <w:rsid w:val="00893CD1"/>
    <w:rsid w:val="008B0B9C"/>
    <w:rsid w:val="009162B6"/>
    <w:rsid w:val="00937DCC"/>
    <w:rsid w:val="00955C1A"/>
    <w:rsid w:val="00996F57"/>
    <w:rsid w:val="00B1571F"/>
    <w:rsid w:val="00B80B45"/>
    <w:rsid w:val="00BA0437"/>
    <w:rsid w:val="00C3229D"/>
    <w:rsid w:val="00C40A88"/>
    <w:rsid w:val="00DB0E12"/>
    <w:rsid w:val="00F87074"/>
    <w:rsid w:val="00FA308C"/>
    <w:rsid w:val="0133785D"/>
    <w:rsid w:val="02334614"/>
    <w:rsid w:val="03083EB9"/>
    <w:rsid w:val="0367345A"/>
    <w:rsid w:val="03CC3A06"/>
    <w:rsid w:val="04181070"/>
    <w:rsid w:val="04950BB5"/>
    <w:rsid w:val="049B2734"/>
    <w:rsid w:val="0501568F"/>
    <w:rsid w:val="076E780C"/>
    <w:rsid w:val="089E140A"/>
    <w:rsid w:val="090E59DF"/>
    <w:rsid w:val="09D9223D"/>
    <w:rsid w:val="0AE9755D"/>
    <w:rsid w:val="0B045EE8"/>
    <w:rsid w:val="0B467EBA"/>
    <w:rsid w:val="0B6A7B21"/>
    <w:rsid w:val="0B965EA1"/>
    <w:rsid w:val="0ED70773"/>
    <w:rsid w:val="129C57EA"/>
    <w:rsid w:val="132510BF"/>
    <w:rsid w:val="144F3A9F"/>
    <w:rsid w:val="15A513E0"/>
    <w:rsid w:val="161939DD"/>
    <w:rsid w:val="178A20EA"/>
    <w:rsid w:val="19343196"/>
    <w:rsid w:val="19E17EC1"/>
    <w:rsid w:val="1A596263"/>
    <w:rsid w:val="1A6D2879"/>
    <w:rsid w:val="1BE17CDB"/>
    <w:rsid w:val="1C8A7DBC"/>
    <w:rsid w:val="1D495A3A"/>
    <w:rsid w:val="1E400DA0"/>
    <w:rsid w:val="1F995877"/>
    <w:rsid w:val="1FCD2E99"/>
    <w:rsid w:val="2169506C"/>
    <w:rsid w:val="219F14A8"/>
    <w:rsid w:val="23380D84"/>
    <w:rsid w:val="24CE545F"/>
    <w:rsid w:val="24F6301C"/>
    <w:rsid w:val="25C34F22"/>
    <w:rsid w:val="26021DDE"/>
    <w:rsid w:val="286E1977"/>
    <w:rsid w:val="293B5C9B"/>
    <w:rsid w:val="2B170B32"/>
    <w:rsid w:val="2CC36747"/>
    <w:rsid w:val="2DA5749E"/>
    <w:rsid w:val="2ECE1A74"/>
    <w:rsid w:val="30AF094F"/>
    <w:rsid w:val="31217100"/>
    <w:rsid w:val="32424281"/>
    <w:rsid w:val="329F1164"/>
    <w:rsid w:val="335366FF"/>
    <w:rsid w:val="35FC35F2"/>
    <w:rsid w:val="379B42B1"/>
    <w:rsid w:val="381543C0"/>
    <w:rsid w:val="385021A4"/>
    <w:rsid w:val="39DE4194"/>
    <w:rsid w:val="3D327998"/>
    <w:rsid w:val="3E792DDB"/>
    <w:rsid w:val="3EF56020"/>
    <w:rsid w:val="3F1A483C"/>
    <w:rsid w:val="40D10AE6"/>
    <w:rsid w:val="40DB13FC"/>
    <w:rsid w:val="40ED3C8E"/>
    <w:rsid w:val="42175B71"/>
    <w:rsid w:val="424B59A3"/>
    <w:rsid w:val="439B6659"/>
    <w:rsid w:val="43E74483"/>
    <w:rsid w:val="4473201D"/>
    <w:rsid w:val="45D949F7"/>
    <w:rsid w:val="45F575FC"/>
    <w:rsid w:val="462E4230"/>
    <w:rsid w:val="474C2317"/>
    <w:rsid w:val="48A906A6"/>
    <w:rsid w:val="4A6E0084"/>
    <w:rsid w:val="4BD470FF"/>
    <w:rsid w:val="4C713D2E"/>
    <w:rsid w:val="4F922CA0"/>
    <w:rsid w:val="4F9536DF"/>
    <w:rsid w:val="510D7F95"/>
    <w:rsid w:val="51154D32"/>
    <w:rsid w:val="51757540"/>
    <w:rsid w:val="539645A2"/>
    <w:rsid w:val="53C61A8A"/>
    <w:rsid w:val="53FD1B6F"/>
    <w:rsid w:val="54263D4D"/>
    <w:rsid w:val="54902910"/>
    <w:rsid w:val="56EB0E6E"/>
    <w:rsid w:val="570563FA"/>
    <w:rsid w:val="582A4777"/>
    <w:rsid w:val="59625328"/>
    <w:rsid w:val="59ED0C2E"/>
    <w:rsid w:val="5A1774AF"/>
    <w:rsid w:val="5AEE2A99"/>
    <w:rsid w:val="5BA8520C"/>
    <w:rsid w:val="5C3D7F25"/>
    <w:rsid w:val="5D5843F7"/>
    <w:rsid w:val="5D665846"/>
    <w:rsid w:val="5F164313"/>
    <w:rsid w:val="604A28CC"/>
    <w:rsid w:val="60C25D37"/>
    <w:rsid w:val="61943BC3"/>
    <w:rsid w:val="62070A0D"/>
    <w:rsid w:val="634E5062"/>
    <w:rsid w:val="63DC4C00"/>
    <w:rsid w:val="649C65D0"/>
    <w:rsid w:val="656B58B1"/>
    <w:rsid w:val="666F223E"/>
    <w:rsid w:val="6742710A"/>
    <w:rsid w:val="6A0D375E"/>
    <w:rsid w:val="6A436D2D"/>
    <w:rsid w:val="6D6A0476"/>
    <w:rsid w:val="6F337A10"/>
    <w:rsid w:val="6FB11DDC"/>
    <w:rsid w:val="7203004B"/>
    <w:rsid w:val="732F6C3B"/>
    <w:rsid w:val="77AE6FCC"/>
    <w:rsid w:val="77DC46DA"/>
    <w:rsid w:val="780F6AD0"/>
    <w:rsid w:val="7A0360CB"/>
    <w:rsid w:val="7A4E4431"/>
    <w:rsid w:val="7C9D48CF"/>
    <w:rsid w:val="7CB123DE"/>
    <w:rsid w:val="7D6504C0"/>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qFormat="1" w:unhideWhenUsed="0"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32"/>
      <w:sz w:val="32"/>
      <w:szCs w:val="20"/>
      <w:lang w:val="en-US" w:eastAsia="zh-CN" w:bidi="ar-SA"/>
    </w:rPr>
  </w:style>
  <w:style w:type="character" w:default="1" w:styleId="7">
    <w:name w:val="Default Paragraph Font"/>
    <w:semiHidden/>
    <w:qFormat/>
    <w:uiPriority w:val="99"/>
  </w:style>
  <w:style w:type="table" w:default="1" w:styleId="11">
    <w:name w:val="Normal Table"/>
    <w:unhideWhenUsed/>
    <w:qFormat/>
    <w:uiPriority w:val="99"/>
    <w:tblPr>
      <w:tblStyle w:val="11"/>
      <w:tblLayout w:type="fixed"/>
      <w:tblCellMar>
        <w:top w:w="0" w:type="dxa"/>
        <w:left w:w="108" w:type="dxa"/>
        <w:bottom w:w="0" w:type="dxa"/>
        <w:right w:w="108" w:type="dxa"/>
      </w:tblCellMar>
    </w:tblPr>
    <w:tcPr>
      <w:textDirection w:val="lrTb"/>
    </w:tcPr>
  </w:style>
  <w:style w:type="paragraph" w:styleId="2">
    <w:name w:val="Body Text First Indent"/>
    <w:basedOn w:val="3"/>
    <w:link w:val="23"/>
    <w:qFormat/>
    <w:uiPriority w:val="99"/>
    <w:pPr>
      <w:ind w:firstLine="420" w:firstLineChars="100"/>
    </w:pPr>
  </w:style>
  <w:style w:type="paragraph" w:styleId="3">
    <w:name w:val="Body Text"/>
    <w:basedOn w:val="1"/>
    <w:link w:val="20"/>
    <w:qFormat/>
    <w:uiPriority w:val="99"/>
    <w:pPr>
      <w:spacing w:after="120"/>
    </w:pPr>
  </w:style>
  <w:style w:type="paragraph" w:styleId="4">
    <w:name w:val="footer"/>
    <w:basedOn w:val="1"/>
    <w:link w:val="21"/>
    <w:qFormat/>
    <w:uiPriority w:val="99"/>
    <w:pPr>
      <w:tabs>
        <w:tab w:val="center" w:pos="4153"/>
        <w:tab w:val="right" w:pos="8306"/>
      </w:tabs>
      <w:snapToGrid w:val="0"/>
      <w:jc w:val="left"/>
    </w:pPr>
    <w:rPr>
      <w:sz w:val="18"/>
      <w:szCs w:val="18"/>
    </w:rPr>
  </w:style>
  <w:style w:type="paragraph" w:styleId="5">
    <w:name w:val="header"/>
    <w:basedOn w:val="1"/>
    <w:link w:val="22"/>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99"/>
    <w:pPr>
      <w:widowControl/>
      <w:spacing w:before="100" w:beforeAutospacing="1" w:after="100" w:afterAutospacing="1"/>
      <w:jc w:val="left"/>
    </w:pPr>
    <w:rPr>
      <w:rFonts w:ascii="宋体" w:hAnsi="宋体" w:cs="宋体"/>
      <w:kern w:val="0"/>
      <w:sz w:val="24"/>
    </w:rPr>
  </w:style>
  <w:style w:type="character" w:styleId="8">
    <w:name w:val="page number"/>
    <w:basedOn w:val="7"/>
    <w:qFormat/>
    <w:uiPriority w:val="99"/>
    <w:rPr>
      <w:rFonts w:cs="Times New Roman"/>
    </w:rPr>
  </w:style>
  <w:style w:type="character" w:styleId="9">
    <w:name w:val="FollowedHyperlink"/>
    <w:basedOn w:val="7"/>
    <w:qFormat/>
    <w:uiPriority w:val="99"/>
    <w:rPr>
      <w:rFonts w:cs="Times New Roman"/>
      <w:color w:val="333333"/>
      <w:sz w:val="21"/>
      <w:szCs w:val="21"/>
      <w:u w:val="none"/>
    </w:rPr>
  </w:style>
  <w:style w:type="character" w:styleId="10">
    <w:name w:val="Hyperlink"/>
    <w:basedOn w:val="7"/>
    <w:qFormat/>
    <w:uiPriority w:val="99"/>
    <w:rPr>
      <w:rFonts w:cs="Times New Roman"/>
      <w:color w:val="333333"/>
      <w:sz w:val="21"/>
      <w:szCs w:val="21"/>
      <w:u w:val="none"/>
    </w:rPr>
  </w:style>
  <w:style w:type="paragraph" w:customStyle="1" w:styleId="12">
    <w:name w:val="BodyText1I"/>
    <w:basedOn w:val="13"/>
    <w:qFormat/>
    <w:uiPriority w:val="99"/>
    <w:pPr>
      <w:ind w:firstLine="420" w:firstLineChars="100"/>
    </w:pPr>
  </w:style>
  <w:style w:type="paragraph" w:customStyle="1" w:styleId="13">
    <w:name w:val="BodyText"/>
    <w:basedOn w:val="1"/>
    <w:qFormat/>
    <w:uiPriority w:val="99"/>
    <w:pPr>
      <w:spacing w:after="120"/>
      <w:textAlignment w:val="baseline"/>
    </w:pPr>
  </w:style>
  <w:style w:type="paragraph" w:customStyle="1" w:styleId="14">
    <w:name w:val="List Paragraph"/>
    <w:basedOn w:val="1"/>
    <w:qFormat/>
    <w:uiPriority w:val="99"/>
    <w:pPr>
      <w:ind w:firstLine="420" w:firstLineChars="200"/>
    </w:pPr>
  </w:style>
  <w:style w:type="paragraph" w:customStyle="1" w:styleId="15">
    <w:name w:val="正文文本缩进 31"/>
    <w:basedOn w:val="1"/>
    <w:qFormat/>
    <w:uiPriority w:val="99"/>
    <w:pPr>
      <w:ind w:left="420" w:leftChars="200"/>
    </w:pPr>
    <w:rPr>
      <w:rFonts w:eastAsia="仿宋"/>
      <w:sz w:val="16"/>
      <w:szCs w:val="16"/>
    </w:rPr>
  </w:style>
  <w:style w:type="paragraph" w:customStyle="1" w:styleId="16">
    <w:name w:val="正文文本缩进 21"/>
    <w:basedOn w:val="1"/>
    <w:qFormat/>
    <w:uiPriority w:val="99"/>
    <w:pPr>
      <w:spacing w:line="360" w:lineRule="exact"/>
      <w:ind w:firstLine="480" w:firstLineChars="200"/>
    </w:pPr>
    <w:rPr>
      <w:rFonts w:ascii="仿宋_GB2312" w:hAnsi="宋体"/>
      <w:sz w:val="24"/>
    </w:rPr>
  </w:style>
  <w:style w:type="paragraph" w:customStyle="1" w:styleId="17">
    <w:name w:val="paragraph text-align-type-justify pap-line-30pt pap-line-rule-exact pap-spacing-before-0pt pap-spacing-after-0pt pap-firstline-indent-2em"/>
    <w:basedOn w:val="1"/>
    <w:qFormat/>
    <w:uiPriority w:val="99"/>
    <w:pPr>
      <w:widowControl/>
      <w:spacing w:before="100" w:beforeAutospacing="1" w:after="100" w:afterAutospacing="1"/>
      <w:jc w:val="left"/>
    </w:pPr>
    <w:rPr>
      <w:rFonts w:ascii="宋体" w:hAnsi="宋体" w:cs="宋体"/>
      <w:kern w:val="0"/>
      <w:sz w:val="24"/>
    </w:rPr>
  </w:style>
  <w:style w:type="paragraph" w:customStyle="1" w:styleId="18">
    <w:name w:val="UserStyle_1"/>
    <w:basedOn w:val="1"/>
    <w:link w:val="24"/>
    <w:qFormat/>
    <w:uiPriority w:val="99"/>
    <w:pPr>
      <w:textAlignment w:val="baseline"/>
    </w:pPr>
  </w:style>
  <w:style w:type="paragraph" w:customStyle="1" w:styleId="19">
    <w:name w:val="正文文本缩进 22"/>
    <w:basedOn w:val="1"/>
    <w:qFormat/>
    <w:uiPriority w:val="99"/>
    <w:pPr>
      <w:spacing w:line="360" w:lineRule="exact"/>
      <w:ind w:firstLine="480" w:firstLineChars="200"/>
    </w:pPr>
    <w:rPr>
      <w:rFonts w:ascii="仿宋_GB2312" w:hAnsi="宋体"/>
      <w:sz w:val="24"/>
    </w:rPr>
  </w:style>
  <w:style w:type="character" w:customStyle="1" w:styleId="20">
    <w:name w:val="Body Text Char"/>
    <w:basedOn w:val="7"/>
    <w:link w:val="3"/>
    <w:semiHidden/>
    <w:qFormat/>
    <w:locked/>
    <w:uiPriority w:val="99"/>
    <w:rPr>
      <w:rFonts w:eastAsia="仿宋_GB2312" w:cs="Times New Roman"/>
      <w:kern w:val="32"/>
      <w:sz w:val="20"/>
      <w:szCs w:val="20"/>
    </w:rPr>
  </w:style>
  <w:style w:type="character" w:customStyle="1" w:styleId="21">
    <w:name w:val="Footer Char"/>
    <w:basedOn w:val="7"/>
    <w:link w:val="4"/>
    <w:semiHidden/>
    <w:qFormat/>
    <w:locked/>
    <w:uiPriority w:val="99"/>
    <w:rPr>
      <w:rFonts w:eastAsia="仿宋_GB2312" w:cs="Times New Roman"/>
      <w:kern w:val="32"/>
      <w:sz w:val="18"/>
      <w:szCs w:val="18"/>
    </w:rPr>
  </w:style>
  <w:style w:type="character" w:customStyle="1" w:styleId="22">
    <w:name w:val="Header Char"/>
    <w:basedOn w:val="7"/>
    <w:link w:val="5"/>
    <w:semiHidden/>
    <w:qFormat/>
    <w:locked/>
    <w:uiPriority w:val="99"/>
    <w:rPr>
      <w:rFonts w:eastAsia="仿宋_GB2312" w:cs="Times New Roman"/>
      <w:kern w:val="32"/>
      <w:sz w:val="18"/>
      <w:szCs w:val="18"/>
    </w:rPr>
  </w:style>
  <w:style w:type="character" w:customStyle="1" w:styleId="23">
    <w:name w:val="Body Text First Indent Char"/>
    <w:basedOn w:val="20"/>
    <w:link w:val="2"/>
    <w:semiHidden/>
    <w:qFormat/>
    <w:locked/>
    <w:uiPriority w:val="99"/>
    <w:rPr/>
  </w:style>
  <w:style w:type="character" w:customStyle="1" w:styleId="24">
    <w:name w:val="NormalCharacter"/>
    <w:link w:val="18"/>
    <w:semiHidden/>
    <w:qFormat/>
    <w:locked/>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Www.SangSan.Cn</Company>
  <Pages>46</Pages>
  <Words>3173</Words>
  <Characters>18087</Characters>
  <Lines>0</Lines>
  <Paragraphs>0</Paragraphs>
  <TotalTime>0</TotalTime>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2020-07-01T08:39:00Z</dcterms:created>
  <dc:creator>Administrator</dc:creator>
  <cp:lastModifiedBy>Lei</cp:lastModifiedBy>
  <cp:lastPrinted>2020-07-02T08:01:00Z</cp:lastPrinted>
  <dcterms:modified xsi:type="dcterms:W3CDTF">2020-08-20T08:11:51Z</dcterms:modified>
  <dc:title>萍乡市人民代表大会常务委员会关于报请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