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576" w:lineRule="exact"/>
        <w:jc w:val="center"/>
        <w:rPr>
          <w:rFonts w:hint="eastAsia" w:ascii="宋体" w:hAnsi="宋体"/>
          <w:color w:val="000000"/>
          <w:sz w:val="32"/>
          <w:szCs w:val="32"/>
          <w:lang w:val="zh-CN"/>
        </w:rPr>
      </w:pPr>
    </w:p>
    <w:p>
      <w:pPr>
        <w:autoSpaceDE w:val="0"/>
        <w:autoSpaceDN w:val="0"/>
        <w:spacing w:line="576" w:lineRule="exact"/>
        <w:jc w:val="center"/>
        <w:rPr>
          <w:rFonts w:hint="eastAsia" w:ascii="宋体" w:hAnsi="宋体"/>
          <w:color w:val="000000"/>
          <w:sz w:val="44"/>
          <w:lang w:val="zh-CN"/>
        </w:rPr>
      </w:pPr>
      <w:r>
        <w:rPr>
          <w:rFonts w:hint="eastAsia" w:ascii="宋体" w:hAnsi="宋体"/>
          <w:color w:val="000000"/>
          <w:sz w:val="44"/>
          <w:lang w:val="zh-CN"/>
        </w:rPr>
        <w:t>拉萨市文明行为促进条例</w:t>
      </w:r>
    </w:p>
    <w:p>
      <w:pPr>
        <w:pStyle w:val="4"/>
        <w:kinsoku w:val="0"/>
        <w:overflowPunct w:val="0"/>
        <w:topLinePunct/>
        <w:autoSpaceDE w:val="0"/>
        <w:autoSpaceDN w:val="0"/>
        <w:spacing w:line="400" w:lineRule="exact"/>
        <w:ind w:left="420" w:leftChars="200" w:right="420" w:rightChars="200"/>
        <w:rPr>
          <w:rFonts w:hint="eastAsia" w:ascii="楷体_GB2312" w:hAnsi="楷体_GB2312" w:eastAsia="楷体_GB2312"/>
          <w:bCs/>
          <w:color w:val="000000"/>
          <w:sz w:val="32"/>
          <w:lang w:val="zh-CN"/>
        </w:rPr>
      </w:pPr>
    </w:p>
    <w:p>
      <w:pPr>
        <w:pStyle w:val="4"/>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lang w:val="zh-CN"/>
        </w:rPr>
      </w:pPr>
      <w:r>
        <w:rPr>
          <w:rFonts w:hint="eastAsia" w:ascii="楷体_GB2312" w:hAnsi="楷体_GB2312" w:eastAsia="楷体_GB2312"/>
          <w:bCs/>
          <w:color w:val="000000"/>
          <w:sz w:val="32"/>
          <w:lang w:val="zh-CN"/>
        </w:rPr>
        <w:t>（20</w:t>
      </w:r>
      <w:r>
        <w:rPr>
          <w:rFonts w:hint="eastAsia" w:ascii="楷体_GB2312" w:hAnsi="楷体_GB2312" w:eastAsia="楷体_GB2312"/>
          <w:bCs/>
          <w:color w:val="000000"/>
          <w:sz w:val="32"/>
        </w:rPr>
        <w:t>21</w:t>
      </w:r>
      <w:r>
        <w:rPr>
          <w:rFonts w:hint="eastAsia" w:ascii="楷体_GB2312" w:hAnsi="楷体_GB2312" w:eastAsia="楷体_GB2312"/>
          <w:bCs/>
          <w:color w:val="000000"/>
          <w:sz w:val="32"/>
          <w:lang w:val="zh-CN"/>
        </w:rPr>
        <w:t>年1</w:t>
      </w:r>
      <w:r>
        <w:rPr>
          <w:rFonts w:hint="eastAsia" w:ascii="楷体_GB2312" w:hAnsi="楷体_GB2312" w:eastAsia="楷体_GB2312"/>
          <w:bCs/>
          <w:color w:val="000000"/>
          <w:sz w:val="32"/>
        </w:rPr>
        <w:t>0</w:t>
      </w:r>
      <w:r>
        <w:rPr>
          <w:rFonts w:hint="eastAsia" w:ascii="楷体_GB2312" w:hAnsi="楷体_GB2312" w:eastAsia="楷体_GB2312"/>
          <w:bCs/>
          <w:color w:val="000000"/>
          <w:sz w:val="32"/>
          <w:lang w:val="zh-CN"/>
        </w:rPr>
        <w:t>月</w:t>
      </w:r>
      <w:r>
        <w:rPr>
          <w:rFonts w:hint="eastAsia" w:ascii="楷体_GB2312" w:hAnsi="楷体_GB2312" w:eastAsia="楷体_GB2312"/>
          <w:bCs/>
          <w:color w:val="000000"/>
          <w:sz w:val="32"/>
        </w:rPr>
        <w:t>29</w:t>
      </w:r>
      <w:r>
        <w:rPr>
          <w:rFonts w:hint="eastAsia" w:ascii="楷体_GB2312" w:hAnsi="楷体_GB2312" w:eastAsia="楷体_GB2312"/>
          <w:bCs/>
          <w:color w:val="000000"/>
          <w:sz w:val="32"/>
          <w:lang w:val="zh-CN"/>
        </w:rPr>
        <w:t>日拉萨市第十一届人民代表大会常务委员会第三十二次会议通过</w:t>
      </w:r>
      <w:r>
        <w:rPr>
          <w:rFonts w:hint="eastAsia" w:ascii="楷体_GB2312" w:hAnsi="楷体_GB2312" w:eastAsia="楷体_GB2312"/>
          <w:bCs/>
          <w:color w:val="000000"/>
          <w:sz w:val="32"/>
        </w:rPr>
        <w:t xml:space="preserve">  </w:t>
      </w:r>
      <w:r>
        <w:rPr>
          <w:rFonts w:hint="eastAsia" w:ascii="楷体_GB2312" w:hAnsi="楷体_GB2312" w:eastAsia="楷体_GB2312"/>
          <w:bCs/>
          <w:color w:val="000000"/>
          <w:sz w:val="32"/>
          <w:lang w:val="zh-CN"/>
        </w:rPr>
        <w:t>202</w:t>
      </w:r>
      <w:r>
        <w:rPr>
          <w:rFonts w:hint="eastAsia" w:ascii="楷体_GB2312" w:hAnsi="楷体_GB2312" w:eastAsia="楷体_GB2312"/>
          <w:bCs/>
          <w:color w:val="000000"/>
          <w:sz w:val="32"/>
        </w:rPr>
        <w:t>1</w:t>
      </w:r>
      <w:r>
        <w:rPr>
          <w:rFonts w:hint="eastAsia" w:ascii="楷体_GB2312" w:hAnsi="楷体_GB2312" w:eastAsia="楷体_GB2312"/>
          <w:bCs/>
          <w:color w:val="000000"/>
          <w:sz w:val="32"/>
          <w:lang w:val="zh-CN"/>
        </w:rPr>
        <w:t>年</w:t>
      </w:r>
      <w:r>
        <w:rPr>
          <w:rFonts w:hint="eastAsia" w:ascii="楷体_GB2312" w:hAnsi="楷体_GB2312" w:eastAsia="楷体_GB2312"/>
          <w:bCs/>
          <w:color w:val="000000"/>
          <w:sz w:val="32"/>
        </w:rPr>
        <w:t>12</w:t>
      </w:r>
      <w:r>
        <w:rPr>
          <w:rFonts w:hint="eastAsia" w:ascii="楷体_GB2312" w:hAnsi="楷体_GB2312" w:eastAsia="楷体_GB2312"/>
          <w:bCs/>
          <w:color w:val="000000"/>
          <w:sz w:val="32"/>
          <w:lang w:val="zh-CN"/>
        </w:rPr>
        <w:t>月</w:t>
      </w:r>
      <w:r>
        <w:rPr>
          <w:rFonts w:hint="eastAsia" w:ascii="楷体_GB2312" w:hAnsi="楷体_GB2312" w:eastAsia="楷体_GB2312"/>
          <w:bCs/>
          <w:color w:val="000000"/>
          <w:sz w:val="32"/>
        </w:rPr>
        <w:t>9</w:t>
      </w:r>
      <w:r>
        <w:rPr>
          <w:rFonts w:hint="eastAsia" w:ascii="楷体_GB2312" w:hAnsi="楷体_GB2312" w:eastAsia="楷体_GB2312"/>
          <w:bCs/>
          <w:color w:val="000000"/>
          <w:sz w:val="32"/>
          <w:lang w:val="zh-CN"/>
        </w:rPr>
        <w:t>日西藏自治区第十一届人民代表大会常务委员会第三十五次会议批准）</w:t>
      </w:r>
    </w:p>
    <w:p>
      <w:pPr>
        <w:adjustRightInd w:val="0"/>
        <w:snapToGrid w:val="0"/>
        <w:spacing w:line="576" w:lineRule="exact"/>
        <w:jc w:val="center"/>
        <w:rPr>
          <w:rFonts w:hint="eastAsia" w:ascii="楷体_GB2312" w:hAnsi="楷体_GB2312" w:eastAsia="楷体_GB2312" w:cs="仿宋_GB2312"/>
          <w:bCs/>
          <w:color w:val="000000"/>
          <w:sz w:val="32"/>
          <w:szCs w:val="32"/>
          <w:lang w:val="zh-CN" w:bidi="ar-SA"/>
        </w:rPr>
      </w:pPr>
    </w:p>
    <w:p>
      <w:pPr>
        <w:adjustRightInd w:val="0"/>
        <w:snapToGrid w:val="0"/>
        <w:spacing w:line="576" w:lineRule="exact"/>
        <w:jc w:val="center"/>
        <w:rPr>
          <w:rFonts w:hint="eastAsia" w:ascii="楷体_GB2312" w:hAnsi="楷体_GB2312" w:eastAsia="楷体_GB2312" w:cs="仿宋_GB2312"/>
          <w:bCs/>
          <w:color w:val="000000"/>
          <w:sz w:val="32"/>
          <w:szCs w:val="32"/>
          <w:lang w:val="zh-CN" w:bidi="ar-SA"/>
        </w:rPr>
      </w:pPr>
      <w:r>
        <w:rPr>
          <w:rFonts w:hint="eastAsia" w:ascii="楷体_GB2312" w:hAnsi="楷体_GB2312" w:eastAsia="楷体_GB2312" w:cs="仿宋_GB2312"/>
          <w:bCs/>
          <w:color w:val="000000"/>
          <w:sz w:val="32"/>
          <w:szCs w:val="32"/>
          <w:lang w:val="zh-CN" w:bidi="ar-SA"/>
        </w:rPr>
        <w:t>目</w:t>
      </w:r>
      <w:r>
        <w:rPr>
          <w:rFonts w:hint="eastAsia" w:ascii="楷体_GB2312" w:hAnsi="楷体_GB2312" w:eastAsia="楷体_GB2312" w:cs="仿宋_GB2312"/>
          <w:bCs/>
          <w:color w:val="000000"/>
          <w:sz w:val="32"/>
          <w:szCs w:val="32"/>
          <w:lang w:bidi="ar-SA"/>
        </w:rPr>
        <w:t xml:space="preserve">    </w:t>
      </w:r>
      <w:r>
        <w:rPr>
          <w:rFonts w:hint="eastAsia" w:ascii="楷体_GB2312" w:hAnsi="楷体_GB2312" w:eastAsia="楷体_GB2312" w:cs="仿宋_GB2312"/>
          <w:bCs/>
          <w:color w:val="000000"/>
          <w:sz w:val="32"/>
          <w:szCs w:val="32"/>
          <w:lang w:val="zh-CN" w:bidi="ar-SA"/>
        </w:rPr>
        <w:t>录</w:t>
      </w:r>
    </w:p>
    <w:p>
      <w:pPr>
        <w:adjustRightInd w:val="0"/>
        <w:snapToGrid w:val="0"/>
        <w:spacing w:line="576" w:lineRule="exact"/>
        <w:jc w:val="center"/>
        <w:rPr>
          <w:rFonts w:hint="eastAsia" w:ascii="楷体_GB2312" w:hAnsi="楷体_GB2312" w:eastAsia="楷体_GB2312" w:cs="仿宋_GB2312"/>
          <w:bCs/>
          <w:color w:val="000000"/>
          <w:sz w:val="32"/>
          <w:szCs w:val="32"/>
          <w:lang w:val="zh-CN" w:bidi="ar-SA"/>
        </w:rPr>
      </w:pPr>
    </w:p>
    <w:p>
      <w:pPr>
        <w:overflowPunct w:val="0"/>
        <w:topLinePunct/>
        <w:autoSpaceDE w:val="0"/>
        <w:autoSpaceDN w:val="0"/>
        <w:spacing w:line="576" w:lineRule="exact"/>
        <w:ind w:firstLine="640" w:firstLineChars="200"/>
        <w:rPr>
          <w:rFonts w:hint="eastAsia" w:ascii="楷体_GB2312" w:hAnsi="方正小标宋简体" w:eastAsia="楷体_GB2312"/>
          <w:sz w:val="32"/>
          <w:szCs w:val="32"/>
        </w:rPr>
      </w:pPr>
      <w:r>
        <w:rPr>
          <w:rFonts w:hint="eastAsia" w:ascii="楷体_GB2312" w:hAnsi="方正小标宋简体" w:eastAsia="楷体_GB2312"/>
          <w:sz w:val="32"/>
          <w:szCs w:val="32"/>
        </w:rPr>
        <w:t>第一章</w:t>
      </w:r>
      <w:r>
        <w:rPr>
          <w:rFonts w:hint="eastAsia" w:ascii="楷体_GB2312" w:eastAsia="楷体_GB2312" w:cs="黑体"/>
          <w:sz w:val="32"/>
        </w:rPr>
        <w:t>　</w:t>
      </w:r>
      <w:r>
        <w:rPr>
          <w:rFonts w:hint="eastAsia" w:ascii="楷体_GB2312" w:hAnsi="方正小标宋简体" w:eastAsia="楷体_GB2312"/>
          <w:sz w:val="32"/>
          <w:szCs w:val="32"/>
        </w:rPr>
        <w:t>总  则</w:t>
      </w:r>
    </w:p>
    <w:p>
      <w:pPr>
        <w:overflowPunct w:val="0"/>
        <w:topLinePunct/>
        <w:autoSpaceDE w:val="0"/>
        <w:autoSpaceDN w:val="0"/>
        <w:spacing w:line="576" w:lineRule="exact"/>
        <w:ind w:firstLine="640" w:firstLineChars="200"/>
        <w:rPr>
          <w:rFonts w:hint="eastAsia" w:ascii="楷体_GB2312" w:hAnsi="方正小标宋简体" w:eastAsia="楷体_GB2312"/>
          <w:sz w:val="32"/>
          <w:szCs w:val="32"/>
        </w:rPr>
      </w:pPr>
      <w:r>
        <w:rPr>
          <w:rFonts w:hint="eastAsia" w:ascii="楷体_GB2312" w:hAnsi="方正小标宋简体" w:eastAsia="楷体_GB2312"/>
          <w:sz w:val="32"/>
          <w:szCs w:val="32"/>
        </w:rPr>
        <w:t>第二章　文明行为规范</w:t>
      </w:r>
    </w:p>
    <w:p>
      <w:pPr>
        <w:overflowPunct w:val="0"/>
        <w:topLinePunct/>
        <w:autoSpaceDE w:val="0"/>
        <w:autoSpaceDN w:val="0"/>
        <w:spacing w:line="576" w:lineRule="exact"/>
        <w:ind w:firstLine="640" w:firstLineChars="200"/>
        <w:rPr>
          <w:rFonts w:hint="eastAsia" w:ascii="楷体_GB2312" w:hAnsi="方正小标宋简体" w:eastAsia="楷体_GB2312"/>
          <w:sz w:val="32"/>
          <w:szCs w:val="32"/>
        </w:rPr>
      </w:pPr>
      <w:r>
        <w:rPr>
          <w:rFonts w:hint="eastAsia" w:ascii="楷体_GB2312" w:hAnsi="方正小标宋简体" w:eastAsia="楷体_GB2312"/>
          <w:sz w:val="32"/>
          <w:szCs w:val="32"/>
        </w:rPr>
        <w:t>第三章　不文明行为治理</w:t>
      </w:r>
    </w:p>
    <w:p>
      <w:pPr>
        <w:overflowPunct w:val="0"/>
        <w:topLinePunct/>
        <w:autoSpaceDE w:val="0"/>
        <w:autoSpaceDN w:val="0"/>
        <w:spacing w:line="576" w:lineRule="exact"/>
        <w:ind w:firstLine="640" w:firstLineChars="200"/>
        <w:rPr>
          <w:rFonts w:hint="eastAsia" w:ascii="楷体_GB2312" w:hAnsi="方正小标宋简体" w:eastAsia="楷体_GB2312"/>
          <w:sz w:val="32"/>
          <w:szCs w:val="32"/>
        </w:rPr>
      </w:pPr>
      <w:r>
        <w:rPr>
          <w:rFonts w:hint="eastAsia" w:ascii="楷体_GB2312" w:hAnsi="方正小标宋简体" w:eastAsia="楷体_GB2312"/>
          <w:sz w:val="32"/>
          <w:szCs w:val="32"/>
        </w:rPr>
        <w:t>第四章　促进与保障</w:t>
      </w:r>
    </w:p>
    <w:p>
      <w:pPr>
        <w:overflowPunct w:val="0"/>
        <w:topLinePunct/>
        <w:autoSpaceDE w:val="0"/>
        <w:autoSpaceDN w:val="0"/>
        <w:spacing w:line="576" w:lineRule="exact"/>
        <w:ind w:firstLine="640" w:firstLineChars="200"/>
        <w:rPr>
          <w:rFonts w:hint="eastAsia" w:ascii="楷体_GB2312" w:hAnsi="方正小标宋简体" w:eastAsia="楷体_GB2312"/>
          <w:sz w:val="32"/>
          <w:szCs w:val="32"/>
        </w:rPr>
      </w:pPr>
      <w:r>
        <w:rPr>
          <w:rFonts w:hint="eastAsia" w:ascii="楷体_GB2312" w:hAnsi="方正小标宋简体" w:eastAsia="楷体_GB2312"/>
          <w:sz w:val="32"/>
          <w:szCs w:val="32"/>
        </w:rPr>
        <w:t>第五章　法律责任</w:t>
      </w:r>
    </w:p>
    <w:p>
      <w:pPr>
        <w:overflowPunct w:val="0"/>
        <w:topLinePunct/>
        <w:autoSpaceDE w:val="0"/>
        <w:autoSpaceDN w:val="0"/>
        <w:spacing w:line="576" w:lineRule="exact"/>
        <w:ind w:firstLine="640" w:firstLineChars="200"/>
        <w:rPr>
          <w:rFonts w:hint="eastAsia" w:ascii="楷体_GB2312" w:hAnsi="方正小标宋简体" w:eastAsia="楷体_GB2312"/>
          <w:sz w:val="32"/>
          <w:szCs w:val="32"/>
        </w:rPr>
      </w:pPr>
      <w:r>
        <w:rPr>
          <w:rFonts w:hint="eastAsia" w:ascii="楷体_GB2312" w:hAnsi="方正小标宋简体" w:eastAsia="楷体_GB2312"/>
          <w:sz w:val="32"/>
          <w:szCs w:val="32"/>
        </w:rPr>
        <w:t>第六章　附  则</w:t>
      </w:r>
    </w:p>
    <w:p>
      <w:pPr>
        <w:pStyle w:val="5"/>
        <w:spacing w:line="576" w:lineRule="exact"/>
        <w:jc w:val="left"/>
        <w:rPr>
          <w:rFonts w:ascii="方正楷体简体" w:hAnsi="楷体" w:eastAsia="方正楷体简体"/>
          <w:sz w:val="24"/>
        </w:rPr>
      </w:pPr>
    </w:p>
    <w:p>
      <w:pPr>
        <w:spacing w:line="576" w:lineRule="exact"/>
        <w:jc w:val="center"/>
        <w:rPr>
          <w:rFonts w:hint="eastAsia" w:ascii="黑体" w:hAnsi="黑体" w:eastAsia="黑体" w:cs="黑体"/>
          <w:sz w:val="32"/>
          <w:szCs w:val="32"/>
          <w:lang w:bidi="bo-CN"/>
        </w:rPr>
      </w:pPr>
      <w:r>
        <w:rPr>
          <w:rFonts w:hint="eastAsia" w:ascii="黑体" w:hAnsi="黑体" w:eastAsia="黑体" w:cs="黑体"/>
          <w:sz w:val="32"/>
          <w:szCs w:val="32"/>
          <w:lang w:bidi="bo-CN"/>
        </w:rPr>
        <w:t>第一章  总  则</w:t>
      </w:r>
    </w:p>
    <w:p>
      <w:pPr>
        <w:spacing w:line="576" w:lineRule="exact"/>
        <w:ind w:firstLine="640" w:firstLineChars="200"/>
        <w:rPr>
          <w:rFonts w:hint="eastAsia" w:ascii="黑体" w:hAnsi="黑体" w:eastAsia="黑体" w:cs="黑体"/>
          <w:sz w:val="32"/>
          <w:szCs w:val="32"/>
          <w:lang w:bidi="bo-CN"/>
        </w:rPr>
      </w:pP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第一条</w:t>
      </w:r>
      <w:r>
        <w:rPr>
          <w:rFonts w:ascii="黑体" w:hAnsi="黑体" w:eastAsia="黑体" w:cs="黑体"/>
          <w:sz w:val="32"/>
          <w:szCs w:val="32"/>
          <w:lang w:bidi="bo-CN"/>
        </w:rPr>
        <w:t xml:space="preserve">  </w:t>
      </w:r>
      <w:r>
        <w:rPr>
          <w:rFonts w:hint="eastAsia" w:ascii="仿宋_GB2312" w:hAnsi="CESI仿宋-GB2312" w:eastAsia="仿宋_GB2312" w:cs="CESI仿宋-GB2312"/>
          <w:sz w:val="32"/>
          <w:szCs w:val="32"/>
          <w:lang w:bidi="bo-CN"/>
        </w:rPr>
        <w:t>为了培育和践行社会主义核心价值观，传承和弘扬中华传统美德，提升公民文明素质，促进社会文明进步，根据宪法和有关法律、法规的规定，结合本市实际，制定本条例。</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第二条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本市行政区域内的文明行为促进工作适用本条例。</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本条例所称文明行为，是指遵守宪法和法律、法规，践行社会主义核心价值观，维护公序良俗，引领社会风尚，推动新时代社会文明进步的行为。</w:t>
      </w:r>
    </w:p>
    <w:p>
      <w:pPr>
        <w:spacing w:line="576" w:lineRule="exact"/>
        <w:ind w:firstLine="640" w:firstLineChars="200"/>
        <w:rPr>
          <w:rFonts w:hint="eastAsia" w:ascii="仿宋_GB2312" w:hAnsi="仿宋" w:eastAsia="仿宋_GB2312" w:cs="仿宋"/>
          <w:sz w:val="32"/>
          <w:szCs w:val="32"/>
          <w:lang w:bidi="bo-CN"/>
        </w:rPr>
      </w:pPr>
      <w:r>
        <w:rPr>
          <w:rFonts w:hint="eastAsia" w:ascii="黑体" w:hAnsi="黑体" w:eastAsia="黑体" w:cs="黑体"/>
          <w:sz w:val="32"/>
          <w:szCs w:val="32"/>
          <w:lang w:bidi="bo-CN"/>
        </w:rPr>
        <w:t>第三条</w:t>
      </w:r>
      <w:r>
        <w:rPr>
          <w:rFonts w:hint="eastAsia" w:ascii="仿宋" w:hAnsi="仿宋" w:eastAsia="仿宋" w:cs="仿宋"/>
          <w:sz w:val="32"/>
          <w:szCs w:val="32"/>
          <w:lang w:bidi="bo-CN"/>
        </w:rPr>
        <w:t xml:space="preserve"> </w:t>
      </w:r>
      <w:r>
        <w:rPr>
          <w:rFonts w:hint="eastAsia" w:ascii="CESI仿宋-GB2312" w:hAnsi="CESI仿宋-GB2312" w:eastAsia="CESI仿宋-GB2312" w:cs="CESI仿宋-GB2312"/>
          <w:sz w:val="32"/>
          <w:szCs w:val="32"/>
          <w:lang w:bidi="bo-CN"/>
        </w:rPr>
        <w:t xml:space="preserve"> </w:t>
      </w:r>
      <w:r>
        <w:rPr>
          <w:rFonts w:hint="eastAsia" w:ascii="仿宋_GB2312" w:hAnsi="CESI仿宋-GB2312" w:eastAsia="仿宋_GB2312" w:cs="CESI仿宋-GB2312"/>
          <w:sz w:val="32"/>
          <w:szCs w:val="32"/>
          <w:lang w:bidi="bo-CN"/>
        </w:rPr>
        <w:t>文明行为促进工作坚持党委领导、政府实施、社会协同、全民参与的原则，健全法治与德治、倡导与约束、自律与他律相结合的长效工作机制。</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第四条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市、县（区）精神文明建设指导机构负责指导、协调、监督、检查文明行为促进工作，组织开展宣传、表彰、奖励以及其他文明行为促进工作。</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第五条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 xml:space="preserve"> 市、县（区）人民政府应当将文明行为促进工作纳入国民经济和社会发展规划，所需经费列入财政预算，推动文明行为促进工作与经济社会协调发展。</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市、县（区）人民政府工作部门应当在各自职责范围内做好文明行为促进工作。</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第六条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乡镇（街道）和村（居）民委员会应当将文明行为促进工作纳入工作日程，鼓励村（居）民委员会加强文明行为的宣传、教育和引导，将文明行为规范纳入村规民约（居民公约），组织开展多种形式的社会主义精神文明建设活动。</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第七条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国家机关、企业事业单位、社会团体、其他组织和个人应当积极参与文明行为促进工作，对不文明行为进行劝阻，对文明行为促进工作提出意见和建议。</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国家工作人员、人大代表、政协委员、先进模范人物和社会公众人物等在文明行为促进工作中应发挥表率作用。</w:t>
      </w:r>
    </w:p>
    <w:p>
      <w:pPr>
        <w:spacing w:line="576" w:lineRule="exact"/>
        <w:rPr>
          <w:rFonts w:ascii="黑体" w:hAnsi="黑体" w:eastAsia="黑体" w:cs="黑体"/>
          <w:sz w:val="32"/>
          <w:szCs w:val="32"/>
          <w:lang w:bidi="bo-CN"/>
        </w:rPr>
      </w:pPr>
    </w:p>
    <w:p>
      <w:pPr>
        <w:spacing w:line="576" w:lineRule="exact"/>
        <w:jc w:val="center"/>
        <w:rPr>
          <w:rFonts w:hint="eastAsia" w:ascii="黑体" w:hAnsi="黑体" w:eastAsia="黑体" w:cs="黑体"/>
          <w:sz w:val="32"/>
          <w:szCs w:val="32"/>
          <w:lang w:bidi="bo-CN"/>
        </w:rPr>
      </w:pPr>
      <w:r>
        <w:rPr>
          <w:rFonts w:ascii="黑体" w:hAnsi="黑体" w:eastAsia="黑体" w:cs="黑体"/>
          <w:sz w:val="32"/>
          <w:szCs w:val="32"/>
          <w:lang w:bidi="bo-CN"/>
        </w:rPr>
        <w:t xml:space="preserve">第二章  </w:t>
      </w:r>
      <w:r>
        <w:rPr>
          <w:rFonts w:hint="eastAsia" w:ascii="黑体" w:hAnsi="黑体" w:eastAsia="黑体" w:cs="黑体"/>
          <w:sz w:val="32"/>
          <w:szCs w:val="32"/>
          <w:lang w:bidi="bo-CN"/>
        </w:rPr>
        <w:t>文明行为规范</w:t>
      </w:r>
    </w:p>
    <w:p>
      <w:pPr>
        <w:spacing w:line="576" w:lineRule="exact"/>
        <w:ind w:firstLine="640" w:firstLineChars="200"/>
        <w:rPr>
          <w:rFonts w:hint="eastAsia" w:ascii="黑体" w:hAnsi="黑体" w:eastAsia="黑体" w:cs="黑体"/>
          <w:sz w:val="32"/>
          <w:szCs w:val="32"/>
          <w:lang w:bidi="bo-CN"/>
        </w:rPr>
      </w:pP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第八条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公民应当牢固树立国家观念，铸牢中华民族共同体意识，爱党爱国爱社会主义，坚决维护祖国统一和民族团结，旗帜鲜明反对分裂。</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第九条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在维护公共场所秩序方面，应当遵守下列文明行为规范：</w:t>
      </w:r>
    </w:p>
    <w:p>
      <w:pPr>
        <w:numPr>
          <w:ilvl w:val="0"/>
          <w:numId w:val="1"/>
        </w:numPr>
        <w:overflowPunct w:val="0"/>
        <w:topLinePunct/>
        <w:autoSpaceDE w:val="0"/>
        <w:autoSpaceDN w:val="0"/>
        <w:spacing w:line="576" w:lineRule="exact"/>
        <w:ind w:left="0"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着装得体整洁，不在公共场所赤膊；</w:t>
      </w:r>
    </w:p>
    <w:p>
      <w:pPr>
        <w:numPr>
          <w:ilvl w:val="0"/>
          <w:numId w:val="2"/>
        </w:numPr>
        <w:overflowPunct w:val="0"/>
        <w:topLinePunct/>
        <w:autoSpaceDE w:val="0"/>
        <w:autoSpaceDN w:val="0"/>
        <w:spacing w:line="576" w:lineRule="exact"/>
        <w:ind w:left="0"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等候服务依次排队，主动礼让老、弱、病、残、</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孕、幼；</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（三）在公共场所和公共交通工具内合理设置电子设备音量；</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（四）不在公共场所躺卧、踩踏座椅，不以言语和举止侮辱、挑衅他人；</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（五）维护市容整洁，不违规占道经营、摆摊设点；</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（六）其他维护公共场所秩序的行为规范。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第十一条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在维护公共环境卫生方面，应当遵守下列文明行为规范：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（一）不随地吐痰、便溺，不乱扔垃圾、乱倒污水；</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（二）在非禁止吸烟场所吸烟时不得影响他人；</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（三）配合执行疾病预防措施，按规定佩戴口罩；</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（四）不在公共建筑物、公共设施设备和居民楼内外乱写乱画、乱贴乱挂小广告；</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（五）文明如厕，保持公厕卫生，爱护公厕设施；</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（六）其他维护公共环境卫生的行为规范。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 xml:space="preserve">第十二条 </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在维护交通出行安全秩序方面，应当遵守下列文明行为规范：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（一）按照道路标志、标线、交通信号灯指示通行;</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（二）车辆行经斑马线时减速慢行，礼让行人，主动让行正在执行任务的警车、消防车、救护车、工程抢险车等，非紧急情况不占用应急车道；</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（三）驾驶或者乘坐车辆时，不得向车外抛物；</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（四）车辆应当规范有序停放，不得占用非机动车道、盲道、人行道、无障碍车位和消防通道等；</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（五）爱护共享交通工具，不得随意丢弃和毁损；</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（六）出租车、网约车不得拒载、甩客，不绕道行驶，车辆在行使过程中不得接打电话；</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（七）公共交通工具内禁止吸烟；</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（八）其他维护交通出行秩序的行为规范。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第十三条</w:t>
      </w:r>
      <w:r>
        <w:rPr>
          <w:rFonts w:hint="eastAsia" w:ascii="仿宋" w:hAnsi="仿宋" w:eastAsia="仿宋" w:cs="仿宋"/>
          <w:sz w:val="32"/>
          <w:szCs w:val="32"/>
          <w:lang w:bidi="bo-CN"/>
        </w:rPr>
        <w:t xml:space="preserve"> </w:t>
      </w:r>
      <w:r>
        <w:rPr>
          <w:rFonts w:hint="eastAsia" w:ascii="仿宋" w:hAnsi="仿宋" w:eastAsia="仿宋" w:cs="仿宋"/>
          <w:spacing w:val="-10"/>
          <w:sz w:val="32"/>
          <w:szCs w:val="32"/>
          <w:lang w:bidi="bo-CN"/>
        </w:rPr>
        <w:t xml:space="preserve"> </w:t>
      </w:r>
      <w:r>
        <w:rPr>
          <w:rFonts w:hint="eastAsia" w:ascii="仿宋_GB2312" w:hAnsi="CESI仿宋-GB2312" w:eastAsia="仿宋_GB2312" w:cs="CESI仿宋-GB2312"/>
          <w:spacing w:val="-10"/>
          <w:sz w:val="32"/>
          <w:szCs w:val="32"/>
          <w:lang w:bidi="bo-CN"/>
        </w:rPr>
        <w:t>在维护网络秩序方面，应当遵守下列文明行为规范：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（一）文明互动，理性表达;</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（二）尊重他人权利，拒绝网络暴力;</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（三）抵制网络谣言和不良信息，不造谣、不信谣、不传谣;</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（四）其他维护网络文明的行为规范。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第十四条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pacing w:val="-14"/>
          <w:sz w:val="32"/>
          <w:szCs w:val="32"/>
          <w:lang w:bidi="bo-CN"/>
        </w:rPr>
        <w:t>在维护社区和谐方面，应当遵守下列文明行为规范：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（一）不占用公用设施、公共区域，不在楼道内堆放物品；</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（二）按照规定停放车辆，不占用、堵塞、封闭消防通道，在指定位置充电；</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（三）控制室内活动噪声，避免干扰他人正常生活;</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（四）不从建筑物内向外抛物；</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（五）其他维护社区和谐的行为规范。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 xml:space="preserve">第十五条 </w:t>
      </w:r>
      <w:r>
        <w:rPr>
          <w:rFonts w:hint="eastAsia" w:ascii="仿宋" w:hAnsi="仿宋" w:eastAsia="仿宋" w:cs="仿宋"/>
          <w:sz w:val="32"/>
          <w:szCs w:val="32"/>
          <w:lang w:bidi="bo-CN"/>
        </w:rPr>
        <w:t xml:space="preserve"> </w:t>
      </w:r>
      <w:r>
        <w:rPr>
          <w:rFonts w:hint="eastAsia" w:ascii="仿宋_GB2312" w:hAnsi="CESI仿宋-GB2312" w:eastAsia="仿宋_GB2312" w:cs="CESI仿宋-GB2312"/>
          <w:spacing w:val="-14"/>
          <w:sz w:val="32"/>
          <w:szCs w:val="32"/>
          <w:lang w:bidi="bo-CN"/>
        </w:rPr>
        <w:t>在维护文明旅游方面，应当遵守下列文明行为规范: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（一）旅游经营者和从业人员规范文明用语、热情服务，不欺客、宰客；</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（二）尊重当地风俗习惯和文化传统；</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（三）爱护公共设施、文物古迹和景区花草树木，保护风景名胜等旅游资源；</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（四）服从景区、景点的引导和管理；</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（五）其他维护文明旅游的行为规范。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第十六条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 xml:space="preserve"> </w:t>
      </w:r>
      <w:r>
        <w:rPr>
          <w:rFonts w:hint="eastAsia" w:ascii="仿宋_GB2312" w:hAnsi="CESI仿宋-GB2312" w:eastAsia="仿宋_GB2312" w:cs="CESI仿宋-GB2312"/>
          <w:spacing w:val="-14"/>
          <w:sz w:val="32"/>
          <w:szCs w:val="32"/>
          <w:lang w:bidi="bo-CN"/>
        </w:rPr>
        <w:t>在维护医疗文明方面，应当遵守下列文明行为规范: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（一）医院及其医护工作者弘扬救死扶伤的医德医风；</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（二）患者及其家属配合诊疗活动，依法合理表达诉求；</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（三）其他维护医疗文明的行为规范。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 xml:space="preserve">第十七条 </w:t>
      </w:r>
      <w:r>
        <w:rPr>
          <w:rFonts w:ascii="仿宋" w:hAnsi="仿宋" w:eastAsia="仿宋" w:cs="仿宋"/>
          <w:sz w:val="32"/>
          <w:szCs w:val="32"/>
          <w:lang w:bidi="bo-CN"/>
        </w:rPr>
        <w:t xml:space="preserve"> </w:t>
      </w:r>
      <w:r>
        <w:rPr>
          <w:rFonts w:hint="eastAsia" w:ascii="仿宋_GB2312" w:hAnsi="CESI仿宋-GB2312" w:eastAsia="仿宋_GB2312" w:cs="CESI仿宋-GB2312"/>
          <w:spacing w:val="-14"/>
          <w:sz w:val="32"/>
          <w:szCs w:val="32"/>
          <w:lang w:bidi="bo-CN"/>
        </w:rPr>
        <w:t>在维护生态文明方面，应当遵守下列文明行为规范: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（一）保护山体、河流、森林资源和野生动植物；</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（二）不擅自引进、释放或者丢弃外来物种；</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（三）不非法食用、买卖野生动物及其制品；</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（四）其他维护生态文明的行为规范。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第十八条</w:t>
      </w:r>
      <w:r>
        <w:rPr>
          <w:rFonts w:ascii="仿宋" w:hAnsi="仿宋" w:eastAsia="仿宋" w:cs="仿宋"/>
          <w:sz w:val="32"/>
          <w:szCs w:val="32"/>
          <w:lang w:bidi="bo-CN"/>
        </w:rPr>
        <w:t xml:space="preserve">  </w:t>
      </w:r>
      <w:r>
        <w:rPr>
          <w:rFonts w:hint="eastAsia" w:ascii="仿宋_GB2312" w:hAnsi="CESI仿宋-GB2312" w:eastAsia="仿宋_GB2312" w:cs="CESI仿宋-GB2312"/>
          <w:spacing w:val="-14"/>
          <w:sz w:val="32"/>
          <w:szCs w:val="32"/>
          <w:lang w:bidi="bo-CN"/>
        </w:rPr>
        <w:t>在维护餐饮文明方面，应当遵守下列文明行为规范: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（一）杜绝食品浪费，践行“光盘行动”；</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（二）推行分餐制，使用公筷公勺；</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（三）不酗酒喧哗；</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（四）其他维护餐饮文明的行为规范。</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第十九条</w:t>
      </w:r>
      <w:r>
        <w:rPr>
          <w:rFonts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本市倡导下列文明行为：</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（一）无偿献血、自愿捐献造血干细胞、人体组织和器官；</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 xml:space="preserve">（二）具备急救技能的公民，对需要急救的人员实施紧急现场救护； </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（三）积极参与扶老救孤、济困赈灾、助学助残、扶贫帮困、医疗救助等公益活动；</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（四）践行节约适度、绿色低碳、文明健康的生产生活和消费方式；</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（五）文明节俭操办婚丧嫁娶和节庆等事宜；</w:t>
      </w:r>
    </w:p>
    <w:p>
      <w:pPr>
        <w:pStyle w:val="6"/>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（六）文明、理性煨桑，不乱挂经幡。</w:t>
      </w:r>
    </w:p>
    <w:p>
      <w:pPr>
        <w:spacing w:line="576" w:lineRule="exact"/>
        <w:ind w:firstLine="640" w:firstLineChars="200"/>
        <w:rPr>
          <w:rFonts w:hint="eastAsia" w:ascii="仿宋" w:hAnsi="仿宋" w:eastAsia="仿宋" w:cs="仿宋"/>
          <w:sz w:val="32"/>
          <w:szCs w:val="32"/>
          <w:lang w:bidi="bo-CN"/>
        </w:rPr>
      </w:pPr>
    </w:p>
    <w:p>
      <w:pPr>
        <w:spacing w:line="576" w:lineRule="exact"/>
        <w:ind w:firstLine="640" w:firstLineChars="200"/>
        <w:jc w:val="center"/>
        <w:rPr>
          <w:rFonts w:hint="eastAsia" w:ascii="黑体" w:hAnsi="黑体" w:eastAsia="黑体" w:cs="黑体"/>
          <w:sz w:val="32"/>
          <w:szCs w:val="32"/>
          <w:lang w:bidi="bo-CN"/>
        </w:rPr>
      </w:pPr>
      <w:r>
        <w:rPr>
          <w:rFonts w:hint="eastAsia" w:ascii="黑体" w:hAnsi="黑体" w:eastAsia="黑体" w:cs="黑体"/>
          <w:sz w:val="32"/>
          <w:szCs w:val="32"/>
          <w:lang w:bidi="bo-CN"/>
        </w:rPr>
        <w:t>第三章</w:t>
      </w:r>
      <w:r>
        <w:rPr>
          <w:rFonts w:ascii="黑体" w:hAnsi="黑体" w:eastAsia="黑体" w:cs="黑体"/>
          <w:sz w:val="32"/>
          <w:szCs w:val="32"/>
          <w:lang w:bidi="bo-CN"/>
        </w:rPr>
        <w:t xml:space="preserve"> </w:t>
      </w:r>
      <w:r>
        <w:rPr>
          <w:rFonts w:hint="eastAsia" w:ascii="黑体" w:hAnsi="黑体" w:eastAsia="黑体" w:cs="黑体"/>
          <w:sz w:val="32"/>
          <w:szCs w:val="32"/>
          <w:lang w:bidi="bo-CN"/>
        </w:rPr>
        <w:t xml:space="preserve"> 不文明行为治理</w:t>
      </w:r>
    </w:p>
    <w:p>
      <w:pPr>
        <w:spacing w:line="576" w:lineRule="exact"/>
        <w:ind w:firstLine="640" w:firstLineChars="200"/>
        <w:rPr>
          <w:rFonts w:hint="eastAsia" w:ascii="黑体" w:hAnsi="黑体" w:eastAsia="黑体" w:cs="黑体"/>
          <w:sz w:val="32"/>
          <w:szCs w:val="32"/>
          <w:lang w:bidi="bo-CN"/>
        </w:rPr>
      </w:pP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第二十条</w:t>
      </w:r>
      <w:r>
        <w:rPr>
          <w:rFonts w:hint="eastAsia" w:ascii="仿宋" w:hAnsi="仿宋" w:eastAsia="仿宋" w:cs="仿宋"/>
          <w:sz w:val="32"/>
          <w:szCs w:val="32"/>
          <w:lang w:bidi="bo-CN"/>
        </w:rPr>
        <w:t xml:space="preserve"> </w:t>
      </w:r>
      <w:r>
        <w:rPr>
          <w:rFonts w:hint="eastAsia" w:ascii="CESI仿宋-GB2312" w:hAnsi="CESI仿宋-GB2312" w:eastAsia="CESI仿宋-GB2312" w:cs="CESI仿宋-GB2312"/>
          <w:sz w:val="32"/>
          <w:szCs w:val="32"/>
          <w:lang w:bidi="bo-CN"/>
        </w:rPr>
        <w:t xml:space="preserve"> </w:t>
      </w:r>
      <w:r>
        <w:rPr>
          <w:rFonts w:hint="eastAsia" w:ascii="仿宋_GB2312" w:hAnsi="CESI仿宋-GB2312" w:eastAsia="仿宋_GB2312" w:cs="CESI仿宋-GB2312"/>
          <w:sz w:val="32"/>
          <w:szCs w:val="32"/>
          <w:lang w:bidi="bo-CN"/>
        </w:rPr>
        <w:t>建立不文明行为重点治理清单制度，对常见的、突出的不文明行为实施重点治理。</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第二十</w:t>
      </w:r>
      <w:r>
        <w:rPr>
          <w:rFonts w:ascii="黑体" w:hAnsi="黑体" w:eastAsia="黑体" w:cs="黑体"/>
          <w:sz w:val="32"/>
          <w:szCs w:val="32"/>
          <w:lang w:bidi="bo-CN"/>
        </w:rPr>
        <w:t>一</w:t>
      </w:r>
      <w:r>
        <w:rPr>
          <w:rFonts w:hint="eastAsia" w:ascii="黑体" w:hAnsi="黑体" w:eastAsia="黑体" w:cs="黑体"/>
          <w:sz w:val="32"/>
          <w:szCs w:val="32"/>
          <w:lang w:bidi="bo-CN"/>
        </w:rPr>
        <w:t>条</w:t>
      </w:r>
      <w:r>
        <w:rPr>
          <w:rFonts w:hint="eastAsia" w:ascii="CESI仿宋-GB2312" w:hAnsi="CESI仿宋-GB2312" w:eastAsia="CESI仿宋-GB2312" w:cs="CESI仿宋-GB2312"/>
          <w:sz w:val="32"/>
          <w:szCs w:val="32"/>
          <w:lang w:bidi="bo-CN"/>
        </w:rPr>
        <w:t xml:space="preserve">  </w:t>
      </w:r>
      <w:r>
        <w:rPr>
          <w:rFonts w:hint="eastAsia" w:ascii="仿宋_GB2312" w:hAnsi="CESI仿宋-GB2312" w:eastAsia="仿宋_GB2312" w:cs="CESI仿宋-GB2312"/>
          <w:sz w:val="32"/>
          <w:szCs w:val="32"/>
          <w:lang w:bidi="bo-CN"/>
        </w:rPr>
        <w:t>市精神文明建设指导机构应当制定并定期对重点治理工作进行评估，根据评估结果调整不文明行为重点治理清单内容。</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市精神文明建设指导机构可以委托第三方开展前款规定的评估工作。</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第二十</w:t>
      </w:r>
      <w:r>
        <w:rPr>
          <w:rFonts w:ascii="黑体" w:hAnsi="黑体" w:eastAsia="黑体" w:cs="黑体"/>
          <w:sz w:val="32"/>
          <w:szCs w:val="32"/>
          <w:lang w:bidi="bo-CN"/>
        </w:rPr>
        <w:t>二</w:t>
      </w:r>
      <w:r>
        <w:rPr>
          <w:rFonts w:hint="eastAsia" w:ascii="黑体" w:hAnsi="黑体" w:eastAsia="黑体" w:cs="黑体"/>
          <w:sz w:val="32"/>
          <w:szCs w:val="32"/>
          <w:lang w:bidi="bo-CN"/>
        </w:rPr>
        <w:t xml:space="preserve">条 </w:t>
      </w:r>
      <w:r>
        <w:rPr>
          <w:rFonts w:hint="eastAsia" w:ascii="仿宋_GB2312" w:hAnsi="CESI仿宋-GB2312" w:eastAsia="仿宋_GB2312" w:cs="CESI仿宋-GB2312"/>
          <w:sz w:val="32"/>
          <w:szCs w:val="32"/>
          <w:lang w:bidi="bo-CN"/>
        </w:rPr>
        <w:t xml:space="preserve"> 市精神文明建设指导机构应当根据重点治理清单，制定重点治理年度工作方案，确定实施重点治理的时段和区域，明确有关行政主管部门的工作任务、期限和工作目标等，并确定专人指导、督促年度工作方案的落实。</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CESI仿宋-GB2312"/>
          <w:sz w:val="32"/>
          <w:szCs w:val="32"/>
          <w:lang w:bidi="bo-CN"/>
        </w:rPr>
        <w:t xml:space="preserve">第二十三条 </w:t>
      </w:r>
      <w:r>
        <w:rPr>
          <w:rFonts w:hint="eastAsia" w:ascii="仿宋_GB2312" w:hAnsi="CESI仿宋-GB2312" w:eastAsia="仿宋_GB2312" w:cs="CESI仿宋-GB2312"/>
          <w:sz w:val="32"/>
          <w:szCs w:val="32"/>
          <w:lang w:bidi="bo-CN"/>
        </w:rPr>
        <w:t xml:space="preserve"> 市、县（区）人民政府和功能园区管理机构及其有关部门，应当按照重点治理工作方案要求，建立健全执法协作和联动机制，开展不文明行为治理重点监管、联合检查、联合执法等工作。</w:t>
      </w:r>
    </w:p>
    <w:p>
      <w:pPr>
        <w:spacing w:line="576" w:lineRule="exact"/>
        <w:ind w:firstLine="640" w:firstLineChars="200"/>
        <w:rPr>
          <w:rFonts w:hint="eastAsia" w:ascii="CESI仿宋-GB2312" w:hAnsi="CESI仿宋-GB2312" w:eastAsia="CESI仿宋-GB2312" w:cs="CESI仿宋-GB2312"/>
          <w:sz w:val="32"/>
          <w:szCs w:val="32"/>
          <w:lang w:bidi="bo-CN"/>
        </w:rPr>
      </w:pPr>
    </w:p>
    <w:p>
      <w:pPr>
        <w:spacing w:line="576" w:lineRule="exact"/>
        <w:ind w:firstLine="640" w:firstLineChars="200"/>
        <w:jc w:val="center"/>
        <w:rPr>
          <w:rFonts w:hint="eastAsia" w:ascii="黑体" w:hAnsi="黑体" w:eastAsia="黑体" w:cs="黑体"/>
          <w:sz w:val="32"/>
          <w:szCs w:val="32"/>
          <w:lang w:bidi="bo-CN"/>
        </w:rPr>
      </w:pPr>
      <w:r>
        <w:rPr>
          <w:rFonts w:hint="eastAsia" w:ascii="黑体" w:hAnsi="黑体" w:eastAsia="黑体" w:cs="黑体"/>
          <w:sz w:val="32"/>
          <w:szCs w:val="32"/>
          <w:lang w:bidi="bo-CN"/>
        </w:rPr>
        <w:t>第四章  促进与保障</w:t>
      </w:r>
    </w:p>
    <w:p>
      <w:pPr>
        <w:spacing w:line="576" w:lineRule="exact"/>
        <w:ind w:firstLine="640" w:firstLineChars="200"/>
        <w:rPr>
          <w:rFonts w:hint="eastAsia" w:ascii="黑体" w:hAnsi="黑体" w:eastAsia="黑体" w:cs="黑体"/>
          <w:kern w:val="0"/>
          <w:sz w:val="32"/>
          <w:szCs w:val="32"/>
          <w:lang w:bidi="bo-CN"/>
        </w:rPr>
      </w:pP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kern w:val="0"/>
          <w:sz w:val="32"/>
          <w:szCs w:val="32"/>
          <w:lang w:bidi="bo-CN"/>
        </w:rPr>
        <w:t>第二十</w:t>
      </w:r>
      <w:r>
        <w:rPr>
          <w:rFonts w:ascii="黑体" w:hAnsi="黑体" w:eastAsia="黑体" w:cs="黑体"/>
          <w:kern w:val="0"/>
          <w:sz w:val="32"/>
          <w:szCs w:val="32"/>
          <w:lang w:bidi="bo-CN"/>
        </w:rPr>
        <w:t>四</w:t>
      </w:r>
      <w:r>
        <w:rPr>
          <w:rFonts w:hint="eastAsia" w:ascii="黑体" w:hAnsi="黑体" w:eastAsia="黑体" w:cs="黑体"/>
          <w:kern w:val="0"/>
          <w:sz w:val="32"/>
          <w:szCs w:val="32"/>
          <w:lang w:bidi="bo-CN"/>
        </w:rPr>
        <w:t>条</w:t>
      </w:r>
      <w:r>
        <w:rPr>
          <w:rFonts w:hint="eastAsia" w:ascii="仿宋" w:hAnsi="仿宋" w:eastAsia="仿宋" w:cs="仿宋"/>
          <w:kern w:val="0"/>
          <w:sz w:val="32"/>
          <w:szCs w:val="32"/>
          <w:lang w:bidi="bo-CN"/>
        </w:rPr>
        <w:t xml:space="preserve"> </w:t>
      </w:r>
      <w:r>
        <w:rPr>
          <w:rFonts w:ascii="仿宋" w:hAnsi="仿宋" w:eastAsia="仿宋" w:cs="仿宋"/>
          <w:kern w:val="0"/>
          <w:sz w:val="32"/>
          <w:szCs w:val="32"/>
          <w:lang w:bidi="bo-CN"/>
        </w:rPr>
        <w:t xml:space="preserve"> </w:t>
      </w:r>
      <w:r>
        <w:rPr>
          <w:rFonts w:hint="eastAsia" w:ascii="仿宋_GB2312" w:hAnsi="CESI仿宋-GB2312" w:eastAsia="仿宋_GB2312" w:cs="CESI仿宋-GB2312"/>
          <w:sz w:val="32"/>
          <w:szCs w:val="32"/>
          <w:lang w:bidi="bo-CN"/>
        </w:rPr>
        <w:t>市精神文明建设指导机构应当定期组织开展文明城市、文明村镇、文明单位（社区、行业）、文明校园、文明家庭等群众性精神文明创建活动。</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kern w:val="0"/>
          <w:sz w:val="32"/>
          <w:szCs w:val="32"/>
          <w:lang w:bidi="bo-CN"/>
        </w:rPr>
        <w:t>第二十</w:t>
      </w:r>
      <w:r>
        <w:rPr>
          <w:rFonts w:ascii="黑体" w:hAnsi="黑体" w:eastAsia="黑体" w:cs="黑体"/>
          <w:kern w:val="0"/>
          <w:sz w:val="32"/>
          <w:szCs w:val="32"/>
          <w:lang w:bidi="bo-CN"/>
        </w:rPr>
        <w:t>五</w:t>
      </w:r>
      <w:r>
        <w:rPr>
          <w:rFonts w:hint="eastAsia" w:ascii="黑体" w:hAnsi="黑体" w:eastAsia="黑体" w:cs="黑体"/>
          <w:kern w:val="0"/>
          <w:sz w:val="32"/>
          <w:szCs w:val="32"/>
          <w:lang w:bidi="bo-CN"/>
        </w:rPr>
        <w:t>条</w:t>
      </w:r>
      <w:r>
        <w:rPr>
          <w:rFonts w:hint="eastAsia" w:ascii="仿宋" w:hAnsi="仿宋" w:eastAsia="仿宋" w:cs="仿宋"/>
          <w:kern w:val="0"/>
          <w:sz w:val="32"/>
          <w:szCs w:val="32"/>
          <w:lang w:bidi="bo-CN"/>
        </w:rPr>
        <w:t xml:space="preserve">  </w:t>
      </w:r>
      <w:r>
        <w:rPr>
          <w:rFonts w:hint="eastAsia" w:ascii="仿宋_GB2312" w:hAnsi="CESI仿宋-GB2312" w:eastAsia="仿宋_GB2312" w:cs="CESI仿宋-GB2312"/>
          <w:sz w:val="32"/>
          <w:szCs w:val="32"/>
          <w:lang w:bidi="bo-CN"/>
        </w:rPr>
        <w:t>市精神文明建设指导机构和有关部门应当定期组织开展“道德模范”等文明行为先进人物推选活动，举办各类对文明行为促进有示范作用的典型发布会和人物故事分享会等宣传活动。</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kern w:val="0"/>
          <w:sz w:val="32"/>
          <w:szCs w:val="32"/>
          <w:lang w:bidi="bo-CN"/>
        </w:rPr>
        <w:t>第二十</w:t>
      </w:r>
      <w:r>
        <w:rPr>
          <w:rFonts w:ascii="黑体" w:hAnsi="黑体" w:eastAsia="黑体" w:cs="黑体"/>
          <w:kern w:val="0"/>
          <w:sz w:val="32"/>
          <w:szCs w:val="32"/>
          <w:lang w:bidi="bo-CN"/>
        </w:rPr>
        <w:t>六</w:t>
      </w:r>
      <w:r>
        <w:rPr>
          <w:rFonts w:hint="eastAsia" w:ascii="黑体" w:hAnsi="黑体" w:eastAsia="黑体" w:cs="黑体"/>
          <w:kern w:val="0"/>
          <w:sz w:val="32"/>
          <w:szCs w:val="32"/>
          <w:lang w:bidi="bo-CN"/>
        </w:rPr>
        <w:t xml:space="preserve">条 </w:t>
      </w:r>
      <w:r>
        <w:rPr>
          <w:rFonts w:hint="eastAsia" w:ascii="仿宋" w:hAnsi="仿宋" w:eastAsia="仿宋" w:cs="仿宋"/>
          <w:kern w:val="0"/>
          <w:sz w:val="32"/>
          <w:szCs w:val="32"/>
          <w:lang w:bidi="bo-CN"/>
        </w:rPr>
        <w:t xml:space="preserve"> </w:t>
      </w:r>
      <w:r>
        <w:rPr>
          <w:rFonts w:hint="eastAsia" w:ascii="仿宋_GB2312" w:hAnsi="CESI仿宋-GB2312" w:eastAsia="仿宋_GB2312" w:cs="CESI仿宋-GB2312"/>
          <w:sz w:val="32"/>
          <w:szCs w:val="32"/>
          <w:lang w:bidi="bo-CN"/>
        </w:rPr>
        <w:t>市精神文明建设指导机构应当建立健全文明行为先进人物的礼遇和困难帮扶制度，通过节日慰问、重大疾病补助等方式给予关爱帮扶。</w:t>
      </w:r>
    </w:p>
    <w:p>
      <w:pPr>
        <w:spacing w:line="576" w:lineRule="exact"/>
        <w:ind w:firstLine="640" w:firstLineChars="200"/>
        <w:rPr>
          <w:rFonts w:hint="eastAsia" w:ascii="仿宋" w:hAnsi="仿宋" w:eastAsia="仿宋" w:cs="仿宋"/>
          <w:sz w:val="32"/>
          <w:szCs w:val="32"/>
          <w:lang w:bidi="bo-CN"/>
        </w:rPr>
      </w:pPr>
      <w:r>
        <w:rPr>
          <w:rFonts w:hint="eastAsia" w:ascii="黑体" w:hAnsi="黑体" w:eastAsia="黑体" w:cs="黑体"/>
          <w:sz w:val="32"/>
          <w:szCs w:val="32"/>
          <w:lang w:bidi="bo-CN"/>
        </w:rPr>
        <w:t>第二十</w:t>
      </w:r>
      <w:r>
        <w:rPr>
          <w:rFonts w:ascii="黑体" w:hAnsi="黑体" w:eastAsia="黑体" w:cs="黑体"/>
          <w:sz w:val="32"/>
          <w:szCs w:val="32"/>
          <w:lang w:bidi="bo-CN"/>
        </w:rPr>
        <w:t>七</w:t>
      </w:r>
      <w:r>
        <w:rPr>
          <w:rFonts w:hint="eastAsia" w:ascii="黑体" w:hAnsi="黑体" w:eastAsia="黑体" w:cs="黑体"/>
          <w:sz w:val="32"/>
          <w:szCs w:val="32"/>
          <w:lang w:bidi="bo-CN"/>
        </w:rPr>
        <w:t xml:space="preserve">条 </w:t>
      </w:r>
      <w:r>
        <w:rPr>
          <w:rFonts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鼓励和支持建立各类志愿服务组织，拓宽志愿服务领域，创新志愿服务方式，推动全社会积极开展志愿服务活动。志愿服务组织和志愿者开展志愿服务活动时，有关单位应当给予支持并提供便利和保障。</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第二十</w:t>
      </w:r>
      <w:r>
        <w:rPr>
          <w:rFonts w:ascii="黑体" w:hAnsi="黑体" w:eastAsia="黑体" w:cs="黑体"/>
          <w:sz w:val="32"/>
          <w:szCs w:val="32"/>
          <w:lang w:bidi="bo-CN"/>
        </w:rPr>
        <w:t>八</w:t>
      </w:r>
      <w:r>
        <w:rPr>
          <w:rFonts w:hint="eastAsia" w:ascii="黑体" w:hAnsi="黑体" w:eastAsia="黑体" w:cs="黑体"/>
          <w:sz w:val="32"/>
          <w:szCs w:val="32"/>
          <w:lang w:bidi="bo-CN"/>
        </w:rPr>
        <w:t>条</w:t>
      </w:r>
      <w:r>
        <w:rPr>
          <w:rFonts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市精神文明建设指导机构应当每年组织推选学雷锋志愿服务先进典型，对优秀志愿者、优秀志愿服务组织、优秀志愿服务社区和优秀志愿服务项目，按照有关规定给予表彰和奖励。</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24"/>
          <w:lang w:bidi="bo-CN"/>
        </w:rPr>
        <w:t>第</w:t>
      </w:r>
      <w:r>
        <w:rPr>
          <w:rFonts w:ascii="黑体" w:hAnsi="黑体" w:eastAsia="黑体" w:cs="黑体"/>
          <w:sz w:val="32"/>
          <w:szCs w:val="24"/>
          <w:lang w:bidi="bo-CN"/>
        </w:rPr>
        <w:t>二</w:t>
      </w:r>
      <w:r>
        <w:rPr>
          <w:rFonts w:hint="eastAsia" w:ascii="黑体" w:hAnsi="黑体" w:eastAsia="黑体" w:cs="黑体"/>
          <w:sz w:val="32"/>
          <w:szCs w:val="24"/>
          <w:lang w:bidi="bo-CN"/>
        </w:rPr>
        <w:t>十九条</w:t>
      </w:r>
      <w:r>
        <w:rPr>
          <w:rFonts w:ascii="仿宋" w:hAnsi="仿宋" w:eastAsia="仿宋" w:cs="仿宋"/>
          <w:sz w:val="32"/>
          <w:szCs w:val="24"/>
          <w:lang w:bidi="bo-CN"/>
        </w:rPr>
        <w:t xml:space="preserve">  </w:t>
      </w:r>
      <w:r>
        <w:rPr>
          <w:rFonts w:hint="eastAsia" w:ascii="仿宋_GB2312" w:hAnsi="CESI仿宋-GB2312" w:eastAsia="仿宋_GB2312" w:cs="CESI仿宋-GB2312"/>
          <w:sz w:val="32"/>
          <w:szCs w:val="32"/>
          <w:lang w:bidi="bo-CN"/>
        </w:rPr>
        <w:t>市、县（区）人民政府应当加强公共图书馆、中小学图书馆、乡镇（街道）及社区(村)图书室、流动站点等全民阅读设施建设，组织开展全民阅读活动，培养公民的阅读习惯，促进公民文明素养的提升。</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新时代文明实践中心（所、站）、图书馆、文化馆、博物馆、电影院、青少年活动中心、基层综合性文化服务中心等公共文化设施管理单位应当结合各自的功能特点，有针对性地开展文明行为宣传引导活动，培养公民的文明意识和文明行为习惯。</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24"/>
          <w:lang w:bidi="bo-CN"/>
        </w:rPr>
        <w:t>第三十条</w:t>
      </w:r>
      <w:r>
        <w:rPr>
          <w:rFonts w:ascii="黑体" w:hAnsi="黑体" w:eastAsia="黑体" w:cs="黑体"/>
          <w:sz w:val="32"/>
          <w:szCs w:val="24"/>
          <w:lang w:bidi="bo-CN"/>
        </w:rPr>
        <w:t xml:space="preserve"> </w:t>
      </w:r>
      <w:r>
        <w:rPr>
          <w:rFonts w:hint="eastAsia" w:ascii="CESI仿宋-GB2312" w:hAnsi="CESI仿宋-GB2312" w:eastAsia="CESI仿宋-GB2312" w:cs="CESI仿宋-GB2312"/>
          <w:sz w:val="32"/>
          <w:szCs w:val="24"/>
          <w:lang w:bidi="bo-CN"/>
        </w:rPr>
        <w:t xml:space="preserve"> </w:t>
      </w:r>
      <w:r>
        <w:rPr>
          <w:rFonts w:hint="eastAsia" w:ascii="仿宋_GB2312" w:hAnsi="CESI仿宋-GB2312" w:eastAsia="仿宋_GB2312" w:cs="CESI仿宋-GB2312"/>
          <w:sz w:val="32"/>
          <w:szCs w:val="32"/>
          <w:lang w:bidi="bo-CN"/>
        </w:rPr>
        <w:t>鼓励行业协会等社会组织、公共场所经营管理单位及其他企业事业单位根据本行业、本单位的特点，制定文明行为公约、守则。</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24"/>
          <w:lang w:bidi="bo-CN"/>
        </w:rPr>
        <w:t>第三十一条</w:t>
      </w:r>
      <w:r>
        <w:rPr>
          <w:rFonts w:ascii="仿宋" w:hAnsi="仿宋" w:eastAsia="仿宋" w:cs="仿宋"/>
          <w:sz w:val="32"/>
          <w:szCs w:val="24"/>
          <w:lang w:bidi="bo-CN"/>
        </w:rPr>
        <w:t xml:space="preserve"> </w:t>
      </w:r>
      <w:r>
        <w:rPr>
          <w:rFonts w:hint="eastAsia" w:ascii="仿宋_GB2312" w:hAnsi="CESI仿宋-GB2312" w:eastAsia="仿宋_GB2312" w:cs="CESI仿宋-GB2312"/>
          <w:sz w:val="32"/>
          <w:szCs w:val="32"/>
          <w:lang w:bidi="bo-CN"/>
        </w:rPr>
        <w:t xml:space="preserve"> 鼓励公共场所经营管理单位通过楼宇电视、显示屏、宣传栏等，开展文明行为宣传引导。</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仿宋_GB2312" w:hAnsi="CESI仿宋-GB2312" w:eastAsia="仿宋_GB2312" w:cs="CESI仿宋-GB2312"/>
          <w:sz w:val="32"/>
          <w:szCs w:val="32"/>
          <w:lang w:bidi="bo-CN"/>
        </w:rPr>
        <w:t>鼓励在公共交通工具上采取播放音视频、张贴标语等方式，对文明行为规范进行宣传。</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24"/>
          <w:lang w:bidi="bo-CN"/>
        </w:rPr>
        <w:t>第三十二条</w:t>
      </w:r>
      <w:r>
        <w:rPr>
          <w:rFonts w:ascii="仿宋" w:hAnsi="仿宋" w:eastAsia="仿宋" w:cs="仿宋"/>
          <w:sz w:val="32"/>
          <w:szCs w:val="24"/>
          <w:lang w:bidi="bo-CN"/>
        </w:rPr>
        <w:t xml:space="preserve">  </w:t>
      </w:r>
      <w:r>
        <w:rPr>
          <w:rFonts w:hint="eastAsia" w:ascii="仿宋_GB2312" w:hAnsi="CESI仿宋-GB2312" w:eastAsia="仿宋_GB2312" w:cs="CESI仿宋-GB2312"/>
          <w:sz w:val="32"/>
          <w:szCs w:val="32"/>
          <w:lang w:bidi="bo-CN"/>
        </w:rPr>
        <w:t>政务服务窗口单位、医疗机构、金融机构、景区管理机构、公共服务企业等应当发挥文明服务示范作用，合理设置服务网点和服务窗口，优化办事流程，推广网上预约、网上办理，提供便捷高效、文明礼貌的服务。</w:t>
      </w:r>
    </w:p>
    <w:p>
      <w:pPr>
        <w:spacing w:line="576" w:lineRule="exact"/>
        <w:ind w:firstLine="640" w:firstLineChars="200"/>
        <w:rPr>
          <w:rFonts w:hint="eastAsia" w:ascii="黑体" w:hAnsi="黑体" w:eastAsia="黑体" w:cs="黑体"/>
          <w:sz w:val="32"/>
          <w:szCs w:val="32"/>
          <w:lang w:bidi="bo-CN"/>
        </w:rPr>
      </w:pPr>
    </w:p>
    <w:p>
      <w:pPr>
        <w:spacing w:line="576" w:lineRule="exact"/>
        <w:ind w:firstLine="640" w:firstLineChars="200"/>
        <w:jc w:val="center"/>
        <w:rPr>
          <w:rFonts w:hint="eastAsia" w:ascii="黑体" w:hAnsi="黑体" w:eastAsia="黑体" w:cs="黑体"/>
          <w:sz w:val="32"/>
          <w:szCs w:val="32"/>
          <w:lang w:bidi="bo-CN"/>
        </w:rPr>
      </w:pPr>
      <w:r>
        <w:rPr>
          <w:rFonts w:hint="eastAsia" w:ascii="黑体" w:hAnsi="黑体" w:eastAsia="黑体" w:cs="黑体"/>
          <w:sz w:val="32"/>
          <w:szCs w:val="32"/>
          <w:lang w:bidi="bo-CN"/>
        </w:rPr>
        <w:t xml:space="preserve">第五章 </w:t>
      </w:r>
      <w:r>
        <w:rPr>
          <w:rFonts w:ascii="黑体" w:hAnsi="黑体" w:eastAsia="黑体" w:cs="黑体"/>
          <w:sz w:val="32"/>
          <w:szCs w:val="32"/>
          <w:lang w:bidi="bo-CN"/>
        </w:rPr>
        <w:t xml:space="preserve"> </w:t>
      </w:r>
      <w:r>
        <w:rPr>
          <w:rFonts w:hint="eastAsia" w:ascii="黑体" w:hAnsi="黑体" w:eastAsia="黑体" w:cs="黑体"/>
          <w:sz w:val="32"/>
          <w:szCs w:val="32"/>
          <w:lang w:bidi="bo-CN"/>
        </w:rPr>
        <w:t>法律责任</w:t>
      </w:r>
    </w:p>
    <w:p>
      <w:pPr>
        <w:spacing w:line="576" w:lineRule="exact"/>
        <w:ind w:firstLine="640" w:firstLineChars="200"/>
        <w:rPr>
          <w:rFonts w:hint="eastAsia" w:ascii="黑体" w:hAnsi="黑体" w:eastAsia="黑体" w:cs="黑体"/>
          <w:sz w:val="32"/>
          <w:szCs w:val="32"/>
          <w:lang w:bidi="bo-CN"/>
        </w:rPr>
      </w:pP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w:t>
      </w:r>
      <w:r>
        <w:rPr>
          <w:rFonts w:ascii="黑体" w:hAnsi="黑体" w:eastAsia="黑体" w:cs="黑体"/>
          <w:sz w:val="32"/>
          <w:szCs w:val="32"/>
          <w:lang w:bidi="bo-CN"/>
        </w:rPr>
        <w:t>三十三</w:t>
      </w:r>
      <w:r>
        <w:rPr>
          <w:rFonts w:hint="eastAsia" w:ascii="黑体" w:hAnsi="黑体" w:eastAsia="黑体" w:cs="黑体"/>
          <w:sz w:val="32"/>
          <w:szCs w:val="32"/>
          <w:lang w:bidi="bo-CN"/>
        </w:rPr>
        <w:t>条</w:t>
      </w:r>
      <w:r>
        <w:rPr>
          <w:rFonts w:ascii="黑体" w:hAnsi="黑体" w:eastAsia="黑体" w:cs="黑体"/>
          <w:sz w:val="32"/>
          <w:szCs w:val="32"/>
          <w:lang w:bidi="bo-CN"/>
        </w:rPr>
        <w:t xml:space="preserve">  </w:t>
      </w:r>
      <w:r>
        <w:rPr>
          <w:rFonts w:hint="eastAsia" w:ascii="仿宋_GB2312" w:hAnsi="CESI仿宋-GB2312" w:eastAsia="仿宋_GB2312" w:cs="CESI仿宋-GB2312"/>
          <w:sz w:val="32"/>
          <w:szCs w:val="32"/>
          <w:lang w:bidi="bo-CN"/>
        </w:rPr>
        <w:t>法律、法规对本条例规定的不文明行为已有处罚规定的，从其规定。</w:t>
      </w:r>
    </w:p>
    <w:p>
      <w:pPr>
        <w:spacing w:line="576" w:lineRule="exact"/>
        <w:ind w:firstLine="640" w:firstLineChars="200"/>
        <w:rPr>
          <w:rFonts w:hint="eastAsia" w:ascii="仿宋_GB2312" w:hAnsi="CESI仿宋-GB2312" w:eastAsia="仿宋_GB2312" w:cs="CESI仿宋-GB2312"/>
          <w:sz w:val="32"/>
          <w:szCs w:val="32"/>
          <w:lang w:bidi="bo-CN"/>
        </w:rPr>
      </w:pPr>
      <w:r>
        <w:rPr>
          <w:rFonts w:hint="eastAsia" w:ascii="黑体" w:hAnsi="黑体" w:eastAsia="黑体" w:cs="黑体"/>
          <w:sz w:val="32"/>
          <w:szCs w:val="32"/>
          <w:lang w:bidi="bo-CN"/>
        </w:rPr>
        <w:t>第</w:t>
      </w:r>
      <w:r>
        <w:rPr>
          <w:rFonts w:ascii="黑体" w:hAnsi="黑体" w:eastAsia="黑体" w:cs="黑体"/>
          <w:sz w:val="32"/>
          <w:szCs w:val="32"/>
          <w:lang w:bidi="bo-CN"/>
        </w:rPr>
        <w:t>三十四</w:t>
      </w:r>
      <w:r>
        <w:rPr>
          <w:rFonts w:hint="eastAsia" w:ascii="黑体" w:hAnsi="黑体" w:eastAsia="黑体" w:cs="黑体"/>
          <w:sz w:val="32"/>
          <w:szCs w:val="32"/>
          <w:lang w:bidi="bo-CN"/>
        </w:rPr>
        <w:t>条</w:t>
      </w:r>
      <w:r>
        <w:rPr>
          <w:rFonts w:ascii="黑体" w:hAnsi="黑体" w:eastAsia="黑体" w:cs="黑体"/>
          <w:sz w:val="32"/>
          <w:szCs w:val="32"/>
          <w:lang w:bidi="bo-CN"/>
        </w:rPr>
        <w:t xml:space="preserve">  </w:t>
      </w:r>
      <w:r>
        <w:rPr>
          <w:rFonts w:hint="eastAsia" w:ascii="仿宋_GB2312" w:hAnsi="CESI仿宋-GB2312" w:eastAsia="仿宋_GB2312" w:cs="CESI仿宋-GB2312"/>
          <w:sz w:val="32"/>
          <w:szCs w:val="32"/>
          <w:lang w:bidi="bo-CN"/>
        </w:rPr>
        <w:t>违反本条例规定实施不文明行为，当事人主动消除或者减轻违法行为危害后果的，应当依法从轻或者减轻行政处罚;违法行为轻微并及时纠正，没有造成危害后果的，不予行政处罚。</w:t>
      </w:r>
    </w:p>
    <w:p>
      <w:pPr>
        <w:spacing w:line="576" w:lineRule="exact"/>
        <w:ind w:firstLine="640" w:firstLineChars="200"/>
        <w:rPr>
          <w:rFonts w:hint="eastAsia" w:ascii="仿宋_GB2312" w:hAnsi="CESI仿宋-GB2312" w:eastAsia="仿宋_GB2312" w:cs="CESI仿宋-GB2312"/>
          <w:sz w:val="32"/>
          <w:szCs w:val="32"/>
          <w:lang w:val="en-US" w:bidi="bo-CN"/>
        </w:rPr>
      </w:pPr>
      <w:r>
        <w:rPr>
          <w:rFonts w:hint="eastAsia" w:ascii="黑体" w:hAnsi="黑体" w:eastAsia="黑体" w:cs="黑体"/>
          <w:sz w:val="32"/>
          <w:szCs w:val="32"/>
          <w:lang w:bidi="bo-CN"/>
        </w:rPr>
        <w:t>第三十五条</w:t>
      </w:r>
      <w:r>
        <w:rPr>
          <w:rFonts w:hint="eastAsia" w:ascii="Calibri" w:hAnsi="Calibri"/>
          <w:sz w:val="32"/>
          <w:szCs w:val="32"/>
          <w:lang w:bidi="bo-CN"/>
        </w:rPr>
        <w:t xml:space="preserve">  </w:t>
      </w:r>
      <w:r>
        <w:rPr>
          <w:rFonts w:hint="eastAsia" w:ascii="仿宋_GB2312" w:hAnsi="CESI仿宋-GB2312" w:eastAsia="仿宋_GB2312" w:cs="CESI仿宋-GB2312"/>
          <w:sz w:val="32"/>
          <w:szCs w:val="32"/>
          <w:lang w:val="en-US" w:eastAsia="zh-CN" w:bidi="bo-CN"/>
        </w:rPr>
        <w:t>国家机关及其工作人员在文明行为促进工作中不履行或者不正确履行职责的，由其上级主管部门、监察机关或者所在单位责令改正，并视情节轻重，对负有责任的领导人员和直接责任人员给予处分或者处理。</w:t>
      </w:r>
    </w:p>
    <w:p>
      <w:pPr>
        <w:spacing w:line="576" w:lineRule="exact"/>
        <w:rPr>
          <w:rFonts w:hint="eastAsia" w:ascii="仿宋_GB2312" w:hAnsi="CESI仿宋-GB2312" w:eastAsia="仿宋_GB2312" w:cs="CESI仿宋-GB2312"/>
          <w:sz w:val="32"/>
          <w:szCs w:val="32"/>
          <w:lang w:bidi="bo-CN"/>
        </w:rPr>
      </w:pPr>
    </w:p>
    <w:p>
      <w:pPr>
        <w:spacing w:line="576" w:lineRule="exact"/>
        <w:ind w:firstLine="640" w:firstLineChars="200"/>
        <w:jc w:val="center"/>
        <w:rPr>
          <w:rFonts w:hint="eastAsia" w:ascii="黑体" w:hAnsi="黑体" w:eastAsia="黑体" w:cs="黑体"/>
          <w:sz w:val="32"/>
          <w:szCs w:val="32"/>
          <w:lang w:bidi="bo-CN"/>
        </w:rPr>
      </w:pPr>
    </w:p>
    <w:p>
      <w:pPr>
        <w:spacing w:line="576" w:lineRule="exact"/>
        <w:ind w:firstLine="640" w:firstLineChars="200"/>
        <w:jc w:val="center"/>
        <w:rPr>
          <w:rFonts w:hint="eastAsia" w:ascii="黑体" w:hAnsi="黑体" w:eastAsia="黑体" w:cs="黑体"/>
          <w:sz w:val="32"/>
          <w:szCs w:val="32"/>
          <w:lang w:bidi="bo-CN"/>
        </w:rPr>
      </w:pPr>
      <w:r>
        <w:rPr>
          <w:rFonts w:hint="eastAsia" w:ascii="黑体" w:hAnsi="黑体" w:eastAsia="黑体" w:cs="黑体"/>
          <w:sz w:val="32"/>
          <w:szCs w:val="32"/>
          <w:lang w:bidi="bo-CN"/>
        </w:rPr>
        <w:t>第六章</w:t>
      </w:r>
      <w:r>
        <w:rPr>
          <w:rFonts w:ascii="黑体" w:hAnsi="黑体" w:eastAsia="黑体" w:cs="黑体"/>
          <w:sz w:val="32"/>
          <w:szCs w:val="32"/>
          <w:lang w:bidi="bo-CN"/>
        </w:rPr>
        <w:t xml:space="preserve">  </w:t>
      </w:r>
      <w:r>
        <w:rPr>
          <w:rFonts w:hint="eastAsia" w:ascii="黑体" w:hAnsi="黑体" w:eastAsia="黑体" w:cs="黑体"/>
          <w:sz w:val="32"/>
          <w:szCs w:val="32"/>
          <w:lang w:bidi="bo-CN"/>
        </w:rPr>
        <w:t>附  则</w:t>
      </w:r>
    </w:p>
    <w:p>
      <w:pPr>
        <w:spacing w:line="576" w:lineRule="exact"/>
        <w:ind w:firstLine="640" w:firstLineChars="200"/>
        <w:rPr>
          <w:rFonts w:hint="eastAsia" w:ascii="黑体" w:hAnsi="黑体" w:eastAsia="黑体" w:cs="黑体"/>
          <w:sz w:val="32"/>
          <w:szCs w:val="32"/>
          <w:lang w:bidi="bo-CN"/>
        </w:rPr>
      </w:pPr>
    </w:p>
    <w:p>
      <w:pPr>
        <w:spacing w:line="576" w:lineRule="exact"/>
        <w:ind w:firstLine="640" w:firstLineChars="200"/>
        <w:rPr>
          <w:rFonts w:hint="eastAsia" w:ascii="仿宋_GB2312" w:hAnsi="CESI仿宋-GB2312" w:eastAsia="仿宋_GB2312" w:cs="CESI仿宋-GB2312"/>
          <w:sz w:val="32"/>
          <w:szCs w:val="32"/>
          <w:lang w:eastAsia="zh-CN" w:bidi="bo-CN"/>
        </w:rPr>
      </w:pPr>
      <w:r>
        <w:rPr>
          <w:rFonts w:hint="eastAsia" w:ascii="黑体" w:hAnsi="黑体" w:eastAsia="黑体" w:cs="黑体"/>
          <w:sz w:val="32"/>
          <w:szCs w:val="32"/>
          <w:lang w:bidi="bo-CN"/>
        </w:rPr>
        <w:t>第三十六条</w:t>
      </w:r>
      <w:r>
        <w:rPr>
          <w:rFonts w:hint="eastAsia" w:ascii="仿宋" w:hAnsi="仿宋" w:eastAsia="仿宋" w:cs="仿宋"/>
          <w:sz w:val="32"/>
          <w:szCs w:val="32"/>
          <w:lang w:bidi="bo-CN"/>
        </w:rPr>
        <w:t xml:space="preserve"> </w:t>
      </w:r>
      <w:r>
        <w:rPr>
          <w:rFonts w:hint="eastAsia" w:ascii="仿宋_GB2312" w:hAnsi="CESI仿宋-GB2312" w:eastAsia="仿宋_GB2312" w:cs="CESI仿宋-GB2312"/>
          <w:sz w:val="32"/>
          <w:szCs w:val="32"/>
          <w:lang w:bidi="bo-CN"/>
        </w:rPr>
        <w:t xml:space="preserve"> 本条例自公布之日起施行</w:t>
      </w:r>
      <w:r>
        <w:rPr>
          <w:rFonts w:hint="eastAsia" w:ascii="仿宋_GB2312" w:hAnsi="CESI仿宋-GB2312" w:eastAsia="仿宋_GB2312" w:cs="CESI仿宋-GB2312"/>
          <w:sz w:val="32"/>
          <w:szCs w:val="32"/>
          <w:lang w:eastAsia="zh-CN" w:bidi="bo-CN"/>
        </w:rPr>
        <w:t>。</w:t>
      </w:r>
      <w:bookmarkStart w:id="0" w:name="_GoBack"/>
      <w:bookmarkEnd w:id="0"/>
    </w:p>
    <w:p/>
    <w:sectPr>
      <w:pgSz w:w="11906" w:h="16838"/>
      <w:pgMar w:top="2098" w:right="1474" w:bottom="1984" w:left="1587" w:header="851" w:footer="158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楷体简体">
    <w:altName w:val="宋体"/>
    <w:panose1 w:val="03000509000000000000"/>
    <w:charset w:val="86"/>
    <w:family w:val="script"/>
    <w:pitch w:val="default"/>
    <w:sig w:usb0="00000000" w:usb1="0000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78DA"/>
    <w:multiLevelType w:val="singleLevel"/>
    <w:tmpl w:val="FFBE78DA"/>
    <w:lvl w:ilvl="0" w:tentative="0">
      <w:start w:val="1"/>
      <w:numFmt w:val="chineseCounting"/>
      <w:suff w:val="nothing"/>
      <w:lvlText w:val="（%1）"/>
      <w:lvlJc w:val="left"/>
      <w:pPr>
        <w:ind w:left="640" w:firstLine="0"/>
      </w:pPr>
      <w:rPr>
        <w:rFonts w:hint="eastAsia"/>
      </w:rPr>
    </w:lvl>
  </w:abstractNum>
  <w:abstractNum w:abstractNumId="1">
    <w:nsid w:val="7FB53CBB"/>
    <w:multiLevelType w:val="singleLevel"/>
    <w:tmpl w:val="7FB53CBB"/>
    <w:lvl w:ilvl="0" w:tentative="0">
      <w:start w:val="2"/>
      <w:numFmt w:val="chineseCounting"/>
      <w:suff w:val="nothing"/>
      <w:lvlText w:val="（%1）"/>
      <w:lvlJc w:val="left"/>
      <w:pPr>
        <w:ind w:left="64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F560DCE"/>
    <w:rsid w:val="0F560DCE"/>
    <w:rsid w:val="304446DA"/>
    <w:rsid w:val="721E4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mn-Mong-CN"/>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CellMar>
        <w:top w:w="0" w:type="dxa"/>
        <w:left w:w="108" w:type="dxa"/>
        <w:bottom w:w="0" w:type="dxa"/>
        <w:right w:w="108" w:type="dxa"/>
      </w:tblCellMar>
    </w:tblPr>
  </w:style>
  <w:style w:type="paragraph" w:customStyle="1" w:styleId="4">
    <w:name w:val="正文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mn-Mong-CN"/>
    </w:rPr>
  </w:style>
  <w:style w:type="paragraph" w:customStyle="1" w:styleId="5">
    <w:name w:val="正文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正文2"/>
    <w:basedOn w:val="1"/>
    <w:next w:val="1"/>
    <w:qFormat/>
    <w:uiPriority w:val="0"/>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3865</Words>
  <Characters>3874</Characters>
  <Lines>0</Lines>
  <Paragraphs>0</Paragraphs>
  <TotalTime>0</TotalTime>
  <ScaleCrop>false</ScaleCrop>
  <LinksUpToDate>false</LinksUpToDate>
  <CharactersWithSpaces>3979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2022-02-10T08:50:00Z</dcterms:created>
  <dc:creator>LENOVO002</dc:creator>
  <cp:lastModifiedBy>PC400</cp:lastModifiedBy>
  <dcterms:modified xsi:type="dcterms:W3CDTF">2022-04-27T08:38:36Z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8E48825BEBAB4AFB8F74734DE56EEAD8</vt:lpwstr>
  </property>
</Properties>
</file>