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CS 255 System Design Document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3600" w:firstLine="720"/>
        <w:rPr>
          <w:b w:val="1"/>
        </w:rPr>
      </w:pPr>
      <w:r w:rsidDel="00000000" w:rsidR="00000000" w:rsidRPr="00000000">
        <w:rPr>
          <w:b w:val="1"/>
          <w:rtl w:val="0"/>
        </w:rPr>
        <w:t xml:space="preserve">UML Diagrams</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262937</wp:posOffset>
            </wp:positionV>
            <wp:extent cx="5943600" cy="47117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71170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902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0220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71755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17550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60960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0960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5753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5753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ab/>
        <w:tab/>
        <w:tab/>
        <w:tab/>
        <w:tab/>
      </w:r>
      <w:r w:rsidDel="00000000" w:rsidR="00000000" w:rsidRPr="00000000">
        <w:rPr>
          <w:b w:val="1"/>
          <w:rtl w:val="0"/>
        </w:rPr>
        <w:t xml:space="preserve">Technical Requirements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The application must be a web-based application and use cloud-based hosting services to be able to be accessed anywhere and modified as needed. The system will also store all examiners, users, learning material, locations, appointments, and test progress in the cloud reliably. Communication between the cloud and the application also must be encrypted as well as user to an application to avoid man-in-the-middle attacks and other vulnerabilities which can jeopardize the product or deny services that cost money.</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