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Ayish</w:t>
      </w:r>
      <w:r>
        <w:t xml:space="preserve"> </w:t>
      </w:r>
      <w:r>
        <w:t xml:space="preserve">Bayou</w:t>
      </w:r>
      <w:r>
        <w:t xml:space="preserve"> </w:t>
      </w:r>
      <w:r>
        <w:t xml:space="preserve">Water</w:t>
      </w:r>
      <w:r>
        <w:t xml:space="preserve"> </w:t>
      </w:r>
      <w:r>
        <w:t xml:space="preserve">Quality</w:t>
      </w:r>
      <w:r>
        <w:t xml:space="preserve"> </w:t>
      </w:r>
      <w:r>
        <w:t xml:space="preserve">Monitoring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Schramm</w:t>
      </w:r>
      <w:r>
        <w:t xml:space="preserve"> 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Lucas</w:t>
      </w:r>
      <w:r>
        <w:t xml:space="preserve"> </w:t>
      </w:r>
      <w:r>
        <w:t xml:space="preserve">Gregory</w:t>
      </w:r>
      <w:r>
        <w:t xml:space="preserve"> 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Jeremiah</w:t>
      </w:r>
      <w:r>
        <w:t xml:space="preserve"> </w:t>
      </w:r>
      <w:r>
        <w:t xml:space="preserve">Poling</w:t>
      </w:r>
      <w:r>
        <w:t xml:space="preserve"> 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Emylea</w:t>
      </w:r>
      <w:r>
        <w:t xml:space="preserve"> </w:t>
      </w:r>
      <w:r>
        <w:t xml:space="preserve">Cole</w:t>
      </w:r>
      <w:r>
        <w:t xml:space="preserve"> </w:t>
      </w:r>
      <w:r>
        <w:rPr>
          <w:vertAlign w:val="superscript"/>
        </w:rPr>
        <w:t xml:space="preserve">3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Texas</w:t>
      </w:r>
      <w:r>
        <w:t xml:space="preserve"> </w:t>
      </w:r>
      <w:r>
        <w:t xml:space="preserve">Water</w:t>
      </w:r>
      <w:r>
        <w:t xml:space="preserve"> </w:t>
      </w:r>
      <w:r>
        <w:t xml:space="preserve">Resources</w:t>
      </w:r>
      <w:r>
        <w:t xml:space="preserve"> </w:t>
      </w:r>
      <w:r>
        <w:t xml:space="preserve">Institute,</w:t>
      </w:r>
      <w:r>
        <w:t xml:space="preserve"> </w:t>
      </w:r>
      <w:r>
        <w:t xml:space="preserve">Texas</w:t>
      </w:r>
      <w:r>
        <w:t xml:space="preserve"> </w:t>
      </w:r>
      <w:r>
        <w:t xml:space="preserve">A&amp;M</w:t>
      </w:r>
      <w:r>
        <w:t xml:space="preserve"> </w:t>
      </w:r>
      <w:r>
        <w:t xml:space="preserve">AgriLife</w:t>
      </w:r>
      <w:r>
        <w:t xml:space="preserve"> </w:t>
      </w:r>
      <w:r>
        <w:t xml:space="preserve">Research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Texas</w:t>
      </w:r>
      <w:r>
        <w:t xml:space="preserve"> </w:t>
      </w:r>
      <w:r>
        <w:t xml:space="preserve">Water</w:t>
      </w:r>
      <w:r>
        <w:t xml:space="preserve"> </w:t>
      </w:r>
      <w:r>
        <w:t xml:space="preserve">Resources</w:t>
      </w:r>
      <w:r>
        <w:t xml:space="preserve"> </w:t>
      </w:r>
      <w:r>
        <w:t xml:space="preserve">Institute,</w:t>
      </w:r>
      <w:r>
        <w:t xml:space="preserve"> </w:t>
      </w:r>
      <w:r>
        <w:t xml:space="preserve">Texas</w:t>
      </w:r>
      <w:r>
        <w:t xml:space="preserve"> </w:t>
      </w:r>
      <w:r>
        <w:t xml:space="preserve">A&amp;M</w:t>
      </w:r>
      <w:r>
        <w:t xml:space="preserve"> </w:t>
      </w:r>
      <w:r>
        <w:t xml:space="preserve">AgriLife</w:t>
      </w:r>
      <w:r>
        <w:t xml:space="preserve"> </w:t>
      </w:r>
      <w:r>
        <w:t xml:space="preserve">Extension</w:t>
      </w:r>
      <w:r>
        <w:t xml:space="preserve"> </w:t>
      </w:r>
      <w:r>
        <w:t xml:space="preserve">Service</w:t>
      </w:r>
    </w:p>
    <w:p>
      <w:pPr>
        <w:pStyle w:val="Author"/>
      </w:pPr>
      <w:r>
        <w:rPr>
          <w:vertAlign w:val="superscript"/>
        </w:rPr>
        <w:t xml:space="preserve">3</w:t>
      </w:r>
      <w:r>
        <w:t xml:space="preserve"> </w:t>
      </w:r>
      <w:r>
        <w:t xml:space="preserve">Angelina</w:t>
      </w:r>
      <w:r>
        <w:t xml:space="preserve"> </w:t>
      </w:r>
      <w:r>
        <w:t xml:space="preserve">&amp;</w:t>
      </w:r>
      <w:r>
        <w:t xml:space="preserve"> </w:t>
      </w:r>
      <w:r>
        <w:t xml:space="preserve">Neches</w:t>
      </w:r>
      <w:r>
        <w:t xml:space="preserve"> </w:t>
      </w:r>
      <w:r>
        <w:t xml:space="preserve">River</w:t>
      </w:r>
      <w:r>
        <w:t xml:space="preserve"> </w:t>
      </w:r>
      <w:r>
        <w:t xml:space="preserve">Authority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1,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Texas Water Resources Institute</w:t>
      </w:r>
      <w:r>
        <w:br w:type="textWrapping"/>
      </w:r>
      <w:r>
        <w:t xml:space="preserve"> </w:t>
      </w:r>
      <w:r>
        <w:t xml:space="preserve">Texas A&amp;M AgriLife</w:t>
      </w:r>
      <w:r>
        <w:br w:type="textWrapping"/>
      </w:r>
      <w:r>
        <w:t xml:space="preserve"> </w:t>
      </w:r>
      <w:r>
        <w:t xml:space="preserve">College Station, TX</w:t>
      </w:r>
    </w:p>
    <w:p>
      <w:pPr>
        <w:pStyle w:val="BodyText"/>
      </w:pPr>
      <w:r>
        <w:t xml:space="preserve">TR-ABCD</w:t>
      </w:r>
    </w:p>
    <w:p>
      <w:pPr>
        <w:pStyle w:val="BodyText"/>
      </w:pPr>
      <w:r>
        <w:t xml:space="preserve">This project was funded through a grant from a generous agency.</w:t>
      </w:r>
    </w:p>
    <w:p>
      <w:pPr>
        <w:pStyle w:val="BodyText"/>
      </w:pPr>
      <w:r>
        <w:t xml:space="preserve">Insert other funding or partnership acknowledgments here.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nextPage"/>
          <w:cols/>
        </w:sectPr>
      </w:pPr>
    </w:p>
    <w:p>
      <w:pPr>
        <w:pStyle w:val="UnnumberedHeading1"/>
      </w:pPr>
      <w:r>
        <w:t xml:space="preserve">Table of Contents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Table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Table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Abbreviations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nextPage"/>
          <w:cols/>
        </w:sectPr>
      </w:pP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Work under this data collection project included water quality data collection</w:t>
      </w:r>
      <w:r>
        <w:t xml:space="preserve"> </w:t>
      </w:r>
      <w:r>
        <w:t xml:space="preserve">in Ayish Bayou and its tributaries for future watershed planning efforts.</w:t>
      </w:r>
      <w:r>
        <w:br/>
      </w:r>
      <w:r>
        <w:t xml:space="preserve">Water quality data on the Ayish Bayou and its tributaries was collected to</w:t>
      </w:r>
      <w:r>
        <w:t xml:space="preserve"> </w:t>
      </w:r>
      <w:r>
        <w:t xml:space="preserve">provide improved temporal and spatial data resolution for future watershed</w:t>
      </w:r>
      <w:r>
        <w:t xml:space="preserve"> </w:t>
      </w:r>
      <w:r>
        <w:t xml:space="preserve">planning and assessment purposes.</w:t>
      </w:r>
      <w:r>
        <w:t xml:space="preserve"> </w:t>
      </w:r>
      <w:r>
        <w:t xml:space="preserve">Water quality monitoring was conducted monthly at monitoring stations 15361,</w:t>
      </w:r>
      <w:r>
        <w:t xml:space="preserve"> </w:t>
      </w:r>
      <w:r>
        <w:t xml:space="preserve">15365, 21431, 22399 on TCEQ Segment 0610A (Ayish Bayou), 15358 on 0610K</w:t>
      </w:r>
      <w:r>
        <w:t xml:space="preserve"> </w:t>
      </w:r>
      <w:r>
        <w:t xml:space="preserve">(Sandy Creek), 15359 on 0610I (Chiamon Creek), 15362 on 0610G (Caney Creek),</w:t>
      </w:r>
      <w:r>
        <w:t xml:space="preserve"> </w:t>
      </w:r>
      <w:r>
        <w:t xml:space="preserve">and 15363 on 0610M (Venado Creek). The 2022 Texas Integrated Report on</w:t>
      </w:r>
      <w:r>
        <w:t xml:space="preserve"> </w:t>
      </w:r>
      <w:r>
        <w:t xml:space="preserve">Water Quality provides the following segment descriptions: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0610A Ayish Bayou</w:t>
      </w:r>
      <w:r>
        <w:t xml:space="preserve">: Perennial stream from the headwaters of Sam Rayburn</w:t>
      </w:r>
      <w:r>
        <w:t xml:space="preserve"> </w:t>
      </w:r>
      <w:r>
        <w:t xml:space="preserve">Reservoir to the dam impounding Bland Lake approximately 0.1km upstream of FM</w:t>
      </w:r>
      <w:r>
        <w:t xml:space="preserve"> </w:t>
      </w:r>
      <w:r>
        <w:t xml:space="preserve">1279 near the City of San Augustine.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0610K Sandy Creek in San Augustine County</w:t>
      </w:r>
      <w:r>
        <w:t xml:space="preserve">: From the confluence with Ayish</w:t>
      </w:r>
      <w:r>
        <w:t xml:space="preserve"> </w:t>
      </w:r>
      <w:r>
        <w:t xml:space="preserve">Bayou (0610A) upstream to headwaters in San Augustine County.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0610I Chiamon Creek</w:t>
      </w:r>
      <w:r>
        <w:t xml:space="preserve">: From the confluence with Ayish Bayou (0610A) in San</w:t>
      </w:r>
      <w:r>
        <w:t xml:space="preserve"> </w:t>
      </w:r>
      <w:r>
        <w:t xml:space="preserve">Augustine County upstream to headwaters in Sabine County.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0610G Caney Creek in San Augustine County</w:t>
      </w:r>
      <w:r>
        <w:t xml:space="preserve">: From the confluence with Ayish</w:t>
      </w:r>
      <w:r>
        <w:t xml:space="preserve"> </w:t>
      </w:r>
      <w:r>
        <w:t xml:space="preserve">Bayou (0610A) in San Augustine County upstream to headwaters.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0610M Venado Creek</w:t>
      </w:r>
      <w:r>
        <w:t xml:space="preserve">: From the confluence with Ayish Bayou (0610A) upstream</w:t>
      </w:r>
      <w:r>
        <w:t xml:space="preserve"> </w:t>
      </w:r>
      <w:r>
        <w:t xml:space="preserve">to headwaters in San Augustine County.</w:t>
      </w:r>
    </w:p>
    <w:p>
      <w:pPr>
        <w:pStyle w:val="FirstParagraph"/>
      </w:pPr>
      <w:r>
        <w:t xml:space="preserve">Each water body is considered perennial with a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  <w:r>
        <w:t xml:space="preserve"> </w:t>
      </w:r>
      <w:r>
        <w:t xml:space="preserve">Aquatic Life Use designation.</w:t>
      </w:r>
      <w:r>
        <w:t xml:space="preserve"> </w:t>
      </w:r>
      <w:r>
        <w:t xml:space="preserve">Ayish Bayou (0610A) has been identified as impaired in the 2022 Texas</w:t>
      </w:r>
      <w:r>
        <w:t xml:space="preserve"> </w:t>
      </w:r>
      <w:r>
        <w:t xml:space="preserve">Integrated Report of Water Quality for exceeding the primary</w:t>
      </w:r>
      <w:r>
        <w:t xml:space="preserve"> </w:t>
      </w:r>
      <w:r>
        <w:t xml:space="preserve">recreation use I criterion due to elevated</w:t>
      </w:r>
      <w:r>
        <w:t xml:space="preserve"> </w:t>
      </w:r>
      <w:r>
        <w:rPr>
          <w:iCs/>
          <w:i/>
        </w:rPr>
        <w:t xml:space="preserve">Escherichia coli</w:t>
      </w:r>
      <w:r>
        <w:t xml:space="preserve"> </w:t>
      </w:r>
      <w:r>
        <w:t xml:space="preserve">(</w:t>
      </w:r>
      <w:r>
        <w:rPr>
          <w:iCs/>
          <w:i/>
        </w:rPr>
        <w:t xml:space="preserve">E. coli</w:t>
      </w:r>
      <w:r>
        <w:t xml:space="preserve">)</w:t>
      </w:r>
      <w:r>
        <w:t xml:space="preserve"> </w:t>
      </w:r>
      <w:r>
        <w:t xml:space="preserve">and was first listed impaired in 2000.</w:t>
      </w:r>
      <w:r>
        <w:t xml:space="preserve"> </w:t>
      </w:r>
      <w:r>
        <w:t xml:space="preserve">Focus of the monitoring activities were for bacterial impairments, but other</w:t>
      </w:r>
      <w:r>
        <w:t xml:space="preserve"> </w:t>
      </w:r>
      <w:r>
        <w:t xml:space="preserve">water quality parameters were collected to provide further information for</w:t>
      </w:r>
      <w:r>
        <w:t xml:space="preserve"> </w:t>
      </w:r>
      <w:r>
        <w:t xml:space="preserve">planning efforts.</w:t>
      </w:r>
      <w:r>
        <w:t xml:space="preserve"> </w:t>
      </w:r>
      <w:r>
        <w:t xml:space="preserve">Under this project sampling included collection of basic field parameters,</w:t>
      </w:r>
      <w:r>
        <w:t xml:space="preserve"> </w:t>
      </w:r>
      <w:r>
        <w:t xml:space="preserve">conventional, and bacterialogical parameters. Sampling occurred monthly at all</w:t>
      </w:r>
      <w:r>
        <w:t xml:space="preserve"> </w:t>
      </w:r>
      <w:r>
        <w:t xml:space="preserve">sites; however, sites 15361 and 21431 on Ayish Bayou were sampled quarterly under</w:t>
      </w:r>
      <w:r>
        <w:t xml:space="preserve"> </w:t>
      </w:r>
      <w:r>
        <w:t xml:space="preserve">the previously planned quarterly Clean Rivers Program monitoring efforts.</w:t>
      </w:r>
      <w:r>
        <w:t xml:space="preserve"> </w:t>
      </w:r>
      <w:r>
        <w:t xml:space="preserve">Quarterly samples are not included in this report.</w:t>
      </w:r>
      <w:r>
        <w:t xml:space="preserve"> </w:t>
      </w:r>
      <w:r>
        <w:t xml:space="preserve">All work was conducted under an approved Quality Assurance Project Plan.</w:t>
      </w:r>
    </w:p>
    <w:bookmarkEnd w:id="20"/>
    <w:bookmarkStart w:id="21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t xml:space="preserve">This is an example of an unformatted table and how we cross-reference that table (</w:t>
      </w:r>
      <w:hyperlink w:anchor="tab:summary">
        <w:r>
          <w:rPr>
            <w:rStyle w:val="Hyperlink"/>
          </w:rPr>
          <w:t xml:space="preserve">Table</w:t>
        </w:r>
        <w:r>
          <w:rPr>
            <w:rStyle w:val="Hyperlink"/>
          </w:rPr>
          <w:t xml:space="preserve"> </w:t>
        </w:r>
        <w:hyperlink w:anchor="summary">
          <w:r xmlns:w14="http://schemas.microsoft.com/office/word/2010/wordml">
            <w:rPr/>
            <w:fldChar w:fldCharType="begin" w:dirty="true"/>
          </w:r>
          <w:r xmlns:w14="http://schemas.microsoft.com/office/word/2010/wordml">
            <w:rPr/>
            <w:instrText xml:space="preserve" w:dirty="true"> REF summary \h</w:instrText>
          </w:r>
          <w:r xmlns:w14="http://schemas.microsoft.com/office/word/2010/wordml">
            <w:rPr/>
            <w:fldChar w:fldCharType="end" w:dirty="true"/>
          </w:r>
        </w:hyperlink>
      </w:hyperlink>
      <w:r>
        <w:t xml:space="preserve">).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continuous"/>
          <w:cols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false"/>
        </w:rPr>
        <w:t xml:space="preserve">Table  </w:t>
      </w:r>
      <w:bookmarkStart w:id="760e0290-25fe-4ed9-83f7-2108fe9b7d7d" w:name="summary"/>
      <w:r>
        <w:rPr>
          <w:rFonts/>
          <w:b w:val="false"/>
        </w:rPr>
        <w:fldChar w:fldCharType="begin" w:dirty="true"/>
      </w:r>
      <w:r>
        <w:rPr>
          <w:rFonts/>
          <w:b w:val="false"/>
        </w:rPr>
        <w:instrText xml:space="preserve" w:dirty="true">SEQ tab \* Arabic</w:instrText>
      </w:r>
      <w:r>
        <w:rPr>
          <w:rFonts/>
          <w:b w:val="false"/>
        </w:rPr>
        <w:fldChar w:fldCharType="end" w:dirty="true"/>
      </w:r>
      <w:bookmarkEnd w:id="760e0290-25fe-4ed9-83f7-2108fe9b7d7d"/>
      <w:r>
        <w:rPr>
          <w:rFonts/>
          <w:b w:val="false"/>
        </w:rPr>
        <w:t xml:space="preserve">.  </w:t>
      </w:r>
      <w:r>
        <w:t xml:space="preserve">Summary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6061"/>
        <w:gridCol w:w="655"/>
        <w:gridCol w:w="1328"/>
        <w:gridCol w:w="1512"/>
        <w:gridCol w:w="2245"/>
        <w:gridCol w:w="1084"/>
      </w:tblGrid>
      <w:tr>
        <w:trPr>
          <w:trHeight w:val="574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617" w:hRule="auto"/>
        </w:trPr>
        body  1
        <w:tc>
          <w:tcPr>
            <w:gridSpan w:val="6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3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SWQM Site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15358 Sandy Creek - FM 705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14.67</w:t>
            </w:r>
          </w:p>
        </w:tc>
      </w:tr>
      <w:tr>
        <w:trPr>
          <w:trHeight w:val="615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 COLI, COLILERT, IDEXX METHOD, MPN/100ML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245.05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 (STANDARD UNITS)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26.99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CONDUCTANCE,FIELD (UMHOS/CM @ 25C)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143.17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SULFATE (MG/L AS SO4)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16.65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TEMPERATURE, WATER (DEGREES CENTIGRADE)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TRANSPARENCY, SECCHI DISC (METERS)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617" w:hRule="auto"/>
        </w:trPr>
        body 16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3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SWQM Site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15359 Chiamon Bayou - FM 1751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11.97</w:t>
            </w:r>
          </w:p>
        </w:tc>
      </w:tr>
      <w:tr>
        <w:trPr>
          <w:trHeight w:val="615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 COLI, COLILERT, IDEXX METHOD, MPN/100ML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253.19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 (STANDARD UNITS)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29.11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CONDUCTANCE,FIELD (UMHOS/CM @ 25C)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181.75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SULFATE (MG/L AS SO4)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30.33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TEMPERATURE, WATER (DEGREES CENTIGRADE)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TRANSPARENCY, SECCHI DISC (METERS)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587" w:hRule="auto"/>
        </w:trPr>
        body 31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3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SWQM Site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15361 AYISH BAYOU AT SH 103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</w:t>
            </w:r>
          </w:p>
        </w:tc>
      </w:tr>
      <w:tr>
        <w:trPr>
          <w:trHeight w:val="615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 COLI, COLILERT, IDEXX METHOD, MPN/100ML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282.15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 (STANDARD UNITS)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25.94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CONDUCTANCE,FIELD (UMHOS/CM @ 25C)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162.38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SULFATE (MG/L AS SO4)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11.12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TEMPERATURE, WATER (DEGREES CENTIGRADE)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TRANSPARENCY, SECCHI DISC (METERS)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46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3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SWQM Site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15362 Caney Creek - SH 147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</w:t>
            </w:r>
          </w:p>
        </w:tc>
      </w:tr>
      <w:tr>
        <w:trPr>
          <w:trHeight w:val="615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 COLI, COLILERT, IDEXX METHOD, MPN/100ML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338.56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 (STANDARD UNITS)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CONDUCTANCE,FIELD (UMHOS/CM @ 25C)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197.92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SULFATE (MG/L AS SO4)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TEMPERATURE, WATER (DEGREES CENTIGRADE)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18.06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TRANSPARENCY, SECCHI DISC (METERS)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587" w:hRule="auto"/>
        </w:trPr>
        body 61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3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SWQM Site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15363 Venado Creek - SH 147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9.93</w:t>
            </w:r>
          </w:p>
        </w:tc>
      </w:tr>
      <w:tr>
        <w:trPr>
          <w:trHeight w:val="615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 COLI, COLILERT, IDEXX METHOD, MPN/100ML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445.51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 (STANDARD UNITS)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CONDUCTANCE,FIELD (UMHOS/CM @ 25C)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SULFATE (MG/L AS SO4)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TEMPERATURE, WATER (DEGREES CENTIGRADE)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TRANSPARENCY, SECCHI DISC (METERS)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615" w:hRule="auto"/>
        </w:trPr>
        body 76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3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SWQM Site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15365 Ayish Bayou - FM 3230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</w:tr>
      <w:tr>
        <w:trPr>
          <w:trHeight w:val="615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 COLI, COLILERT, IDEXX METHOD, MPN/100ML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430.76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 (STANDARD UNITS)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CONDUCTANCE,FIELD (UMHOS/CM @ 25C)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77.09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SULFATE (MG/L AS SO4)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TEMPERATURE, WATER (DEGREES CENTIGRADE)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TRANSPARENCY, SECCHI DISC (METERS)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617" w:hRule="auto"/>
        </w:trPr>
        body 91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3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SWQM Site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21431 Ayish Bayou at West Columbia St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</w:tr>
      <w:tr>
        <w:trPr>
          <w:trHeight w:val="615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 COLI, COLILERT, IDEXX METHOD, MPN/100ML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509.37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8.38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 (STANDARD UNITS)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CONDUCTANCE,FIELD (UMHOS/CM @ 25C)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103.25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SULFATE (MG/L AS SO4)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</w:t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TEMPERATURE, WATER (DEGREES CENTIGRADE)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18.66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TRANSPARENCY, SECCHI DISC (METERS)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body106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3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SWQM Site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22399 Ayish Bayou - CR 313</w:t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10.32</w:t>
            </w:r>
          </w:p>
        </w:tc>
      </w:tr>
      <w:tr>
        <w:trPr>
          <w:trHeight w:val="615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 COLI, COLILERT, IDEXX METHOD, MPN/100ML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316.69</w:t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 (STANDARD UNITS)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26.18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CONDUCTANCE,FIELD (UMHOS/CM @ 25C)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164.08</w:t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SULFATE (MG/L AS SO4)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TEMPERATURE, WATER (DEGREES CENTIGRADE)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</w:t>
            </w:r>
          </w:p>
        </w:tc>
      </w:tr>
      <w:tr>
        <w:trPr>
          <w:trHeight w:val="617" w:hRule="auto"/>
        </w:trPr>
        body120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TRANSPARENCY, SECCHI DISC (METERS)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footer 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 refers to the geometric mean for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E. coli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and the mean for all other parameters.</w:t>
            </w:r>
          </w:p>
        </w:tc>
      </w:tr>
    </w:tbl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bookmarkEnd w:id="21"/>
    <w:bookmarkStart w:id="22" w:name="figures"/>
    <w:p>
      <w:pPr>
        <w:pStyle w:val="Heading1"/>
      </w:pPr>
      <w:r>
        <w:t xml:space="preserve">Figures</w:t>
      </w:r>
    </w:p>
    <w:p>
      <w:pPr>
        <w:pStyle w:val="FirstParagraph"/>
      </w:pPr>
      <w:r>
        <w:t xml:space="preserve">We can embed and cross-reference plots (Figure</w:t>
      </w:r>
      <w:r>
        <w:t xml:space="preserve"> </w:t>
      </w:r>
      <w:hyperlink w:anchor="temperature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temperature \h</w:instrText>
        </w:r>
        <w:r xmlns:w14="http://schemas.microsoft.com/office/word/2010/wordml">
          <w:rPr/>
          <w:fldChar w:fldCharType="end" w:dirty="true"/>
        </w:r>
      </w:hyperlink>
      <w:r>
        <w:t xml:space="preserve">).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5486400"/>
            <wp:docPr id="1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9820a47e-7b9b-4d2e-9454-95087b2e2340" w:name="temperature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9820a47e-7b9b-4d2e-9454-95087b2e2340"/>
      <w:r>
        <w:rPr>
          <w:rFonts/>
          <w:b w:val="false"/>
        </w:rPr>
        <w:t xml:space="preserve">. </w:t>
      </w:r>
      <w:r>
        <w:t xml:space="preserve">Temperature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5486400"/>
            <wp:docPr id="3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55c12425-6cbc-4fd0-a9be-f8ae372a99f3" w:name="ph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55c12425-6cbc-4fd0-a9be-f8ae372a99f3"/>
      <w:r>
        <w:rPr>
          <w:rFonts/>
          <w:b w:val="false"/>
        </w:rPr>
        <w:t xml:space="preserve">. </w:t>
      </w:r>
      <w:r>
        <w:t xml:space="preserve">pH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6858000"/>
            <wp:docPr id="5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84dd6b8c-a68b-4448-9be5-e1cfbc5bb1e1" w:name="do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84dd6b8c-a68b-4448-9be5-e1cfbc5bb1e1"/>
      <w:r>
        <w:rPr>
          <w:rFonts/>
          <w:b w:val="false"/>
        </w:rPr>
        <w:t xml:space="preserve">. </w:t>
      </w:r>
      <w:r>
        <w:t xml:space="preserve">Grab Dissolved Oxygen samples by (A) station and by (B) date. Dissolved Oxygen grab minimum and screening level criterion are indicated by the solid and dashed lines.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7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73c050cf-6e35-452f-87b5-8baf8908d4f8" w:name="sc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73c050cf-6e35-452f-87b5-8baf8908d4f8"/>
      <w:r>
        <w:rPr>
          <w:rFonts/>
          <w:b w:val="false"/>
        </w:rPr>
        <w:t xml:space="preserve">. </w:t>
      </w:r>
      <w:r>
        <w:t xml:space="preserve">Specific conductance</w:t>
      </w:r>
    </w:p>
    <w:p>
      <w:pPr>
        <w:pStyle w:val="SourceCode"/>
      </w:pPr>
      <w:r>
        <w:rPr>
          <w:rStyle w:val="VerbatimChar"/>
        </w:rPr>
        <w:t xml:space="preserve">## Warning: The shape palette can deal with a maximum of 6 discrete values because more</w:t>
      </w:r>
      <w:r>
        <w:br/>
      </w:r>
      <w:r>
        <w:rPr>
          <w:rStyle w:val="VerbatimChar"/>
        </w:rPr>
        <w:t xml:space="preserve">## than 6 becomes difficult to discriminate</w:t>
      </w:r>
      <w:r>
        <w:br/>
      </w:r>
      <w:r>
        <w:rPr>
          <w:rStyle w:val="VerbatimChar"/>
        </w:rPr>
        <w:t xml:space="preserve">## ℹ you have requested 8 values. Consider specifying shapes manually if you need</w:t>
      </w:r>
      <w:r>
        <w:br/>
      </w:r>
      <w:r>
        <w:rPr>
          <w:rStyle w:val="VerbatimChar"/>
        </w:rPr>
        <w:t xml:space="preserve">##   that many have them.</w:t>
      </w:r>
    </w:p>
    <w:p>
      <w:pPr>
        <w:pStyle w:val="SourceCode"/>
      </w:pPr>
      <w:r>
        <w:rPr>
          <w:rStyle w:val="VerbatimChar"/>
        </w:rPr>
        <w:t xml:space="preserve">## Warning: Removed 20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9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91d893ed-f0dc-4fa7-a213-334829179ab1" w:name="transparency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91d893ed-f0dc-4fa7-a213-334829179ab1"/>
      <w:r>
        <w:rPr>
          <w:rFonts/>
          <w:b w:val="false"/>
        </w:rPr>
        <w:t xml:space="preserve">. </w:t>
      </w:r>
      <w:r>
        <w:t xml:space="preserve">Transparency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11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86e55d19-a0fe-4523-a096-7372361723e2" w:name="ecoli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86e55d19-a0fe-4523-a096-7372361723e2"/>
      <w:r>
        <w:rPr>
          <w:rFonts/>
          <w:b w:val="false"/>
        </w:rPr>
        <w:t xml:space="preserve">. </w:t>
      </w:r>
      <w:r>
        <w:t xml:space="preserve">Ecoli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nextPage"/>
          <w:cols/>
        </w:sectPr>
      </w:pPr>
    </w:p>
    <w:p>
      <w:pPr>
        <w:sectPr>
          <w:pgMar w:header="708" w:bottom="1417" w:top="1417" w:right="1417" w:left="1417" w:footer="708" w:gutter="0"/>
          <w:pgSz w:h="16838" w:w="11906" w:orient="portrait"/>
          <w:type w:val="continuous"/>
          <w:cols/>
        </w:sectPr>
      </w:pPr>
    </w:p>
    <w:bookmarkEnd w:id="22"/>
    <w:bookmarkStart w:id="23" w:name="landscape-section"/>
    <w:p>
      <w:pPr>
        <w:pStyle w:val="Heading1"/>
      </w:pPr>
      <w:r>
        <w:t xml:space="preserve">Landscape Section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1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6911d217-66ce-4db2-a961-fdc30d71c2ea" w:name="sinu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6911d217-66ce-4db2-a961-fdc30d71c2ea"/>
      <w:r>
        <w:rPr>
          <w:rFonts/>
          <w:b w:val="false"/>
        </w:rPr>
        <w:t xml:space="preserve">. </w:t>
      </w:r>
      <w:r>
        <w:t xml:space="preserve">sin function</w:t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bookmarkEnd w:id="23"/>
    <w:bookmarkStart w:id="24" w:name="math"/>
    <w:p>
      <w:pPr>
        <w:pStyle w:val="Heading1"/>
      </w:pPr>
      <w:r>
        <w:t xml:space="preserve">Math</w:t>
      </w:r>
    </w:p>
    <w:p>
      <w:pPr>
        <w:pStyle w:val="FirstParagraph"/>
      </w:pPr>
      <w:r>
        <w:t xml:space="preserve">Wrap variables or math in a single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to show math inline. For example,</w:t>
      </w:r>
      <w:r>
        <w:t xml:space="preserve"> </w:t>
      </w:r>
      <m:oMath>
        <m:r>
          <m:t>ε</m:t>
        </m:r>
        <m:r>
          <m:rPr>
            <m:sty m:val="p"/>
          </m:rPr>
          <m:t>∼</m:t>
        </m:r>
        <m:r>
          <m:rPr>
            <m:sty m:val="p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Standalone equations are wrapped with</w:t>
      </w:r>
      <w:r>
        <w:t xml:space="preserve"> </w:t>
      </w:r>
      <w:r>
        <w:rPr>
          <w:rStyle w:val="VerbatimChar"/>
        </w:rPr>
        <w:t xml:space="preserve">$$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∏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["/>
              <m:endChr m:val="]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rPr>
                      <m:sty m:val="p"/>
                    </m:rPr>
                    <m:t>log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when</m:t>
          </m:r>
          <m:r>
            <m:t> 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If the equations need to be numbered and cross-referenced the format as: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SpecialCharTok"/>
        </w:rPr>
        <w:t xml:space="preserve">\left</w:t>
      </w:r>
      <w:r>
        <w:rPr>
          <w:rStyle w:val="SpecialStringTok"/>
        </w:rPr>
        <w:t xml:space="preserve">(</w:t>
      </w:r>
      <w:r>
        <w:rPr>
          <w:rStyle w:val="SpecialCharTok"/>
        </w:rPr>
        <w:t xml:space="preserve">\prod</w:t>
      </w:r>
      <w:r>
        <w:rPr>
          <w:rStyle w:val="SpecialStringTok"/>
        </w:rPr>
        <w:t xml:space="preserve">_{i=1}^{n}y_i</w:t>
      </w:r>
      <w:r>
        <w:rPr>
          <w:rStyle w:val="SpecialCharTok"/>
        </w:rPr>
        <w:t xml:space="preserve">\right</w:t>
      </w:r>
      <w:r>
        <w:rPr>
          <w:rStyle w:val="SpecialStringTok"/>
        </w:rPr>
        <w:t xml:space="preserve">)^{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{1}{n}} = </w:t>
      </w:r>
      <w:r>
        <w:rPr>
          <w:rStyle w:val="SpecialCharTok"/>
        </w:rPr>
        <w:t xml:space="preserve">\exp\left</w:t>
      </w:r>
      <w:r>
        <w:rPr>
          <w:rStyle w:val="SpecialStringTok"/>
        </w:rPr>
        <w:t xml:space="preserve">[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{1}{n}</w:t>
      </w:r>
      <w:r>
        <w:rPr>
          <w:rStyle w:val="SpecialCharTok"/>
        </w:rPr>
        <w:t xml:space="preserve">\sum</w:t>
      </w:r>
      <w:r>
        <w:rPr>
          <w:rStyle w:val="SpecialStringTok"/>
        </w:rPr>
        <w:t xml:space="preserve">_{i=1}^n</w:t>
      </w:r>
      <w:r>
        <w:rPr>
          <w:rStyle w:val="SpecialCharTok"/>
        </w:rPr>
        <w:t xml:space="preserve">\log</w:t>
      </w:r>
      <w:r>
        <w:rPr>
          <w:rStyle w:val="SpecialStringTok"/>
        </w:rPr>
        <w:t xml:space="preserve">{y_i}</w:t>
      </w:r>
      <w:r>
        <w:rPr>
          <w:rStyle w:val="SpecialCharTok"/>
        </w:rPr>
        <w:t xml:space="preserve">\right</w:t>
      </w:r>
      <w:r>
        <w:rPr>
          <w:rStyle w:val="SpecialStringTok"/>
        </w:rPr>
        <w:t xml:space="preserve">], </w:t>
      </w:r>
      <w:r>
        <w:rPr>
          <w:rStyle w:val="SpecialCharTok"/>
        </w:rPr>
        <w:t xml:space="preserve">\quad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\textrm</w:t>
      </w:r>
      <w:r>
        <w:rPr>
          <w:rStyle w:val="NormalTok"/>
        </w:rPr>
        <w:t xml:space="preserve">{when}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\quad</w:t>
      </w:r>
      <w:r>
        <w:rPr>
          <w:rStyle w:val="SpecialStringTok"/>
        </w:rPr>
        <w:t xml:space="preserve"> y_1, y_2, ..., y_n &gt; 0</w:t>
      </w:r>
      <w:r>
        <w:br/>
      </w:r>
      <w:r>
        <w:rPr>
          <w:rStyle w:val="SpecialStringTok"/>
        </w:rPr>
        <w:t xml:space="preserve">(</w:t>
      </w:r>
      <w:r>
        <w:rPr>
          <w:rStyle w:val="SpecialCharTok"/>
        </w:rPr>
        <w:t xml:space="preserve">\#</w:t>
      </w:r>
      <w:r>
        <w:rPr>
          <w:rStyle w:val="SpecialStringTok"/>
        </w:rPr>
        <w:t xml:space="preserve">eq:gmean)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renders as (Equation @ref(eq:gmean):</w:t>
      </w:r>
    </w:p>
    <w:p>
      <w:pPr>
        <w:pStyle w:val="BodyText"/>
      </w:pPr>
    </w:p>
    <w:bookmarkEnd w:id="24"/>
    <w:bookmarkStart w:id="25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In-text references and bibliography generation are handled automatically. It relies on creating a bibtex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 with your references. Software such as Zotero, Mendely, and even Google Scholar can generate the bibtex entries for you. The entries are stored in the</w:t>
      </w:r>
      <w:r>
        <w:t xml:space="preserve"> </w:t>
      </w:r>
      <w:r>
        <w:rPr>
          <w:rStyle w:val="VerbatimChar"/>
        </w:rPr>
        <w:t xml:space="preserve">bibliography.bib</w:t>
      </w:r>
      <w:r>
        <w:t xml:space="preserve"> </w:t>
      </w:r>
      <w:r>
        <w:t xml:space="preserve">file inside the same directory as this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file. To make a in text citation, use the following syntax,</w:t>
      </w:r>
      <w:r>
        <w:t xml:space="preserve"> </w:t>
      </w:r>
      <w:r>
        <w:rPr>
          <w:rStyle w:val="VerbatimChar"/>
        </w:rPr>
        <w:t xml:space="preserve">[@helsel_statistical_2002]</w:t>
      </w:r>
      <w:r>
        <w:t xml:space="preserve"> </w:t>
      </w:r>
      <w:r>
        <w:t xml:space="preserve">to generate the reference at the end of this sentence</w:t>
      </w:r>
      <w:r>
        <w:t xml:space="preserve"> </w:t>
      </w:r>
      <w:r>
        <w:t xml:space="preserve">(Helsel and Hirsch 2002)</w:t>
      </w:r>
      <w:r>
        <w:t xml:space="preserve">. Use a semicolon to include multiple references</w:t>
      </w:r>
      <w:r>
        <w:t xml:space="preserve"> </w:t>
      </w:r>
      <w:r>
        <w:rPr>
          <w:rStyle w:val="VerbatimChar"/>
        </w:rPr>
        <w:t xml:space="preserve">[@helsel_statistical_2002; @hirsch2010weighted]</w:t>
      </w:r>
      <w:r>
        <w:t xml:space="preserve"> </w:t>
      </w:r>
      <w:r>
        <w:t xml:space="preserve">(Helsel and Hirsch 2002; Hirsch et al. 2010)</w:t>
      </w:r>
      <w:r>
        <w:t xml:space="preserve">. Or we might use</w:t>
      </w:r>
      <w:r>
        <w:t xml:space="preserve"> </w:t>
      </w:r>
      <w:r>
        <w:rPr>
          <w:rStyle w:val="VerbatimChar"/>
        </w:rPr>
        <w:t xml:space="preserve">@helsel_statistical_2002</w:t>
      </w:r>
      <w:r>
        <w:t xml:space="preserve"> </w:t>
      </w:r>
      <w:r>
        <w:t xml:space="preserve">without brackets to indicate</w:t>
      </w:r>
      <w:r>
        <w:t xml:space="preserve"> </w:t>
      </w:r>
      <w:r>
        <w:t xml:space="preserve">Helsel and Hirsch (2002)</w:t>
      </w:r>
      <w:r>
        <w:t xml:space="preserve"> </w:t>
      </w:r>
      <w:r>
        <w:t xml:space="preserve">provide a fundamental overview of water quality statistics. The bibliography will populate automatically.</w:t>
      </w:r>
    </w:p>
    <w:bookmarkEnd w:id="25"/>
    <w:bookmarkStart w:id="27" w:name="styling-and-fonts"/>
    <w:p>
      <w:pPr>
        <w:pStyle w:val="Heading1"/>
      </w:pPr>
      <w:r>
        <w:t xml:space="preserve">Styling and fonts</w:t>
      </w:r>
    </w:p>
    <w:p>
      <w:pPr>
        <w:pStyle w:val="FirstParagraph"/>
      </w:pPr>
      <w:r>
        <w:t xml:space="preserve">This template uses Minion Pro for body fonts and Open Sans for headings following TWRI brand guidance and AgriLife brand guidance. I can’t bundle Minion Pro in this package because of licensing, but you can download and install both fonts from AgriLife (</w:t>
      </w:r>
      <w:hyperlink r:id="rId26">
        <w:r>
          <w:rPr>
            <w:rStyle w:val="Hyperlink"/>
          </w:rPr>
          <w:t xml:space="preserve">https://agrilife.tamu.edu/wp-content/uploads/2021/03/AgriFonts.zip</w:t>
        </w:r>
      </w:hyperlink>
      <w:r>
        <w:t xml:space="preserve">). I recommend downloading and installing the fonts before knitting your documents. Note that Minion Pro won’t</w:t>
      </w:r>
      <w:r>
        <w:t xml:space="preserve"> </w:t>
      </w:r>
      <w:r>
        <w:t xml:space="preserve">“</w:t>
      </w:r>
      <w:r>
        <w:t xml:space="preserve">embed</w:t>
      </w:r>
      <w:r>
        <w:t xml:space="preserve">”</w:t>
      </w:r>
      <w:r>
        <w:t xml:space="preserve"> </w:t>
      </w:r>
      <w:r>
        <w:t xml:space="preserve">in Word documents because it is an OTF style font and currently Word only embeds TTF fonts. That means collaborators without the font installed on their system will see a different serif font on their system in Word. Once exported to pdf, both OTF and TTF fonts should be embedded correctly.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nextPage"/>
          <w:cols/>
        </w:sectPr>
      </w:pPr>
    </w:p>
    <w:bookmarkEnd w:id="27"/>
    <w:bookmarkStart w:id="33" w:name="bibliography"/>
    <w:p>
      <w:pPr>
        <w:pStyle w:val="Heading1"/>
      </w:pPr>
      <w:r>
        <w:t xml:space="preserve">Bibliography</w:t>
      </w:r>
    </w:p>
    <w:bookmarkStart w:id="32" w:name="refs"/>
    <w:bookmarkStart w:id="29" w:name="ref-helsel_statistical_2002"/>
    <w:p>
      <w:pPr>
        <w:pStyle w:val="Bibliography"/>
      </w:pPr>
      <w:r>
        <w:t xml:space="preserve">Helsel D, Hirsch R. 2002. Statistical methods in water resources. U.S. Geological Survey (Techniques of water-resources investigations of the</w:t>
      </w:r>
      <w:r>
        <w:t xml:space="preserve"> </w:t>
      </w:r>
      <w:r>
        <w:t xml:space="preserve">United States Geologic Survey</w:t>
      </w:r>
      <w:r>
        <w:t xml:space="preserve">).</w:t>
      </w:r>
      <w:r>
        <w:t xml:space="preserve"> </w:t>
      </w:r>
      <w:hyperlink r:id="rId28">
        <w:r>
          <w:rPr>
            <w:rStyle w:val="Hyperlink"/>
          </w:rPr>
          <w:t xml:space="preserve">http://water.usgs.gov/pubs/twri/twri4a3/</w:t>
        </w:r>
      </w:hyperlink>
      <w:r>
        <w:t xml:space="preserve">.</w:t>
      </w:r>
    </w:p>
    <w:bookmarkEnd w:id="29"/>
    <w:bookmarkStart w:id="31" w:name="ref-hirsch2010weighted"/>
    <w:p>
      <w:pPr>
        <w:pStyle w:val="Bibliography"/>
      </w:pPr>
      <w:r>
        <w:t xml:space="preserve">Hirsch RM, Moyer DL, Archfield SA. 2010. Weighted regressions on time, discharge, and season</w:t>
      </w:r>
      <w:r>
        <w:t xml:space="preserve"> </w:t>
      </w:r>
      <w:r>
        <w:t xml:space="preserve">(WRTDS)</w:t>
      </w:r>
      <w:r>
        <w:t xml:space="preserve">, with an application to</w:t>
      </w:r>
      <w:r>
        <w:t xml:space="preserve"> </w:t>
      </w:r>
      <w:r>
        <w:t xml:space="preserve">Chesapeake</w:t>
      </w:r>
      <w:r>
        <w:t xml:space="preserve"> </w:t>
      </w:r>
      <w:r>
        <w:t xml:space="preserve">Bay</w:t>
      </w:r>
      <w:r>
        <w:t xml:space="preserve"> </w:t>
      </w:r>
      <w:r>
        <w:t xml:space="preserve">river inputs. JAWRA Journal of the American Water Resources Association. 46(5):857–880. doi:</w:t>
      </w:r>
      <w:hyperlink r:id="rId30">
        <w:r>
          <w:rPr>
            <w:rStyle w:val="Hyperlink"/>
          </w:rPr>
          <w:t xml:space="preserve">10.1111/j.1752-1688.2010.00482.x</w:t>
        </w:r>
      </w:hyperlink>
      <w:r>
        <w:t xml:space="preserve">.</w:t>
      </w:r>
    </w:p>
    <w:bookmarkEnd w:id="31"/>
    <w:bookmarkEnd w:id="32"/>
    <w:p>
      <w:pPr>
        <w:sectPr>
          <w:pgMar w:header="708" w:bottom="1417" w:top="1417" w:right="1417" w:left="1417" w:footer="708" w:gutter="0"/>
          <w:pgSz w:h="16838" w:w="11906" w:orient="portrait"/>
          <w:type w:val="nextPage"/>
          <w:cols/>
        </w:sectPr>
      </w:pPr>
    </w:p>
    <w:bookmarkEnd w:id="33"/>
    <w:bookmarkStart w:id="39" w:name="appendix-a"/>
    <w:p>
      <w:pPr>
        <w:pStyle w:val="Heading1"/>
      </w:pPr>
      <w:r>
        <w:t xml:space="preserve">Appendix A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nextPage"/>
          <w:cols/>
        </w:sectPr>
      </w:pPr>
    </w:p>
    <w:bookmarkStart w:id="34" w:name="ayish-bayou-0610a"/>
    <w:p>
      <w:pPr>
        <w:pStyle w:val="Heading2"/>
      </w:pPr>
      <w:r>
        <w:t xml:space="preserve">Ayish Bayou 0610A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continuous"/>
          <w:cols/>
        </w:sectPr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SWQM 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Station 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E. COLI, COLILERT, IDEXX METHOD (MPN/100ML)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SULFATE (MG/L AS SO4)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2024-08-28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2024-08-28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SH 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West Columbia 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2024-09-17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2024-09-17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SH 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West Columbia 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2024-11-21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2024-11-21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SH 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West Columbia 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West Columbia 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2025-02-19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SH 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2025-02-19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SH 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West Columbia 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2025-03-20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2025-03-20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SH 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2025-04-21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2025-04-21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West Columbia 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2025-05-13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SH 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2025-06-25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2025-06-25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West Columbia 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2025-06-26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FM 3230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2025-06-26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SH 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2025-07-15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- CR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2025-07-15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Ayish Bayou at West Columbia 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2025-07-16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</w:tbl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bookmarkEnd w:id="34"/>
    <w:bookmarkStart w:id="35" w:name="caney-bayou-0610g"/>
    <w:p>
      <w:pPr>
        <w:pStyle w:val="Heading2"/>
      </w:pPr>
      <w:r>
        <w:t xml:space="preserve">CANEY BAYOU 0610G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continuous"/>
          <w:cols/>
        </w:sectPr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SWQM 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Station 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E. COLI, COLILERT, IDEXX METHOD (MPN/100ML)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SULFATE (MG/L AS SO4)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2024-08-28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2024-09-17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2024-11-21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2025-03-20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2025-06-26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Caney Creek - SH 147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2025-07-16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</w:t>
            </w:r>
          </w:p>
        </w:tc>
      </w:tr>
    </w:tbl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bookmarkEnd w:id="35"/>
    <w:bookmarkStart w:id="36" w:name="chiamon-bayou-0610i"/>
    <w:p>
      <w:pPr>
        <w:pStyle w:val="Heading2"/>
      </w:pPr>
      <w:r>
        <w:t xml:space="preserve">CHIAMON BAYOU 0610I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continuous"/>
          <w:cols/>
        </w:sectPr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SWQM 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Station 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E. COLI, COLILERT, IDEXX METHOD (MPN/100ML)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SULFATE (MG/L AS SO4)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2024-08-28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2025-02-19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2025-04-21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2025-06-25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Chiamon Bayou - FM 1751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2025-07-15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</w:tr>
    </w:tbl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bookmarkEnd w:id="36"/>
    <w:bookmarkStart w:id="37" w:name="sandy-creek-0610k"/>
    <w:p>
      <w:pPr>
        <w:pStyle w:val="Heading2"/>
      </w:pPr>
      <w:r>
        <w:t xml:space="preserve">SANDY CREEK 0610K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continuous"/>
          <w:cols/>
        </w:sectPr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SWQM 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Station 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E. COLI, COLILERT, IDEXX METHOD (MPN/100ML)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SULFATE (MG/L AS SO4)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2024-08-28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2025-02-19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2025-04-21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2025-05-14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2025-06-25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Sandy Creek - FM 705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2025-07-15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</w:tbl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bookmarkEnd w:id="37"/>
    <w:bookmarkStart w:id="38" w:name="venado-creek-0610m"/>
    <w:p>
      <w:pPr>
        <w:pStyle w:val="Heading2"/>
      </w:pPr>
      <w:r>
        <w:t xml:space="preserve">Venado Creek 0610M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continuous"/>
          <w:cols/>
        </w:sectPr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SWQM 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Station 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OXYGEN, DISSOLVED (MG/L)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E. COLI, COLILERT, IDEXX METHOD (MPN/100ML)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CHLORIDE (MG/L AS CL)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NITRATE NITROGEN,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NITRITE NITROGEN,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NITROGEN, AMMONIA,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NITROGEN, KJELDAHL, TOTAL (MG/L AS 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PHOSPHORUS, TOTAL, WET METHOD (MG/L AS P)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RESIDUE, TOTAL NONFILTRABLE (MG/L)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SULFATE (MG/L AS SO4)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2024-08-28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2024-09-17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2024-11-21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2025-03-20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2025-05-13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2025-06-26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Venado Creek - SH 147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2025-07-16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</w:tbl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bookmarkEnd w:id="38"/>
    <w:bookmarkEnd w:id="39"/>
    <w:sectPr w:rsidR="00AA63F6" w:rsidSect="00B040DC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imson Pro">
    <w:panose1 w:val="00000000000000000000"/>
    <w:charset w:val="00"/>
    <w:family w:val="auto"/>
    <w:pitch w:val="variable"/>
    <w:sig w:usb0="A00000FF" w:usb1="5000E04B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14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A07AC" w14:textId="01ED6CAB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002B8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2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DC806" w14:textId="7D542DCE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F8EF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941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0DA66" w14:textId="4596C807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9B905" w14:textId="77777777" w:rsidR="00000000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35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9A0BF" w14:textId="77777777" w:rsidR="00000000" w:rsidRDefault="00000000">
        <w:pPr>
          <w:pStyle w:val="Footer"/>
          <w:jc w:val="center"/>
        </w:pPr>
      </w:p>
    </w:sdtContent>
  </w:sdt>
  <w:p w14:paraId="68489F11" w14:textId="77777777" w:rsidR="00000000" w:rsidRDefault="000000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44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EF0E2" w14:textId="77777777" w:rsidR="00000000" w:rsidRDefault="00000000">
        <w:pPr>
          <w:pStyle w:val="Footer"/>
          <w:jc w:val="center"/>
        </w:pPr>
      </w:p>
    </w:sdtContent>
  </w:sdt>
  <w:p w14:paraId="1B5BF98D" w14:textId="77777777" w:rsidR="00000000" w:rsidRDefault="0000000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96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797FF" w14:textId="336CC59C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DAAF5" w14:textId="77777777" w:rsidR="00000000" w:rsidRDefault="00000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FC873C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96A8F3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2B0A67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7B8E35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584650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3BACD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770353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2834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6B6D6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37E724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AD12FF4"/>
    <w:multiLevelType w:val="multilevel"/>
    <w:tmpl w:val="04090027"/>
    <w:lvl w:ilvl="0">
      <w:start w:val="1"/>
      <w:numFmt w:val="upperRoman"/>
      <w:lvlText w:val="%1."/>
      <w:lvlJc w:val="left"/>
      <w:pPr>
        <w:ind w:firstLine="0" w:left="0"/>
      </w:pPr>
    </w:lvl>
    <w:lvl w:ilvl="1">
      <w:start w:val="1"/>
      <w:numFmt w:val="upperLetter"/>
      <w:lvlText w:val="%2."/>
      <w:lvlJc w:val="left"/>
      <w:pPr>
        <w:ind w:firstLine="0" w:left="720"/>
      </w:pPr>
    </w:lvl>
    <w:lvl w:ilvl="2">
      <w:start w:val="1"/>
      <w:numFmt w:val="decimal"/>
      <w:lvlText w:val="%3."/>
      <w:lvlJc w:val="left"/>
      <w:pPr>
        <w:ind w:firstLine="0" w:left="1440"/>
      </w:pPr>
    </w:lvl>
    <w:lvl w:ilvl="3">
      <w:start w:val="1"/>
      <w:numFmt w:val="lowerLetter"/>
      <w:lvlText w:val="%4)"/>
      <w:lvlJc w:val="left"/>
      <w:pPr>
        <w:ind w:firstLine="0" w:left="2160"/>
      </w:pPr>
    </w:lvl>
    <w:lvl w:ilvl="4">
      <w:start w:val="1"/>
      <w:numFmt w:val="decimal"/>
      <w:lvlText w:val="(%5)"/>
      <w:lvlJc w:val="left"/>
      <w:pPr>
        <w:ind w:firstLine="0" w:left="2880"/>
      </w:pPr>
    </w:lvl>
    <w:lvl w:ilvl="5">
      <w:start w:val="1"/>
      <w:numFmt w:val="lowerLetter"/>
      <w:lvlText w:val="(%6)"/>
      <w:lvlJc w:val="left"/>
      <w:pPr>
        <w:ind w:firstLine="0" w:left="3600"/>
      </w:pPr>
    </w:lvl>
    <w:lvl w:ilvl="6">
      <w:start w:val="1"/>
      <w:numFmt w:val="lowerRoman"/>
      <w:lvlText w:val="(%7)"/>
      <w:lvlJc w:val="left"/>
      <w:pPr>
        <w:ind w:firstLine="0" w:left="4320"/>
      </w:pPr>
    </w:lvl>
    <w:lvl w:ilvl="7">
      <w:start w:val="1"/>
      <w:numFmt w:val="lowerLetter"/>
      <w:lvlText w:val="(%8)"/>
      <w:lvlJc w:val="left"/>
      <w:pPr>
        <w:ind w:firstLine="0" w:left="5040"/>
      </w:pPr>
    </w:lvl>
    <w:lvl w:ilvl="8">
      <w:start w:val="1"/>
      <w:numFmt w:val="lowerRoman"/>
      <w:lvlText w:val="(%9)"/>
      <w:lvlJc w:val="left"/>
      <w:pPr>
        <w:ind w:firstLine="0" w:left="5760"/>
      </w:pPr>
    </w:lvl>
  </w:abstractNum>
  <w:abstractNum w15:restartNumberingAfterBreak="0" w:abstractNumId="11">
    <w:nsid w:val="2C1AE401"/>
    <w:multiLevelType w:val="multilevel"/>
    <w:tmpl w:val="CB96CA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4116266A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5FB72FC8"/>
    <w:multiLevelType w:val="multilevel"/>
    <w:tmpl w:val="8FB2029A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43150220" w:numId="1">
    <w:abstractNumId w:val="11"/>
  </w:num>
  <w:num w16cid:durableId="117139594" w:numId="2">
    <w:abstractNumId w:val="9"/>
  </w:num>
  <w:num w16cid:durableId="736705222" w:numId="3">
    <w:abstractNumId w:val="7"/>
  </w:num>
  <w:num w16cid:durableId="196238904" w:numId="4">
    <w:abstractNumId w:val="6"/>
  </w:num>
  <w:num w16cid:durableId="1189371399" w:numId="5">
    <w:abstractNumId w:val="5"/>
  </w:num>
  <w:num w16cid:durableId="1995142281" w:numId="6">
    <w:abstractNumId w:val="4"/>
  </w:num>
  <w:num w16cid:durableId="369769184" w:numId="7">
    <w:abstractNumId w:val="8"/>
  </w:num>
  <w:num w16cid:durableId="569391640" w:numId="8">
    <w:abstractNumId w:val="3"/>
  </w:num>
  <w:num w16cid:durableId="634724324" w:numId="9">
    <w:abstractNumId w:val="2"/>
  </w:num>
  <w:num w16cid:durableId="1705908430" w:numId="10">
    <w:abstractNumId w:val="1"/>
  </w:num>
  <w:num w16cid:durableId="330523897" w:numId="11">
    <w:abstractNumId w:val="0"/>
  </w:num>
  <w:num w16cid:durableId="1640840214" w:numId="12">
    <w:abstractNumId w:val="11"/>
  </w:num>
  <w:num w16cid:durableId="92020356" w:numId="13">
    <w:abstractNumId w:val="11"/>
  </w:num>
  <w:num w16cid:durableId="660737553" w:numId="14">
    <w:abstractNumId w:val="12"/>
  </w:num>
  <w:num w16cid:durableId="1774083381" w:numId="15">
    <w:abstractNumId w:val="13"/>
  </w:num>
  <w:num w16cid:durableId="1418865867" w:numId="16">
    <w:abstractNumId w:val="10"/>
  </w:num>
  <w:num w16cid:durableId="714815457" w:numId="17">
    <w:abstractNumId w:val="11"/>
  </w:num>
  <w:num w16cid:durableId="247889415" w:numId="18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05D87"/>
  </w:style>
  <w:style w:styleId="Heading1" w:type="paragraph">
    <w:name w:val="heading 1"/>
    <w:basedOn w:val="Normal"/>
    <w:next w:val="BodyText"/>
    <w:uiPriority w:val="9"/>
    <w:qFormat/>
    <w:rsid w:val="00B760BE"/>
    <w:pPr>
      <w:keepNext/>
      <w:keepLines/>
      <w:spacing w:after="0" w:before="480"/>
      <w:outlineLvl w:val="0"/>
    </w:pPr>
    <w:rPr>
      <w:rFonts w:ascii="Open Sans Semibold" w:cstheme="majorBidi" w:eastAsiaTheme="majorEastAsia" w:hAnsi="Open Sans Semibold"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760B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B760BE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Cs/>
      <w:sz w:val="2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rsid w:val="00C634D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65F74"/>
    <w:pPr>
      <w:spacing w:after="180" w:before="180" w:line="288" w:lineRule="auto"/>
    </w:pPr>
  </w:style>
  <w:style w:customStyle="1" w:styleId="FirstParagraph" w:type="paragraph">
    <w:name w:val="First Paragraph"/>
    <w:basedOn w:val="BodyText"/>
    <w:next w:val="BodyText"/>
    <w:qFormat/>
    <w:rsid w:val="00E65F74"/>
  </w:style>
  <w:style w:customStyle="1" w:styleId="Compact" w:type="paragraph">
    <w:name w:val="Compact"/>
    <w:basedOn w:val="BodyText"/>
    <w:qFormat/>
    <w:rsid w:val="00E65F74"/>
    <w:pPr>
      <w:spacing w:after="36" w:before="36" w:line="240" w:lineRule="auto"/>
    </w:pPr>
    <w:rPr>
      <w:sz w:val="20"/>
    </w:rPr>
  </w:style>
  <w:style w:styleId="Title" w:type="paragraph">
    <w:name w:val="Title"/>
    <w:basedOn w:val="Normal"/>
    <w:next w:val="BodyText"/>
    <w:qFormat/>
    <w:rsid w:val="00B760BE"/>
    <w:pPr>
      <w:keepNext/>
      <w:keepLines/>
      <w:spacing w:after="240" w:before="480"/>
      <w:jc w:val="center"/>
    </w:pPr>
    <w:rPr>
      <w:rFonts w:ascii="Open Sans Semibold" w:cstheme="majorBidi" w:eastAsiaTheme="majorEastAsia" w:hAnsi="Open Sans Semibold"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05D87"/>
    <w:pPr>
      <w:keepNext/>
      <w:keepLines/>
      <w:spacing w:after="0"/>
    </w:pPr>
  </w:style>
  <w:style w:styleId="Date" w:type="paragraph">
    <w:name w:val="Date"/>
    <w:next w:val="BodyText"/>
    <w:qFormat/>
    <w:rsid w:val="00D05D87"/>
    <w:pPr>
      <w:keepNext/>
      <w:keepLines/>
    </w:pPr>
  </w:style>
  <w:style w:customStyle="1" w:styleId="Abstract" w:type="paragraph">
    <w:name w:val="Abstract"/>
    <w:basedOn w:val="Normal"/>
    <w:next w:val="BodyText"/>
    <w:qFormat/>
    <w:rsid w:val="00B040DC"/>
    <w:pPr>
      <w:keepNext/>
      <w:keepLines/>
      <w:spacing w:after="300" w:before="300"/>
    </w:pPr>
    <w:rPr>
      <w:sz w:val="22"/>
      <w:szCs w:val="20"/>
    </w:rPr>
  </w:style>
  <w:style w:styleId="Bibliography" w:type="paragraph">
    <w:name w:val="Bibliography"/>
    <w:basedOn w:val="Normal"/>
    <w:qFormat/>
    <w:rsid w:val="00B040DC"/>
    <w:pPr>
      <w:ind w:hanging="288" w:left="288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B040DC"/>
    <w:pPr>
      <w:spacing w:after="0"/>
    </w:pPr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26631"/>
    <w:pPr>
      <w:keepNext/>
      <w:jc w:val="center"/>
    </w:pPr>
    <w:rPr>
      <w:i w:val="0"/>
      <w:sz w:val="20"/>
    </w:rPr>
  </w:style>
  <w:style w:customStyle="1" w:styleId="ImageCaption" w:type="paragraph">
    <w:name w:val="Image Caption"/>
    <w:basedOn w:val="Caption"/>
    <w:rsid w:val="00926631"/>
    <w:pPr>
      <w:jc w:val="center"/>
    </w:pPr>
    <w:rPr>
      <w:i w:val="0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unhideWhenUsed/>
    <w:rsid w:val="00394FF1"/>
    <w:rPr>
      <w:rFonts w:ascii="Arial" w:hAnsi="Arial"/>
      <w:sz w:val="20"/>
    </w:rPr>
  </w:style>
  <w:style w:customStyle="1" w:styleId="BodyTextChar" w:type="character">
    <w:name w:val="Body Text Char"/>
    <w:basedOn w:val="DefaultParagraphFont"/>
    <w:link w:val="BodyText"/>
    <w:rsid w:val="00E65F74"/>
    <w:rPr>
      <w:rFonts w:ascii="EB Garamond" w:hAnsi="EB Garamond"/>
    </w:rPr>
  </w:style>
  <w:style w:styleId="Header" w:type="paragraph">
    <w:name w:val="header"/>
    <w:basedOn w:val="Normal"/>
    <w:link w:val="HeaderChar"/>
    <w:unhideWhenUsed/>
    <w:rsid w:val="00437DBF"/>
    <w:pPr>
      <w:tabs>
        <w:tab w:pos="4680" w:val="center"/>
        <w:tab w:pos="9360" w:val="right"/>
      </w:tabs>
      <w:spacing w:after="0"/>
    </w:pPr>
    <w:rPr>
      <w:sz w:val="20"/>
    </w:rPr>
  </w:style>
  <w:style w:customStyle="1" w:styleId="HeaderChar" w:type="character">
    <w:name w:val="Header Char"/>
    <w:basedOn w:val="DefaultParagraphFont"/>
    <w:link w:val="Header"/>
    <w:rsid w:val="00437DBF"/>
    <w:rPr>
      <w:rFonts w:ascii="EB Garamond" w:hAnsi="EB Garamond"/>
      <w:sz w:val="20"/>
    </w:rPr>
  </w:style>
  <w:style w:styleId="Footer" w:type="paragraph">
    <w:name w:val="footer"/>
    <w:basedOn w:val="Normal"/>
    <w:link w:val="FooterChar"/>
    <w:uiPriority w:val="99"/>
    <w:unhideWhenUsed/>
    <w:rsid w:val="00B760BE"/>
    <w:pPr>
      <w:tabs>
        <w:tab w:pos="4680" w:val="center"/>
        <w:tab w:pos="9360" w:val="right"/>
      </w:tabs>
      <w:spacing w:after="0"/>
    </w:pPr>
    <w:rPr>
      <w:rFonts w:asciiTheme="majorHAnsi" w:hAnsiTheme="majorHAnsi"/>
      <w:sz w:val="18"/>
    </w:rPr>
  </w:style>
  <w:style w:customStyle="1" w:styleId="FooterChar" w:type="character">
    <w:name w:val="Footer Char"/>
    <w:basedOn w:val="DefaultParagraphFont"/>
    <w:link w:val="Footer"/>
    <w:uiPriority w:val="99"/>
    <w:rsid w:val="00B760BE"/>
    <w:rPr>
      <w:rFonts w:asciiTheme="majorHAnsi" w:hAnsiTheme="majorHAnsi"/>
      <w:sz w:val="18"/>
    </w:rPr>
  </w:style>
  <w:style w:styleId="PlaceholderText" w:type="character">
    <w:name w:val="Placeholder Text"/>
    <w:basedOn w:val="DefaultParagraphFont"/>
    <w:semiHidden/>
    <w:rsid w:val="00CA4C83"/>
    <w:rPr>
      <w:color w:val="808080"/>
    </w:rPr>
  </w:style>
  <w:style w:styleId="TOC1" w:type="paragraph">
    <w:name w:val="toc 1"/>
    <w:basedOn w:val="Normal"/>
    <w:next w:val="Normal"/>
    <w:autoRedefine/>
    <w:uiPriority w:val="39"/>
    <w:unhideWhenUsed/>
    <w:rsid w:val="00D46F3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D46F3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6F37"/>
    <w:pPr>
      <w:spacing w:after="100"/>
      <w:ind w:left="480"/>
    </w:pPr>
  </w:style>
  <w:style w:customStyle="1" w:styleId="UnnumberedHeading1" w:type="paragraph">
    <w:name w:val="Unnumbered Heading 1"/>
    <w:basedOn w:val="Heading1"/>
    <w:qFormat/>
    <w:rsid w:val="00D265C5"/>
  </w:style>
  <w:style w:styleId="TableofFigures" w:type="paragraph">
    <w:name w:val="table of figures"/>
    <w:basedOn w:val="Normal"/>
    <w:next w:val="Normal"/>
    <w:uiPriority w:val="99"/>
    <w:unhideWhenUsed/>
    <w:rsid w:val="004D0D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Relationship Id="rId10" Type="http://schemas.openxmlformats.org/officeDocument/2006/relationships/footer" Target="footer4.xml"/>
<Relationship Id="rId11" Type="http://schemas.openxmlformats.org/officeDocument/2006/relationships/footer" Target="footer3.xml"/>
<Relationship Id="rId12" Type="http://schemas.openxmlformats.org/officeDocument/2006/relationships/footer" Target="footer6.xml"/>
<Relationship Id="rId13" Type="http://schemas.openxmlformats.org/officeDocument/2006/relationships/footer" Target="footer2.xml"/>
<Relationship Id="rId14" Type="http://schemas.openxmlformats.org/officeDocument/2006/relationships/footer" Target="footer5.xml"/>
<Relationship Id="rId28" Type="http://schemas.openxmlformats.org/officeDocument/2006/relationships/hyperlink" Target="http://water.usgs.gov/pubs/twri/twri4a3/" TargetMode="External"/>
<Relationship Id="rId26" Type="http://schemas.openxmlformats.org/officeDocument/2006/relationships/hyperlink" Target="https://agrilife.tamu.edu/wp-content/uploads/2021/03/AgriFonts.zip" TargetMode="External"/>
<Relationship Id="rId30" Type="http://schemas.openxmlformats.org/officeDocument/2006/relationships/hyperlink" Target="https://doi.org/10.1111/j.1752-1688.2010.00482.x" TargetMode="External"/>
<Relationship Id="rId31" Type="http://schemas.openxmlformats.org/officeDocument/2006/relationships/image" Target="media/d1615a7ef93938435477de21ca841e918ba28f49.png"/>
<Relationship Id="rId32" Type="http://schemas.openxmlformats.org/officeDocument/2006/relationships/image" Target="media/6fac2c4ae2c5408edc8918e289c62b87243c96cb.png"/>
<Relationship Id="rId33" Type="http://schemas.openxmlformats.org/officeDocument/2006/relationships/image" Target="media/f21416915cab8eb29a260d3ab106be5902feb953.png"/>
<Relationship Id="rId34" Type="http://schemas.openxmlformats.org/officeDocument/2006/relationships/image" Target="media/5cd2b448018146d5be7df93202219335a5a8b267.png"/>
<Relationship Id="rId35" Type="http://schemas.openxmlformats.org/officeDocument/2006/relationships/image" Target="media/c679f29fb5aac1e3f93e69bd7deb0567a46c6688.png"/>
<Relationship Id="rId36" Type="http://schemas.openxmlformats.org/officeDocument/2006/relationships/image" Target="media/32025a5d8e38da0761099aa3af5f31a79a6c45f1.png"/>
<Relationship Id="rId37" Type="http://schemas.openxmlformats.org/officeDocument/2006/relationships/image" Target="media/6bc6b9053fa6fac83bcaf5915c593266ec06674e.png"/>
</Relationships>

</file>

<file path=word/_rels/footnotes.xml.rels><?xml version="1.0" encoding="UTF-8" standalone="yes"?>

<Relationships  xmlns="http://schemas.openxmlformats.org/package/2006/relationships">
<Relationship Id="rId28" Type="http://schemas.openxmlformats.org/officeDocument/2006/relationships/hyperlink" Target="http://water.usgs.gov/pubs/twri/twri4a3/" TargetMode="External"/>
<Relationship Id="rId26" Type="http://schemas.openxmlformats.org/officeDocument/2006/relationships/hyperlink" Target="https://agrilife.tamu.edu/wp-content/uploads/2021/03/AgriFonts.zip" TargetMode="External"/>
<Relationship Id="rId30" Type="http://schemas.openxmlformats.org/officeDocument/2006/relationships/hyperlink" Target="https://doi.org/10.1111/j.1752-1688.2010.00482.x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WRI">
      <a:majorFont>
        <a:latin typeface="Century Gothic"/>
        <a:ea typeface=""/>
        <a:cs typeface=""/>
      </a:majorFont>
      <a:minorFont>
        <a:latin typeface="Crims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Ayish Bayou Water Quality Monitoring Report</dc:title>
  <dc:creator>Michael Schramm 1, Lucas Gregory 2, Jeremiah Poling 3, Emylea Cole 3; 1 Texas Water Resources Institute, Texas A&amp;M AgriLife Research; 2 Texas Water Resources Institute, Texas A&amp;M AgriLife Extension Service; 3 Angelina &amp; Neches River Authority</dc:creator>
  <cp:keywords/>
  <dcterms:created xsi:type="dcterms:W3CDTF">2025-08-27T20:14:37Z</dcterms:created>
  <dcterms:modified xsi:type="dcterms:W3CDTF">2025-08-27T16:14:44Z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council-of-science-editors-author-date.csl</vt:lpwstr>
  </property>
  <property fmtid="{D5CDD505-2E9C-101B-9397-08002B2CF9AE}" pid="4" name="date">
    <vt:lpwstr>April 1, 2021</vt:lpwstr>
  </property>
  <property fmtid="{D5CDD505-2E9C-101B-9397-08002B2CF9AE}" pid="5" name="output">
    <vt:lpwstr/>
  </property>
</Properties>
</file>