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6.xml" ContentType="application/vnd.openxmlformats-officedocument.wordprocessingml.footer+xml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media/image1.png" ContentType="image/png"/>
  <Override PartName="/word/media/image2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Synthesis</w:t>
      </w:r>
      <w:r>
        <w:t xml:space="preserve"> </w:t>
      </w:r>
      <w:r>
        <w:t xml:space="preserve">of</w:t>
      </w:r>
      <w:r>
        <w:t xml:space="preserve"> </w:t>
      </w:r>
      <w:r>
        <w:t xml:space="preserve">Lake</w:t>
      </w:r>
      <w:r>
        <w:t xml:space="preserve"> </w:t>
      </w:r>
      <w:r>
        <w:t xml:space="preserve">TMDL</w:t>
      </w:r>
      <w:r>
        <w:t xml:space="preserve"> </w:t>
      </w:r>
      <w:r>
        <w:t xml:space="preserve">Approaches</w:t>
      </w:r>
      <w:r>
        <w:t xml:space="preserve"> </w:t>
      </w:r>
      <w:r>
        <w:t xml:space="preserve">in</w:t>
      </w:r>
      <w:r>
        <w:t xml:space="preserve"> </w:t>
      </w:r>
      <w:r>
        <w:t xml:space="preserve">EPA</w:t>
      </w:r>
      <w:r>
        <w:t xml:space="preserve"> </w:t>
      </w:r>
      <w:r>
        <w:t xml:space="preserve">Regions</w:t>
      </w:r>
      <w:r>
        <w:t xml:space="preserve"> </w:t>
      </w:r>
      <w:r>
        <w:t xml:space="preserve">4</w:t>
      </w:r>
      <w:r>
        <w:t xml:space="preserve"> </w:t>
      </w:r>
      <w:r>
        <w:t xml:space="preserve">and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Schramm</w:t>
      </w:r>
      <w:r>
        <w:t xml:space="preserve"> 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Lucas</w:t>
      </w:r>
      <w:r>
        <w:t xml:space="preserve"> </w:t>
      </w:r>
      <w:r>
        <w:t xml:space="preserve">Gregory</w:t>
      </w:r>
      <w:r>
        <w:t xml:space="preserve"> </w:t>
      </w:r>
      <w:r>
        <w:rPr>
          <w:vertAlign w:val="superscript"/>
        </w:rPr>
        <w:t xml:space="preserve">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Research</w:t>
      </w:r>
      <w:r>
        <w:t xml:space="preserve"> </w:t>
      </w:r>
      <w:r>
        <w:t xml:space="preserve">Specialist,</w:t>
      </w:r>
      <w:r>
        <w:t xml:space="preserve"> </w:t>
      </w:r>
      <w:r>
        <w:t xml:space="preserve">Texas</w:t>
      </w:r>
      <w:r>
        <w:t xml:space="preserve"> </w:t>
      </w:r>
      <w:r>
        <w:t xml:space="preserve">Water</w:t>
      </w:r>
      <w:r>
        <w:t xml:space="preserve"> </w:t>
      </w:r>
      <w:r>
        <w:t xml:space="preserve">Resources</w:t>
      </w:r>
      <w:r>
        <w:t xml:space="preserve"> </w:t>
      </w:r>
      <w:r>
        <w:t xml:space="preserve">Institute,</w:t>
      </w:r>
      <w:r>
        <w:t xml:space="preserve"> </w:t>
      </w:r>
      <w:r>
        <w:t xml:space="preserve">Texas</w:t>
      </w:r>
      <w:r>
        <w:t xml:space="preserve"> </w:t>
      </w:r>
      <w:r>
        <w:t xml:space="preserve">A&amp;M</w:t>
      </w:r>
      <w:r>
        <w:t xml:space="preserve"> </w:t>
      </w:r>
      <w:r>
        <w:t xml:space="preserve">AgriLife</w:t>
      </w:r>
      <w:r>
        <w:t xml:space="preserve"> </w:t>
      </w:r>
      <w:r>
        <w:t xml:space="preserve">Research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Associate</w:t>
      </w:r>
      <w:r>
        <w:t xml:space="preserve"> </w:t>
      </w:r>
      <w:r>
        <w:t xml:space="preserve">Director,</w:t>
      </w:r>
      <w:r>
        <w:t xml:space="preserve"> </w:t>
      </w:r>
      <w:r>
        <w:t xml:space="preserve">Texas</w:t>
      </w:r>
      <w:r>
        <w:t xml:space="preserve"> </w:t>
      </w:r>
      <w:r>
        <w:t xml:space="preserve">Water</w:t>
      </w:r>
      <w:r>
        <w:t xml:space="preserve"> </w:t>
      </w:r>
      <w:r>
        <w:t xml:space="preserve">Resources</w:t>
      </w:r>
      <w:r>
        <w:t xml:space="preserve"> </w:t>
      </w:r>
      <w:r>
        <w:t xml:space="preserve">Institute,</w:t>
      </w:r>
      <w:r>
        <w:t xml:space="preserve"> </w:t>
      </w:r>
      <w:r>
        <w:t xml:space="preserve">Texas</w:t>
      </w:r>
      <w:r>
        <w:t xml:space="preserve"> </w:t>
      </w:r>
      <w:r>
        <w:t xml:space="preserve">A&amp;M</w:t>
      </w:r>
      <w:r>
        <w:t xml:space="preserve"> </w:t>
      </w:r>
      <w:r>
        <w:t xml:space="preserve">AgriLife</w:t>
      </w:r>
      <w:r>
        <w:t xml:space="preserve"> </w:t>
      </w:r>
      <w:r>
        <w:t xml:space="preserve">Research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1,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Texas Water Resources Institute</w:t>
      </w:r>
    </w:p>
    <w:p>
      <w:pPr>
        <w:pStyle w:val="BodyText"/>
      </w:pPr>
      <w:r>
        <w:t xml:space="preserve">Texas A&amp;M AgriLife</w:t>
      </w:r>
    </w:p>
    <w:p>
      <w:pPr>
        <w:pStyle w:val="BodyText"/>
      </w:pPr>
      <w:r>
        <w:t xml:space="preserve">College Station, TX</w:t>
      </w:r>
    </w:p>
    <w:p>
      <w:pPr>
        <w:pStyle w:val="BodyText"/>
      </w:pPr>
      <w:r>
        <w:t xml:space="preserve">TR-ABCD</w:t>
      </w:r>
    </w:p>
    <w:p>
      <w:pPr>
        <w:pStyle w:val="BodyText"/>
      </w:pPr>
      <w:r>
        <w:t xml:space="preserve">This project was funded by the Texas Commission on Environmental Quality.</w:t>
      </w:r>
    </w:p>
    <w:p>
      <w:pPr>
        <w:sectPr w:officer="true">
          <w:type w:val="nextPage"/>
          <w:cols/>
          <w:pgSz w:h="15840" w:w="12240"/>
          <w:pgMar w:bottom="1440" w:footer="720" w:gutter="0" w:header="720" w:left="1440" w:right="1440" w:top="1440"/>
        </w:sectPr>
      </w:pPr>
    </w:p>
    <w:p>
      <w:pPr>
        <w:pStyle w:val="UnnumberedHeading1"/>
      </w:pPr>
      <w:r>
        <w:t xml:space="preserve">Table of Contents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pPr>
        <w:pStyle w:val="UnnumberedHeading1"/>
      </w:pPr>
      <w:r>
        <w:t xml:space="preserve">Table of Figures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"fig"</w:instrText>
      </w:r>
      <w:r xmlns:w14="http://schemas.microsoft.com/office/word/2010/wordml">
        <w:rPr/>
        <w:fldChar w:fldCharType="end" w:dirty="true"/>
      </w:r>
    </w:p>
    <w:p>
      <w:pPr>
        <w:pStyle w:val="UnnumberedHeading1"/>
      </w:pPr>
      <w:r>
        <w:t xml:space="preserve">Table of Tables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"tab"</w:instrText>
      </w:r>
      <w:r xmlns:w14="http://schemas.microsoft.com/office/word/2010/wordml">
        <w:rPr/>
        <w:fldChar w:fldCharType="end" w:dirty="true"/>
      </w:r>
    </w:p>
    <w:p>
      <w:pPr>
        <w:pStyle w:val="UnnumberedHeading1"/>
      </w:pPr>
      <w:r>
        <w:t xml:space="preserve">Abbreviations</w:t>
      </w:r>
    </w:p>
    <w:p>
      <w:pPr>
        <w:sectPr w:officer="true">
          <w:type w:val="nextPage"/>
          <w:cols/>
          <w:pgSz w:h="15840" w:w="12240"/>
          <w:pgMar w:bottom="1440" w:footer="720" w:gutter="0" w:header="720" w:left="1440" w:right="1440" w:top="1440"/>
        </w:sectPr>
      </w:pPr>
    </w:p>
    <w:bookmarkStart w:id="23" w:name="headings"/>
    <w:p>
      <w:pPr>
        <w:pStyle w:val="Heading1"/>
      </w:pPr>
      <w:r>
        <w:t xml:space="preserve">Headings</w:t>
      </w:r>
    </w:p>
    <w:bookmarkStart w:id="22" w:name="second-level-heading"/>
    <w:p>
      <w:pPr>
        <w:pStyle w:val="Heading2"/>
      </w:pPr>
      <w:r>
        <w:t xml:space="preserve">Second Level Heading</w:t>
      </w:r>
    </w:p>
    <w:bookmarkStart w:id="21" w:name="third-level-heading"/>
    <w:p>
      <w:pPr>
        <w:pStyle w:val="Heading3"/>
      </w:pPr>
      <w:r>
        <w:t xml:space="preserve">Third Level Heading</w:t>
      </w:r>
    </w:p>
    <w:p>
      <w:pPr>
        <w:pStyle w:val="FirstParagraph"/>
      </w:pPr>
      <w:r>
        <w:t xml:space="preserve">First, second, and third level headings are defined by</w:t>
      </w:r>
      <w:r>
        <w:t xml:space="preserve"> </w:t>
      </w:r>
      <w:r>
        <w:rPr>
          <w:rStyle w:val="VerbatimChar"/>
        </w:rPr>
        <w:t xml:space="preserve">#</w:t>
      </w:r>
      <w:r>
        <w:t xml:space="preserve">,</w:t>
      </w:r>
      <w:r>
        <w:t xml:space="preserve"> </w:t>
      </w:r>
      <w:r>
        <w:rPr>
          <w:rStyle w:val="VerbatimChar"/>
        </w:rPr>
        <w:t xml:space="preserve">##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respectively.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https://www.tceq.texas.gov/downloads/water-quality/assessment/integrated-report-2024/2024-trophic</w:t>
        </w:r>
      </w:hyperlink>
    </w:p>
    <w:bookmarkEnd w:id="21"/>
    <w:bookmarkEnd w:id="22"/>
    <w:bookmarkEnd w:id="23"/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States are required to identify water bodies that do not meet designated water</w:t>
      </w:r>
      <w:r>
        <w:t xml:space="preserve"> </w:t>
      </w:r>
      <w:r>
        <w:t xml:space="preserve">uses under Section 303(d) of the Clean Water Act. Total Maximum Daily Loads (TMDLs)</w:t>
      </w:r>
      <w:r>
        <w:t xml:space="preserve"> </w:t>
      </w:r>
      <w:r>
        <w:t xml:space="preserve">must be developed for pollutants causing the impairment. TMDLs designate an</w:t>
      </w:r>
      <w:r>
        <w:t xml:space="preserve"> </w:t>
      </w:r>
      <w:r>
        <w:t xml:space="preserve">allowable daily allowable pollutant load that can be discharged to the waterbody</w:t>
      </w:r>
      <w:r>
        <w:t xml:space="preserve"> </w:t>
      </w:r>
      <w:r>
        <w:t xml:space="preserve">and continue to meet criteria for designated uses. Corresponding TMDL Implementation</w:t>
      </w:r>
      <w:r>
        <w:t xml:space="preserve"> </w:t>
      </w:r>
      <w:r>
        <w:t xml:space="preserve">Plans (I-Plans) are developed to identify pollutant load reductions required to</w:t>
      </w:r>
      <w:r>
        <w:t xml:space="preserve"> </w:t>
      </w:r>
      <w:r>
        <w:t xml:space="preserve">meet TMDLs and a schedule of implementation of management measures and control actions</w:t>
      </w:r>
      <w:r>
        <w:t xml:space="preserve"> </w:t>
      </w:r>
      <w:r>
        <w:t xml:space="preserve">that will achieve the required load reductions.</w:t>
      </w:r>
    </w:p>
    <w:p>
      <w:pPr>
        <w:pStyle w:val="BodyText"/>
      </w:pPr>
      <w:r>
        <w:t xml:space="preserve">Since the mid-2000’s addressing recreational impairments caused by excessive fecal indicator bacteria, primarily occuring in streams and rivers, has been the priority for the State of Texas’s water quality planning efforts.</w:t>
      </w:r>
      <w:r>
        <w:t xml:space="preserve"> </w:t>
      </w:r>
      <w:r>
        <w:t xml:space="preserve">Under this priority the state convened a Bacteria TMDL Task force to provide guidance and consensus among major stakeholders in the planning process for water quality planning approaches</w:t>
      </w:r>
      <w:r>
        <w:t xml:space="preserve"> </w:t>
      </w:r>
      <w:r>
        <w:t xml:space="preserve">(Jones et al. 2009)</w:t>
      </w:r>
      <w:r>
        <w:t xml:space="preserve">.</w:t>
      </w:r>
      <w:r>
        <w:t xml:space="preserve"> </w:t>
      </w:r>
      <w:r>
        <w:t xml:space="preserve">The outcomes of this process included a unified approach for prioritizing impaired waterbodies,</w:t>
      </w:r>
      <w:r>
        <w:t xml:space="preserve"> </w:t>
      </w:r>
      <w:r>
        <w:t xml:space="preserve">determining sources of impairments, and developing load reductions in an</w:t>
      </w:r>
      <w:r>
        <w:t xml:space="preserve"> </w:t>
      </w:r>
      <w:r>
        <w:t xml:space="preserve">efficient and scientifically robust manner.</w:t>
      </w:r>
      <w:r>
        <w:t xml:space="preserve"> </w:t>
      </w:r>
      <w:r>
        <w:t xml:space="preserve">These outcomes facilitated the rapid expansion TMDL planning efforts in the state</w:t>
      </w:r>
      <w:r>
        <w:t xml:space="preserve"> </w:t>
      </w:r>
      <w:r>
        <w:t xml:space="preserve">(Schramm et al. 2022)</w:t>
      </w:r>
      <w:r>
        <w:t xml:space="preserve">.</w:t>
      </w:r>
    </w:p>
    <w:p>
      <w:pPr>
        <w:pStyle w:val="BodyText"/>
      </w:pPr>
      <w:r>
        <w:t xml:space="preserve">Additional progress in water quality planning will likely require an expanded</w:t>
      </w:r>
      <w:r>
        <w:t xml:space="preserve"> </w:t>
      </w:r>
      <w:r>
        <w:t xml:space="preserve">focus beyond recreational impairments in streams and rivers.</w:t>
      </w:r>
    </w:p>
    <w:p>
      <w:pPr>
        <w:pStyle w:val="BodyText"/>
      </w:pPr>
      <w:r>
        <w:t xml:space="preserve">Currently, 11 lakes in Texas have TMDLs and corresponding Implementation Plans</w:t>
      </w:r>
      <w:r>
        <w:t xml:space="preserve"> </w:t>
      </w:r>
      <w:r>
        <w:t xml:space="preserve">(TCEQ 2024)</w:t>
      </w:r>
      <w:r>
        <w:t xml:space="preserve">.</w:t>
      </w:r>
    </w:p>
    <w:p>
      <w:pPr>
        <w:pStyle w:val="BodyText"/>
      </w:pPr>
      <w:r>
        <w:t xml:space="preserve">… something about the number of impaired lakes in texas and causes of impairments …</w:t>
      </w:r>
    </w:p>
    <w:p>
      <w:pPr>
        <w:pStyle w:val="BodyText"/>
      </w:pPr>
      <w:r>
        <w:t xml:space="preserve">Unlike the tiered approach identified by the Bacteria TMDL Task Force,</w:t>
      </w:r>
      <w:r>
        <w:t xml:space="preserve"> </w:t>
      </w:r>
      <w:r>
        <w:t xml:space="preserve">a unified approach for addressing impairments specifically in lakes has not been developed.</w:t>
      </w:r>
      <w:r>
        <w:t xml:space="preserve"> </w:t>
      </w:r>
      <w:r>
        <w:t xml:space="preserve">Given the diversity of potential parameter impairments, impairment sources, and</w:t>
      </w:r>
      <w:r>
        <w:t xml:space="preserve"> </w:t>
      </w:r>
      <w:r>
        <w:t xml:space="preserve">expected lake trophic status, a variety of TMDL development approaches are possible.</w:t>
      </w:r>
      <w:r>
        <w:t xml:space="preserve"> </w:t>
      </w:r>
      <w:r>
        <w:t xml:space="preserve">This report intends to identify and summarize EPA-approved approaches used</w:t>
      </w:r>
      <w:r>
        <w:t xml:space="preserve"> </w:t>
      </w:r>
      <w:r>
        <w:t xml:space="preserve">across EPA Regions 4 and 6 in the development of TMDLs in lakes and</w:t>
      </w:r>
      <w:r>
        <w:t xml:space="preserve"> </w:t>
      </w:r>
      <w:r>
        <w:t xml:space="preserve">reservoirs.</w:t>
      </w:r>
    </w:p>
    <w:bookmarkEnd w:id="24"/>
    <w:bookmarkStart w:id="25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The purpose of this report is to review and summarize methodologies in EPA accepted lake or reservoir TMDLs relevant to Texas.</w:t>
      </w:r>
      <w:r>
        <w:t xml:space="preserve"> </w:t>
      </w:r>
      <w:r>
        <w:t xml:space="preserve">We queried the EPA Assessment TMDL Tracking and Implementation System (ATTAINS) database using the R software package, rATTAINS</w:t>
      </w:r>
      <w:r>
        <w:t xml:space="preserve"> </w:t>
      </w:r>
      <w:r>
        <w:t xml:space="preserve">(Schramm 2023)</w:t>
      </w:r>
      <w:r>
        <w:t xml:space="preserve">.</w:t>
      </w:r>
      <w:r>
        <w:t xml:space="preserve"> </w:t>
      </w:r>
      <w:r>
        <w:t xml:space="preserve">rATTAINS facilitates data queries and downloads from the ATTAINS online database</w:t>
      </w:r>
      <w:r>
        <w:t xml:space="preserve"> </w:t>
      </w:r>
      <w:r>
        <w:t xml:space="preserve">directly into R.</w:t>
      </w:r>
      <w:r>
        <w:t xml:space="preserve"> </w:t>
      </w:r>
      <w:r>
        <w:t xml:space="preserve">In March 2025 we made queries to ATTAINS for all approved TMDLs in the 13 states covered under EPA regions 5 and 6 since January 1, 2020.</w:t>
      </w:r>
      <w:r>
        <w:t xml:space="preserve"> </w:t>
      </w:r>
      <w:r>
        <w:t xml:space="preserve">The data returned from the ATTAINS query includes a list of hydrologic assessment units (AUs) covered by each TMDL.</w:t>
      </w:r>
      <w:r>
        <w:t xml:space="preserve"> </w:t>
      </w:r>
      <w:r>
        <w:t xml:space="preserve">Each TMDL can cover one or more hydrologic assessment units (AUs).</w:t>
      </w:r>
      <w:r>
        <w:t xml:space="preserve"> </w:t>
      </w:r>
      <w:r>
        <w:t xml:space="preserve">A subsequent query to ATTAINS was made to identify the waterbody type each state assigned to</w:t>
      </w:r>
      <w:r>
        <w:t xml:space="preserve"> </w:t>
      </w:r>
      <w:r>
        <w:t xml:space="preserve">the AUs covered by TMDLs.</w:t>
      </w:r>
      <w:r>
        <w:t xml:space="preserve"> </w:t>
      </w:r>
      <w:r>
        <w:t xml:space="preserve">Using the data returned by this query, the list of TMDLs was reduced to those</w:t>
      </w:r>
      <w:r>
        <w:t xml:space="preserve"> </w:t>
      </w:r>
      <w:r>
        <w:t xml:space="preserve">TMDLs that included AUs identified in ATTAINS as one of,</w:t>
      </w:r>
      <w:r>
        <w:t xml:space="preserve"> </w:t>
      </w:r>
      <w:r>
        <w:t xml:space="preserve">“</w:t>
      </w:r>
      <w:r>
        <w:t xml:space="preserve">Lake, Freshwater; Lake; Reservoir; Lake/Reservoir/Pond.</w:t>
      </w:r>
      <w:r>
        <w:t xml:space="preserve">”</w:t>
      </w:r>
      <w:r>
        <w:t xml:space="preserve"> </w:t>
      </w:r>
      <w:r>
        <w:t xml:space="preserve">ATTAINS also identifies the endpoint parameter that is the cause of the impairment (low DO, high chlorophyll-a, etc.) in each AU and the target load allocation parameter(s) (TN, TP, TSS, etc.)</w:t>
      </w:r>
      <w:r>
        <w:t xml:space="preserve"> </w:t>
      </w:r>
      <w:r>
        <w:t xml:space="preserve">in the TMDL that the waterbody can assimilate without being considered impaired.</w:t>
      </w:r>
      <w:r>
        <w:t xml:space="preserve"> </w:t>
      </w:r>
      <w:r>
        <w:t xml:space="preserve">The remaining list of TMDLs was further reduced by removing AUs</w:t>
      </w:r>
      <w:r>
        <w:t xml:space="preserve"> </w:t>
      </w:r>
      <w:r>
        <w:t xml:space="preserve">that were impaired due to aluminum or temperature.</w:t>
      </w:r>
      <w:r>
        <w:t xml:space="preserve"> </w:t>
      </w:r>
      <w:r>
        <w:rPr>
          <w:iCs/>
          <w:i/>
        </w:rPr>
        <w:t xml:space="preserve">Describe number of TMDLs and states. Add table in Appendix of TMDLs.</w:t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2743200"/>
            <wp:docPr id="1" name="" descr="Alternative text for screen reade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false"/>
        </w:rPr>
        <w:t xml:space="preserve">Figure </w:t>
      </w:r>
      <w:bookmarkStart w:id="7c6bb3bf-6ff0-4ba4-b204-0405d831ff32" w:name="states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fig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7c6bb3bf-6ff0-4ba4-b204-0405d831ff32"/>
      <w:r>
        <w:rPr>
          <w:rFonts/>
          <w:b w:val="false"/>
        </w:rPr>
        <w:t xml:space="preserve">. </w:t>
      </w:r>
      <w:r>
        <w:t xml:space="preserve"> </w:t>
      </w:r>
      <w:r>
        <w:t xml:space="preserve">(A) Number of Lake TMDL documents per state in EPA regions 4 and 6 (January 2020 through December 2024; (B) Distinct lake assessment units covered by TMDLs per state in EPA regions 4 and 6 (January 2020 through December 2024.</w:t>
      </w:r>
    </w:p>
    <w:p>
      <w:pPr>
        <w:pStyle w:val="BodyText"/>
      </w:pPr>
      <w:r>
        <w:t xml:space="preserve">ATTAINS was queried again with the remaining n TMDLs to download pdf copies of</w:t>
      </w:r>
      <w:r>
        <w:t xml:space="preserve"> </w:t>
      </w:r>
      <w:r>
        <w:t xml:space="preserve">each EPA accepted TMDL. These TMDLs were manually reviewed to identify and</w:t>
      </w:r>
      <w:r>
        <w:t xml:space="preserve"> </w:t>
      </w:r>
      <w:r>
        <w:t xml:space="preserve">extract relevant information.</w:t>
      </w:r>
    </w:p>
    <w:p>
      <w:pPr>
        <w:numPr>
          <w:ilvl w:val="0"/>
          <w:numId w:val="1001"/>
        </w:numPr>
        <w:pStyle w:val="Compact"/>
      </w:pPr>
      <w:r>
        <w:t xml:space="preserve">watershed size</w:t>
      </w:r>
    </w:p>
    <w:p>
      <w:pPr>
        <w:numPr>
          <w:ilvl w:val="0"/>
          <w:numId w:val="1001"/>
        </w:numPr>
        <w:pStyle w:val="Compact"/>
      </w:pPr>
      <w:r>
        <w:t xml:space="preserve">lake area</w:t>
      </w:r>
    </w:p>
    <w:p>
      <w:pPr>
        <w:numPr>
          <w:ilvl w:val="0"/>
          <w:numId w:val="1001"/>
        </w:numPr>
        <w:pStyle w:val="Compact"/>
      </w:pPr>
      <w:r>
        <w:t xml:space="preserve">shoreline length</w:t>
      </w:r>
    </w:p>
    <w:p>
      <w:pPr>
        <w:numPr>
          <w:ilvl w:val="0"/>
          <w:numId w:val="1001"/>
        </w:numPr>
        <w:pStyle w:val="Compact"/>
      </w:pPr>
      <w:r>
        <w:t xml:space="preserve">lake volume</w:t>
      </w:r>
    </w:p>
    <w:p>
      <w:pPr>
        <w:numPr>
          <w:ilvl w:val="0"/>
          <w:numId w:val="1001"/>
        </w:numPr>
        <w:pStyle w:val="Compact"/>
      </w:pPr>
      <w:r>
        <w:t xml:space="preserve">model typology (empirical, mechanistic)</w:t>
      </w:r>
    </w:p>
    <w:p>
      <w:pPr>
        <w:numPr>
          <w:ilvl w:val="0"/>
          <w:numId w:val="1001"/>
        </w:numPr>
        <w:pStyle w:val="Compact"/>
      </w:pPr>
      <w:r>
        <w:t xml:space="preserve">specific modeling approaches</w:t>
      </w:r>
    </w:p>
    <w:bookmarkEnd w:id="25"/>
    <w:bookmarkStart w:id="26" w:name="results"/>
    <w:p>
      <w:pPr>
        <w:pStyle w:val="Heading1"/>
      </w:pPr>
      <w:r>
        <w:t xml:space="preserve">Results</w:t>
      </w:r>
    </w:p>
    <w:bookmarkEnd w:id="26"/>
    <w:bookmarkStart w:id="28" w:name="tables"/>
    <w:p>
      <w:pPr>
        <w:pStyle w:val="Heading1"/>
      </w:pPr>
      <w:r>
        <w:t xml:space="preserve">Tables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Rows: 116 Columns: 47</w:t>
      </w:r>
      <w:r>
        <w:br/>
      </w:r>
      <w:r>
        <w:rPr>
          <w:rStyle w:val="VerbatimChar"/>
        </w:rPr>
        <w:t xml:space="preserve">## ── Column specification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 Delimiter: "," chr</w:t>
      </w:r>
      <w:r>
        <w:br/>
      </w:r>
      <w:r>
        <w:rPr>
          <w:rStyle w:val="VerbatimChar"/>
        </w:rPr>
        <w:t xml:space="preserve">## (39): organization_identifier.x, organization_name.x, organization_type_... dbl</w:t>
      </w:r>
      <w:r>
        <w:br/>
      </w:r>
      <w:r>
        <w:rPr>
          <w:rStyle w:val="VerbatimChar"/>
        </w:rPr>
        <w:t xml:space="preserve">## (5): load_allocation_numeric, TMDL_end_point_text, watershed_area, volu... num</w:t>
      </w:r>
      <w:r>
        <w:br/>
      </w:r>
      <w:r>
        <w:rPr>
          <w:rStyle w:val="VerbatimChar"/>
        </w:rPr>
        <w:t xml:space="preserve">## (1): surface_area lgl (2): explicit_margin_of_safety_text, ...40</w:t>
      </w:r>
      <w:r>
        <w:br/>
      </w:r>
      <w:r>
        <w:rPr>
          <w:rStyle w:val="VerbatimChar"/>
        </w:rPr>
        <w:t xml:space="preserve">## ℹ Use `spec()` to retrieve the full column specification for this data. ℹ</w:t>
      </w:r>
      <w:r>
        <w:br/>
      </w:r>
      <w:r>
        <w:rPr>
          <w:rStyle w:val="VerbatimChar"/>
        </w:rPr>
        <w:t xml:space="preserve">## Specify the column types or set `show_col_types = FALSE` to quiet this message.</w:t>
      </w:r>
      <w:r>
        <w:br/>
      </w:r>
      <w:r>
        <w:rPr>
          <w:rStyle w:val="VerbatimChar"/>
        </w:rPr>
        <w:t xml:space="preserve">## • `` -&gt; `...40`</w:t>
      </w:r>
    </w:p>
    <w:p>
      <w:pPr>
        <w:pStyle w:val="FirstParagraph"/>
      </w:pPr>
      <w:r>
        <w:t xml:space="preserve">This is an example of an unformatted table and how we cross-reference that table (</w:t>
      </w:r>
      <w:hyperlink w:anchor="tab:mtcars">
        <w:r>
          <w:rPr>
            <w:rStyle w:val="Hyperlink"/>
          </w:rPr>
          <w:t xml:space="preserve">Table</w:t>
        </w:r>
        <w:r>
          <w:rPr>
            <w:rStyle w:val="Hyperlink"/>
          </w:rPr>
          <w:t xml:space="preserve"> </w:t>
        </w:r>
        <w:hyperlink w:anchor="mtcars">
          <w:r xmlns:w14="http://schemas.microsoft.com/office/word/2010/wordml">
            <w:rPr/>
            <w:fldChar w:fldCharType="begin" w:dirty="true"/>
          </w:r>
          <w:r xmlns:w14="http://schemas.microsoft.com/office/word/2010/wordml">
            <w:rPr/>
            <w:instrText xml:space="preserve" w:dirty="true"> REF mtcars \h</w:instrText>
          </w:r>
          <w:r xmlns:w14="http://schemas.microsoft.com/office/word/2010/wordml">
            <w:rPr/>
            <w:fldChar w:fldCharType="end" w:dirty="true"/>
          </w:r>
        </w:hyperlink>
      </w:hyperlink>
      <w:r>
        <w:t xml:space="preserve">).</w:t>
      </w:r>
    </w:p>
    <w:p>
      <w:pPr>
        <w:pStyle w:val="TableCaption"/>
      </w:pPr>
      <w:r>
        <w:rPr>
          <w:rFonts/>
          <w:b w:val="false"/>
        </w:rPr>
        <w:t xml:space="preserve">Table  </w:t>
      </w:r>
      <w:bookmarkStart w:id="3316c662-638d-4938-9515-858e9d4d23eb" w:name="mtcars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tab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3316c662-638d-4938-9515-858e9d4d23eb"/>
      <w:r>
        <w:rPr>
          <w:rFonts/>
          <w:b w:val="false"/>
        </w:rPr>
        <w:t xml:space="preserve">.  </w:t>
      </w:r>
      <w:r>
        <w:t xml:space="preserve">this is the builtin mtcars data.</w:t>
      </w:r>
    </w:p>
    <w:tbl>
      <w:tblPr>
        <w:tblStyle w:stlname="Table"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mpg</w:t>
            </w:r>
          </w:p>
        </w:tc>
        <w:tc>
          <w:p>
            <w:pPr>
              <w:pStyle w:stlname="Normal" w:val="Normal"/>
            </w:pPr>
            <w:r>
              <w:t>cyl</w:t>
            </w:r>
          </w:p>
        </w:tc>
        <w:tc>
          <w:p>
            <w:pPr>
              <w:pStyle w:stlname="Normal" w:val="Normal"/>
            </w:pPr>
            <w:r>
              <w:t>disp</w:t>
            </w:r>
          </w:p>
        </w:tc>
        <w:tc>
          <w:p>
            <w:pPr>
              <w:pStyle w:stlname="Normal" w:val="Normal"/>
            </w:pPr>
            <w:r>
              <w:t>hp</w:t>
            </w:r>
          </w:p>
        </w:tc>
        <w:tc>
          <w:p>
            <w:pPr>
              <w:pStyle w:stlname="Normal" w:val="Normal"/>
            </w:pPr>
            <w:r>
              <w:t>drat</w:t>
            </w:r>
          </w:p>
        </w:tc>
        <w:tc>
          <w:p>
            <w:pPr>
              <w:pStyle w:stlname="Normal" w:val="Normal"/>
            </w:pPr>
            <w:r>
              <w:t>wt</w:t>
            </w:r>
          </w:p>
        </w:tc>
        <w:tc>
          <w:p>
            <w:pPr>
              <w:pStyle w:stlname="Normal" w:val="Normal"/>
            </w:pPr>
            <w:r>
              <w:t>qsec</w:t>
            </w:r>
          </w:p>
        </w:tc>
        <w:tc>
          <w:p>
            <w:pPr>
              <w:pStyle w:stlname="Normal" w:val="Normal"/>
            </w:pPr>
            <w:r>
              <w:t>vs</w:t>
            </w:r>
          </w:p>
        </w:tc>
        <w:tc>
          <w:p>
            <w:pPr>
              <w:pStyle w:stlname="Normal" w:val="Normal"/>
            </w:pPr>
            <w:r>
              <w:t>am</w:t>
            </w:r>
          </w:p>
        </w:tc>
        <w:tc>
          <w:p>
            <w:pPr>
              <w:pStyle w:stlname="Normal" w:val="Normal"/>
            </w:pPr>
            <w:r>
              <w:t>gear</w:t>
            </w:r>
          </w:p>
        </w:tc>
        <w:tc>
          <w:p>
            <w:pPr>
              <w:pStyle w:stlname="Normal" w:val="Normal"/>
            </w:pPr>
            <w:r>
              <w:t>carb</w:t>
            </w:r>
          </w:p>
        </w:tc>
      </w:tr>
      <w:tr>
        <w:tc>
          <w:p>
            <w:pPr>
              <w:pStyle w:stlname="Normal" w:val="Normal"/>
            </w:pPr>
            <w:r>
              <w:t>21.0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160.0</w:t>
            </w:r>
          </w:p>
        </w:tc>
        <w:tc>
          <w:p>
            <w:pPr>
              <w:pStyle w:stlname="Normal" w:val="Normal"/>
            </w:pPr>
            <w:r>
              <w:t>110</w:t>
            </w:r>
          </w:p>
        </w:tc>
        <w:tc>
          <w:p>
            <w:pPr>
              <w:pStyle w:stlname="Normal" w:val="Normal"/>
            </w:pPr>
            <w:r>
              <w:t>3.90</w:t>
            </w:r>
          </w:p>
        </w:tc>
        <w:tc>
          <w:p>
            <w:pPr>
              <w:pStyle w:stlname="Normal" w:val="Normal"/>
            </w:pPr>
            <w:r>
              <w:t>2.620</w:t>
            </w:r>
          </w:p>
        </w:tc>
        <w:tc>
          <w:p>
            <w:pPr>
              <w:pStyle w:stlname="Normal" w:val="Normal"/>
            </w:pPr>
            <w:r>
              <w:t>16.46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21.0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160.0</w:t>
            </w:r>
          </w:p>
        </w:tc>
        <w:tc>
          <w:p>
            <w:pPr>
              <w:pStyle w:stlname="Normal" w:val="Normal"/>
            </w:pPr>
            <w:r>
              <w:t>110</w:t>
            </w:r>
          </w:p>
        </w:tc>
        <w:tc>
          <w:p>
            <w:pPr>
              <w:pStyle w:stlname="Normal" w:val="Normal"/>
            </w:pPr>
            <w:r>
              <w:t>3.90</w:t>
            </w:r>
          </w:p>
        </w:tc>
        <w:tc>
          <w:p>
            <w:pPr>
              <w:pStyle w:stlname="Normal" w:val="Normal"/>
            </w:pPr>
            <w:r>
              <w:t>2.875</w:t>
            </w:r>
          </w:p>
        </w:tc>
        <w:tc>
          <w:p>
            <w:pPr>
              <w:pStyle w:stlname="Normal" w:val="Normal"/>
            </w:pPr>
            <w:r>
              <w:t>17.02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22.8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108.0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3.85</w:t>
            </w:r>
          </w:p>
        </w:tc>
        <w:tc>
          <w:p>
            <w:pPr>
              <w:pStyle w:stlname="Normal" w:val="Normal"/>
            </w:pPr>
            <w:r>
              <w:t>2.320</w:t>
            </w:r>
          </w:p>
        </w:tc>
        <w:tc>
          <w:p>
            <w:pPr>
              <w:pStyle w:stlname="Normal" w:val="Normal"/>
            </w:pPr>
            <w:r>
              <w:t>18.61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21.4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258.0</w:t>
            </w:r>
          </w:p>
        </w:tc>
        <w:tc>
          <w:p>
            <w:pPr>
              <w:pStyle w:stlname="Normal" w:val="Normal"/>
            </w:pPr>
            <w:r>
              <w:t>110</w:t>
            </w:r>
          </w:p>
        </w:tc>
        <w:tc>
          <w:p>
            <w:pPr>
              <w:pStyle w:stlname="Normal" w:val="Normal"/>
            </w:pPr>
            <w:r>
              <w:t>3.08</w:t>
            </w:r>
          </w:p>
        </w:tc>
        <w:tc>
          <w:p>
            <w:pPr>
              <w:pStyle w:stlname="Normal" w:val="Normal"/>
            </w:pPr>
            <w:r>
              <w:t>3.215</w:t>
            </w:r>
          </w:p>
        </w:tc>
        <w:tc>
          <w:p>
            <w:pPr>
              <w:pStyle w:stlname="Normal" w:val="Normal"/>
            </w:pPr>
            <w:r>
              <w:t>19.44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18.7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360.0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3.15</w:t>
            </w:r>
          </w:p>
        </w:tc>
        <w:tc>
          <w:p>
            <w:pPr>
              <w:pStyle w:stlname="Normal" w:val="Normal"/>
            </w:pPr>
            <w:r>
              <w:t>3.440</w:t>
            </w:r>
          </w:p>
        </w:tc>
        <w:tc>
          <w:p>
            <w:pPr>
              <w:pStyle w:stlname="Normal" w:val="Normal"/>
            </w:pPr>
            <w:r>
              <w:t>17.02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18.1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225.0</w:t>
            </w:r>
          </w:p>
        </w:tc>
        <w:tc>
          <w:p>
            <w:pPr>
              <w:pStyle w:stlname="Normal" w:val="Normal"/>
            </w:pPr>
            <w:r>
              <w:t>105</w:t>
            </w:r>
          </w:p>
        </w:tc>
        <w:tc>
          <w:p>
            <w:pPr>
              <w:pStyle w:stlname="Normal" w:val="Normal"/>
            </w:pPr>
            <w:r>
              <w:t>2.76</w:t>
            </w:r>
          </w:p>
        </w:tc>
        <w:tc>
          <w:p>
            <w:pPr>
              <w:pStyle w:stlname="Normal" w:val="Normal"/>
            </w:pPr>
            <w:r>
              <w:t>3.460</w:t>
            </w:r>
          </w:p>
        </w:tc>
        <w:tc>
          <w:p>
            <w:pPr>
              <w:pStyle w:stlname="Normal" w:val="Normal"/>
            </w:pPr>
            <w:r>
              <w:t>20.22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14.3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360.0</w:t>
            </w:r>
          </w:p>
        </w:tc>
        <w:tc>
          <w:p>
            <w:pPr>
              <w:pStyle w:stlname="Normal" w:val="Normal"/>
            </w:pPr>
            <w:r>
              <w:t>245</w:t>
            </w:r>
          </w:p>
        </w:tc>
        <w:tc>
          <w:p>
            <w:pPr>
              <w:pStyle w:stlname="Normal" w:val="Normal"/>
            </w:pPr>
            <w:r>
              <w:t>3.21</w:t>
            </w:r>
          </w:p>
        </w:tc>
        <w:tc>
          <w:p>
            <w:pPr>
              <w:pStyle w:stlname="Normal" w:val="Normal"/>
            </w:pPr>
            <w:r>
              <w:t>3.570</w:t>
            </w:r>
          </w:p>
        </w:tc>
        <w:tc>
          <w:p>
            <w:pPr>
              <w:pStyle w:stlname="Normal" w:val="Normal"/>
            </w:pPr>
            <w:r>
              <w:t>15.84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24.4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146.7</w:t>
            </w:r>
          </w:p>
        </w:tc>
        <w:tc>
          <w:p>
            <w:pPr>
              <w:pStyle w:stlname="Normal" w:val="Normal"/>
            </w:pPr>
            <w:r>
              <w:t>62</w:t>
            </w:r>
          </w:p>
        </w:tc>
        <w:tc>
          <w:p>
            <w:pPr>
              <w:pStyle w:stlname="Normal" w:val="Normal"/>
            </w:pPr>
            <w:r>
              <w:t>3.69</w:t>
            </w:r>
          </w:p>
        </w:tc>
        <w:tc>
          <w:p>
            <w:pPr>
              <w:pStyle w:stlname="Normal" w:val="Normal"/>
            </w:pPr>
            <w:r>
              <w:t>3.190</w:t>
            </w:r>
          </w:p>
        </w:tc>
        <w:tc>
          <w:p>
            <w:pPr>
              <w:pStyle w:stlname="Normal" w:val="Normal"/>
            </w:pPr>
            <w:r>
              <w:t>20.00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22.8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140.8</w:t>
            </w:r>
          </w:p>
        </w:tc>
        <w:tc>
          <w:p>
            <w:pPr>
              <w:pStyle w:stlname="Normal" w:val="Normal"/>
            </w:pPr>
            <w:r>
              <w:t>95</w:t>
            </w:r>
          </w:p>
        </w:tc>
        <w:tc>
          <w:p>
            <w:pPr>
              <w:pStyle w:stlname="Normal" w:val="Normal"/>
            </w:pPr>
            <w:r>
              <w:t>3.92</w:t>
            </w:r>
          </w:p>
        </w:tc>
        <w:tc>
          <w:p>
            <w:pPr>
              <w:pStyle w:stlname="Normal" w:val="Normal"/>
            </w:pPr>
            <w:r>
              <w:t>3.150</w:t>
            </w:r>
          </w:p>
        </w:tc>
        <w:tc>
          <w:p>
            <w:pPr>
              <w:pStyle w:stlname="Normal" w:val="Normal"/>
            </w:pPr>
            <w:r>
              <w:t>22.90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19.2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167.6</w:t>
            </w:r>
          </w:p>
        </w:tc>
        <w:tc>
          <w:p>
            <w:pPr>
              <w:pStyle w:stlname="Normal" w:val="Normal"/>
            </w:pPr>
            <w:r>
              <w:t>123</w:t>
            </w:r>
          </w:p>
        </w:tc>
        <w:tc>
          <w:p>
            <w:pPr>
              <w:pStyle w:stlname="Normal" w:val="Normal"/>
            </w:pPr>
            <w:r>
              <w:t>3.92</w:t>
            </w:r>
          </w:p>
        </w:tc>
        <w:tc>
          <w:p>
            <w:pPr>
              <w:pStyle w:stlname="Normal" w:val="Normal"/>
            </w:pPr>
            <w:r>
              <w:t>3.440</w:t>
            </w:r>
          </w:p>
        </w:tc>
        <w:tc>
          <w:p>
            <w:pPr>
              <w:pStyle w:stlname="Normal" w:val="Normal"/>
            </w:pPr>
            <w:r>
              <w:t>18.30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27">
        <w:r>
          <w:rPr>
            <w:rStyle w:val="VerbatimChar"/>
          </w:rPr>
          <w:t xml:space="preserve">flextable</w:t>
        </w:r>
      </w:hyperlink>
      <w:r>
        <w:t xml:space="preserve"> </w:t>
      </w:r>
      <w:r>
        <w:t xml:space="preserve">package provides additional formatting flexibility when exporting to Word (Table</w:t>
      </w:r>
      <w:r>
        <w:t xml:space="preserve"> </w:t>
      </w:r>
      <w:hyperlink w:anchor="mtcarsflex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mtcarsflex \h</w:instrText>
        </w:r>
        <w:r xmlns:w14="http://schemas.microsoft.com/office/word/2010/wordml">
          <w:rPr/>
          <w:fldChar w:fldCharType="end" w:dirty="true"/>
        </w:r>
      </w:hyperlink>
      <w:r>
        <w:t xml:space="preserve">).</w:t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false"/>
        </w:rPr>
        <w:t xml:space="preserve">Table  </w:t>
      </w:r>
      <w:bookmarkStart w:id="7bdb7945-1a9c-4756-9998-db814c0dd142" w:name="mtcarsflex"/>
      <w:r>
        <w:rPr>
          <w:rFonts/>
          <w:b w:val="false"/>
        </w:rPr>
        <w:fldChar w:fldCharType="begin" w:dirty="true"/>
      </w:r>
      <w:r>
        <w:rPr>
          <w:rFonts/>
          <w:b w:val="false"/>
        </w:rPr>
        <w:instrText xml:space="preserve" w:dirty="true">SEQ tab \* Arabic</w:instrText>
      </w:r>
      <w:r>
        <w:rPr>
          <w:rFonts/>
          <w:b w:val="false"/>
        </w:rPr>
        <w:fldChar w:fldCharType="end" w:dirty="true"/>
      </w:r>
      <w:bookmarkEnd w:id="7bdb7945-1a9c-4756-9998-db814c0dd142"/>
      <w:r>
        <w:rPr>
          <w:rFonts/>
          <w:b w:val="false"/>
        </w:rPr>
        <w:t xml:space="preserve">.  </w:t>
      </w:r>
      <w:r>
        <w:t xml:space="preserve">flextable formatted table.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</w:tbl>
    <w:bookmarkEnd w:id="28"/>
    <w:bookmarkStart w:id="29" w:name="figures"/>
    <w:p>
      <w:pPr>
        <w:pStyle w:val="Heading1"/>
      </w:pPr>
      <w:r>
        <w:t xml:space="preserve">Figures</w:t>
      </w:r>
    </w:p>
    <w:p>
      <w:pPr>
        <w:pStyle w:val="FirstParagraph"/>
      </w:pPr>
      <w:r>
        <w:t xml:space="preserve">We can embed and cross-reference plots (Figure</w:t>
      </w:r>
      <w:r>
        <w:t xml:space="preserve"> </w:t>
      </w:r>
      <w:hyperlink w:anchor="states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states \h</w:instrText>
        </w:r>
        <w:r xmlns:w14="http://schemas.microsoft.com/office/word/2010/wordml">
          <w:rPr/>
          <w:fldChar w:fldCharType="end" w:dirty="true"/>
        </w:r>
      </w:hyperlink>
      <w:r>
        <w:t xml:space="preserve">).</w:t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2743200"/>
            <wp:docPr id="3" name="" descr="Alternative text for screen reade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false"/>
        </w:rPr>
        <w:t xml:space="preserve">Figure </w:t>
      </w:r>
      <w:bookmarkStart w:id="5455203c-0765-46bf-8ffe-8a643720fc9c" w:name="lakesize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fig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5455203c-0765-46bf-8ffe-8a643720fc9c"/>
      <w:r>
        <w:rPr>
          <w:rFonts/>
          <w:b w:val="false"/>
        </w:rPr>
        <w:t xml:space="preserve">. </w:t>
      </w:r>
      <w:r>
        <w:t xml:space="preserve"> </w:t>
      </w:r>
      <w:r>
        <w:t xml:space="preserve">(A) Histogram of lake surface area (acres) and (B) histogram of lake watershed area (acres).</w:t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2743200"/>
            <wp:docPr id="5" name="" descr="Alternative text for screen reade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false"/>
        </w:rPr>
        <w:t xml:space="preserve">Figure </w:t>
      </w:r>
      <w:bookmarkStart w:id="399b439e-cc80-4fc7-a0ff-2fe1a8020b22" w:name="params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fig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399b439e-cc80-4fc7-a0ff-2fe1a8020b22"/>
      <w:r>
        <w:rPr>
          <w:rFonts/>
          <w:b w:val="false"/>
        </w:rPr>
        <w:t xml:space="preserve">. </w:t>
      </w:r>
      <w:r>
        <w:t xml:space="preserve"> </w:t>
      </w:r>
      <w:r>
        <w:t xml:space="preserve">(A) TMDL Allocation parameter frequency and (B) target parameter frequency.</w:t>
      </w:r>
    </w:p>
    <w:p>
      <w:pPr>
        <w:sectPr w:officer="true">
          <w:type w:val="nextPage"/>
          <w:cols/>
          <w:pgSz w:h="15840" w:w="12240"/>
          <w:pgMar w:bottom="1440" w:footer="720" w:gutter="0" w:header="720" w:left="1440" w:right="1440" w:top="1440"/>
        </w:sectPr>
      </w:pPr>
    </w:p>
    <w:p>
      <w:pPr>
        <w:sectPr w:officer="true">
          <w:type w:val="continuous"/>
          <w:cols/>
          <w:pgSz w:h="15840" w:w="12240"/>
          <w:pgMar w:bottom="1440" w:footer="720" w:gutter="0" w:header="720" w:left="1440" w:right="1440" w:top="1440"/>
        </w:sectPr>
      </w:pPr>
    </w:p>
    <w:p>
      <w:pPr>
        <w:jc w:val="center"/>
        <w:pStyle w:val="Normal"/>
      </w:pPr>
      <w:r>
        <w:rPr/>
        <w:drawing>
          <wp:inline distT="0" distB="0" distL="0" distR="0">
            <wp:extent cx="9144000" cy="4572000"/>
            <wp:docPr id="7" name="" descr="Alternative text for screen reade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false"/>
        </w:rPr>
        <w:t xml:space="preserve">Figure </w:t>
      </w:r>
      <w:bookmarkStart w:id="d49b1a12-256a-41b9-8828-e72837cd5a3a" w:name="models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fig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d49b1a12-256a-41b9-8828-e72837cd5a3a"/>
      <w:r>
        <w:rPr>
          <w:rFonts/>
          <w:b w:val="false"/>
        </w:rPr>
        <w:t xml:space="preserve">. </w:t>
      </w:r>
      <w:r>
        <w:t xml:space="preserve">Models…</w:t>
      </w:r>
    </w:p>
    <w:p>
      <w:pPr>
        <w:sectPr w:officer="true">
          <w:pgSz w:h="11906" w:w="16838" w:orient="landscape"/>
          <w:type w:val="oddPage"/>
          <w:cols/>
          <w:pgMar w:bottom="1440" w:footer="720" w:gutter="0" w:header="720" w:left="1440" w:right="1440" w:top="1440"/>
        </w:sectPr>
      </w:pPr>
    </w:p>
    <w:p>
      <w:pPr>
        <w:jc w:val="center"/>
        <w:pStyle w:val="Normal"/>
      </w:pPr>
      <w:r>
        <w:rPr/>
        <w:drawing>
          <wp:inline distT="0" distB="0" distL="0" distR="0">
            <wp:extent cx="5486400" cy="3657600"/>
            <wp:docPr id="9" name="" descr="Alternative text for screen reade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false"/>
        </w:rPr>
        <w:t xml:space="preserve">Figure </w:t>
      </w:r>
      <w:bookmarkStart w:id="3eb5bc73-2870-4eba-b603-4f0825663533" w:name="modparams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fig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3eb5bc73-2870-4eba-b603-4f0825663533"/>
      <w:r>
        <w:rPr>
          <w:rFonts/>
          <w:b w:val="false"/>
        </w:rPr>
        <w:t xml:space="preserve">. </w:t>
      </w:r>
      <w:r>
        <w:t xml:space="preserve">Models…</w:t>
      </w:r>
    </w:p>
    <w:bookmarkEnd w:id="29"/>
    <w:bookmarkStart w:id="30" w:name="references"/>
    <w:p>
      <w:pPr>
        <w:pStyle w:val="Heading1"/>
      </w:pPr>
      <w:r>
        <w:t xml:space="preserve">References</w:t>
      </w:r>
    </w:p>
    <w:bookmarkEnd w:id="30"/>
    <w:bookmarkStart w:id="39" w:name="bibliography"/>
    <w:p>
      <w:pPr>
        <w:pStyle w:val="Heading1"/>
      </w:pPr>
      <w:r>
        <w:t xml:space="preserve">Bibliography</w:t>
      </w:r>
    </w:p>
    <w:bookmarkStart w:id="38" w:name="refs"/>
    <w:bookmarkStart w:id="32" w:name="ref-jonesBacteriaTotalMaximum2009"/>
    <w:p>
      <w:pPr>
        <w:pStyle w:val="Bibliography"/>
      </w:pPr>
      <w:r>
        <w:t xml:space="preserve">Jones A, Wagner K, Di Giovanni G, Hauck L, Mott J, Rifai HS, Ward G, Wythe K. 2009. Bacteria</w:t>
      </w:r>
      <w:r>
        <w:t xml:space="preserve"> </w:t>
      </w:r>
      <w:r>
        <w:t xml:space="preserve">Total Maximum Daily Load Task Force Final Report</w:t>
      </w:r>
      <w:r>
        <w:t xml:space="preserve">. College Station, TX: Texas Water Resources Institute Report No.: TR-341.</w:t>
      </w:r>
      <w:r>
        <w:t xml:space="preserve"> </w:t>
      </w:r>
      <w:hyperlink r:id="rId31">
        <w:r>
          <w:rPr>
            <w:rStyle w:val="Hyperlink"/>
          </w:rPr>
          <w:t xml:space="preserve">http://hdl.handle.net/1969.1/86092</w:t>
        </w:r>
      </w:hyperlink>
      <w:r>
        <w:t xml:space="preserve">.</w:t>
      </w:r>
    </w:p>
    <w:bookmarkEnd w:id="32"/>
    <w:bookmarkStart w:id="34" w:name="ref-schrammTotalMaximumDaily2022"/>
    <w:p>
      <w:pPr>
        <w:pStyle w:val="Bibliography"/>
      </w:pPr>
      <w:r>
        <w:t xml:space="preserve">Schramm M, Gitter A, Gregory L. 2022. Total</w:t>
      </w:r>
      <w:r>
        <w:t xml:space="preserve"> </w:t>
      </w:r>
      <w:r>
        <w:t xml:space="preserve">Maximum Daily Loads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Escherichia</w:t>
      </w:r>
      <w:r>
        <w:t xml:space="preserve"> </w:t>
      </w:r>
      <w:r>
        <w:rPr>
          <w:iCs/>
          <w:i/>
        </w:rPr>
        <w:t xml:space="preserve">Coli</w:t>
      </w:r>
      <w:r>
        <w:t xml:space="preserve"> </w:t>
      </w:r>
      <w:r>
        <w:t xml:space="preserve">trends in</w:t>
      </w:r>
      <w:r>
        <w:t xml:space="preserve"> </w:t>
      </w:r>
      <w:r>
        <w:t xml:space="preserve">Texas</w:t>
      </w:r>
      <w:r>
        <w:t xml:space="preserve"> </w:t>
      </w:r>
      <w:r>
        <w:t xml:space="preserve">freshwater streams. Journal of Contemporary Water Research &amp; Education. 176(1):36–49. doi:</w:t>
      </w:r>
      <w:hyperlink r:id="rId33">
        <w:r>
          <w:rPr>
            <w:rStyle w:val="Hyperlink"/>
          </w:rPr>
          <w:t xml:space="preserve">10.1111/j.1936-704X.2022.3374.x</w:t>
        </w:r>
      </w:hyperlink>
      <w:r>
        <w:t xml:space="preserve">.</w:t>
      </w:r>
    </w:p>
    <w:bookmarkEnd w:id="34"/>
    <w:bookmarkStart w:id="36" w:name="ref-schrammRATTAINSAccessEPA2023"/>
    <w:p>
      <w:pPr>
        <w:pStyle w:val="Bibliography"/>
      </w:pPr>
      <w:r>
        <w:t xml:space="preserve">Schramm MP. 2023.</w:t>
      </w:r>
      <w:r>
        <w:t xml:space="preserve"> </w:t>
      </w:r>
      <w:r>
        <w:t xml:space="preserve">rATTAINS</w:t>
      </w:r>
      <w:r>
        <w:t xml:space="preserve">: Access</w:t>
      </w:r>
      <w:r>
        <w:t xml:space="preserve"> </w:t>
      </w:r>
      <w:r>
        <w:t xml:space="preserve">EPA</w:t>
      </w:r>
      <w:r>
        <w:t xml:space="preserve"> </w:t>
      </w:r>
      <w:r>
        <w:t xml:space="preserve">’</w:t>
      </w:r>
      <w:r>
        <w:t xml:space="preserve">ATTAINS</w:t>
      </w:r>
      <w:r>
        <w:t xml:space="preserve">’ data.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https://CRAN.R-project.org/package=rATTAINS</w:t>
        </w:r>
      </w:hyperlink>
      <w:r>
        <w:t xml:space="preserve">.</w:t>
      </w:r>
    </w:p>
    <w:bookmarkEnd w:id="36"/>
    <w:bookmarkStart w:id="37" w:name="ref-tceqTrophicClassificationTexas2024"/>
    <w:p>
      <w:pPr>
        <w:pStyle w:val="Bibliography"/>
      </w:pPr>
      <w:r>
        <w:t xml:space="preserve">TCEQ. 2024. Trophic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of</w:t>
      </w:r>
      <w:r>
        <w:t xml:space="preserve"> </w:t>
      </w:r>
      <w:r>
        <w:t xml:space="preserve">Texas Reservoirs</w:t>
      </w:r>
      <w:r>
        <w:t xml:space="preserve">. Austin, TX: Texas Commission on Environmental Quality Water Quality Planning Division Report No.: AS-229.</w:t>
      </w:r>
      <w:r>
        <w:t xml:space="preserve"> </w:t>
      </w:r>
      <w:hyperlink r:id="rId20">
        <w:r>
          <w:rPr>
            <w:rStyle w:val="Hyperlink"/>
          </w:rPr>
          <w:t xml:space="preserve">https://www.tceq.texas.gov/downloads/water-quality/assessment/integrated-report-2024/2024-trophic</w:t>
        </w:r>
      </w:hyperlink>
      <w:r>
        <w:t xml:space="preserve">.</w:t>
      </w:r>
    </w:p>
    <w:bookmarkEnd w:id="37"/>
    <w:bookmarkEnd w:id="38"/>
    <w:p>
      <w:pPr>
        <w:sectPr w:officer="true">
          <w:type w:val="nextPage"/>
          <w:cols/>
          <w:pgSz w:h="15840" w:w="12240"/>
          <w:pgMar w:bottom="1440" w:footer="720" w:gutter="0" w:header="720" w:left="1440" w:right="1440" w:top="1440"/>
        </w:sectPr>
      </w:pPr>
    </w:p>
    <w:bookmarkEnd w:id="39"/>
    <w:bookmarkStart w:id="40" w:name="appendix-a"/>
    <w:p>
      <w:pPr>
        <w:pStyle w:val="Heading1"/>
      </w:pPr>
      <w:r>
        <w:t xml:space="preserve">Appendix A</w:t>
      </w:r>
    </w:p>
    <w:p>
      <w:pPr>
        <w:pStyle w:val="FirstParagraph"/>
      </w:pPr>
      <w:r>
        <w:t xml:space="preserve">You can add more info, tables, and figures here.</w:t>
      </w:r>
    </w:p>
    <w:p>
      <w:pPr>
        <w:sectPr w:officer="true">
          <w:type w:val="nextPage"/>
          <w:cols/>
          <w:pgSz w:h="15840" w:w="12240"/>
          <w:pgMar w:bottom="1440" w:footer="720" w:gutter="0" w:header="720" w:left="1440" w:right="1440" w:top="1440"/>
        </w:sectPr>
      </w:pPr>
    </w:p>
    <w:bookmarkEnd w:id="40"/>
    <w:sectPr w:rsidR="00AA63F6" w:rsidSect="00B040DC">
      <w:footerReference r:id="rId9" w:type="default"/>
      <w:pgSz w:h="15840" w:w="12240"/>
      <w:pgMar w:bottom="1440" w:footer="720" w:gutter="0" w:header="720" w:left="1440" w:right="1440" w:top="1440"/>
      <w:cols w:space="720"/>
      <w:docGrid w:linePitch="326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rimson Pro">
    <w:panose1 w:val="00000000000000000000"/>
    <w:charset w:val="00"/>
    <w:family w:val="auto"/>
    <w:pitch w:val="variable"/>
    <w:sig w:usb0="A00000FF" w:usb1="5000E04B" w:usb2="00000000" w:usb3="00000000" w:csb0="00000193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7142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5A07AC" w14:textId="01ED6CAB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5002B8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1728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DC806" w14:textId="7D542DCE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ADF8EF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5941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A0DA66" w14:textId="4596C807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09B905" w14:textId="77777777" w:rsidR="00000000" w:rsidRDefault="0000000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4359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69A0BF" w14:textId="77777777" w:rsidR="00000000" w:rsidRDefault="00000000">
        <w:pPr>
          <w:pStyle w:val="Footer"/>
          <w:jc w:val="center"/>
        </w:pPr>
      </w:p>
    </w:sdtContent>
  </w:sdt>
  <w:p w14:paraId="68489F11" w14:textId="77777777" w:rsidR="00000000" w:rsidRDefault="0000000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6440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AEF0E2" w14:textId="77777777" w:rsidR="00000000" w:rsidRDefault="00000000">
        <w:pPr>
          <w:pStyle w:val="Footer"/>
          <w:jc w:val="center"/>
        </w:pPr>
      </w:p>
    </w:sdtContent>
  </w:sdt>
  <w:p w14:paraId="1B5BF98D" w14:textId="77777777" w:rsidR="00000000" w:rsidRDefault="0000000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39637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797FF" w14:textId="336CC59C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DDAAF5" w14:textId="77777777" w:rsidR="00000000" w:rsidRDefault="00000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FC873C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596A8F3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2B0A670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47B8E35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584650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3BACD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770353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2834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B6B6D6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B37E724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AD12FF4"/>
    <w:multiLevelType w:val="multilevel"/>
    <w:tmpl w:val="04090027"/>
    <w:lvl w:ilvl="0">
      <w:start w:val="1"/>
      <w:numFmt w:val="upperRoman"/>
      <w:lvlText w:val="%1."/>
      <w:lvlJc w:val="left"/>
      <w:pPr>
        <w:ind w:firstLine="0" w:left="0"/>
      </w:pPr>
    </w:lvl>
    <w:lvl w:ilvl="1">
      <w:start w:val="1"/>
      <w:numFmt w:val="upperLetter"/>
      <w:lvlText w:val="%2."/>
      <w:lvlJc w:val="left"/>
      <w:pPr>
        <w:ind w:firstLine="0" w:left="720"/>
      </w:pPr>
    </w:lvl>
    <w:lvl w:ilvl="2">
      <w:start w:val="1"/>
      <w:numFmt w:val="decimal"/>
      <w:lvlText w:val="%3."/>
      <w:lvlJc w:val="left"/>
      <w:pPr>
        <w:ind w:firstLine="0" w:left="1440"/>
      </w:pPr>
    </w:lvl>
    <w:lvl w:ilvl="3">
      <w:start w:val="1"/>
      <w:numFmt w:val="lowerLetter"/>
      <w:lvlText w:val="%4)"/>
      <w:lvlJc w:val="left"/>
      <w:pPr>
        <w:ind w:firstLine="0" w:left="2160"/>
      </w:pPr>
    </w:lvl>
    <w:lvl w:ilvl="4">
      <w:start w:val="1"/>
      <w:numFmt w:val="decimal"/>
      <w:lvlText w:val="(%5)"/>
      <w:lvlJc w:val="left"/>
      <w:pPr>
        <w:ind w:firstLine="0" w:left="2880"/>
      </w:pPr>
    </w:lvl>
    <w:lvl w:ilvl="5">
      <w:start w:val="1"/>
      <w:numFmt w:val="lowerLetter"/>
      <w:lvlText w:val="(%6)"/>
      <w:lvlJc w:val="left"/>
      <w:pPr>
        <w:ind w:firstLine="0" w:left="3600"/>
      </w:pPr>
    </w:lvl>
    <w:lvl w:ilvl="6">
      <w:start w:val="1"/>
      <w:numFmt w:val="lowerRoman"/>
      <w:lvlText w:val="(%7)"/>
      <w:lvlJc w:val="left"/>
      <w:pPr>
        <w:ind w:firstLine="0" w:left="4320"/>
      </w:pPr>
    </w:lvl>
    <w:lvl w:ilvl="7">
      <w:start w:val="1"/>
      <w:numFmt w:val="lowerLetter"/>
      <w:lvlText w:val="(%8)"/>
      <w:lvlJc w:val="left"/>
      <w:pPr>
        <w:ind w:firstLine="0" w:left="5040"/>
      </w:pPr>
    </w:lvl>
    <w:lvl w:ilvl="8">
      <w:start w:val="1"/>
      <w:numFmt w:val="lowerRoman"/>
      <w:lvlText w:val="(%9)"/>
      <w:lvlJc w:val="left"/>
      <w:pPr>
        <w:ind w:firstLine="0" w:left="5760"/>
      </w:pPr>
    </w:lvl>
  </w:abstractNum>
  <w:abstractNum w15:restartNumberingAfterBreak="0" w:abstractNumId="11">
    <w:nsid w:val="2C1AE401"/>
    <w:multiLevelType w:val="multilevel"/>
    <w:tmpl w:val="CB96CA3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4116266A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5FB72FC8"/>
    <w:multiLevelType w:val="multilevel"/>
    <w:tmpl w:val="8FB2029A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43150220" w:numId="1">
    <w:abstractNumId w:val="11"/>
  </w:num>
  <w:num w16cid:durableId="117139594" w:numId="2">
    <w:abstractNumId w:val="9"/>
  </w:num>
  <w:num w16cid:durableId="736705222" w:numId="3">
    <w:abstractNumId w:val="7"/>
  </w:num>
  <w:num w16cid:durableId="196238904" w:numId="4">
    <w:abstractNumId w:val="6"/>
  </w:num>
  <w:num w16cid:durableId="1189371399" w:numId="5">
    <w:abstractNumId w:val="5"/>
  </w:num>
  <w:num w16cid:durableId="1995142281" w:numId="6">
    <w:abstractNumId w:val="4"/>
  </w:num>
  <w:num w16cid:durableId="369769184" w:numId="7">
    <w:abstractNumId w:val="8"/>
  </w:num>
  <w:num w16cid:durableId="569391640" w:numId="8">
    <w:abstractNumId w:val="3"/>
  </w:num>
  <w:num w16cid:durableId="634724324" w:numId="9">
    <w:abstractNumId w:val="2"/>
  </w:num>
  <w:num w16cid:durableId="1705908430" w:numId="10">
    <w:abstractNumId w:val="1"/>
  </w:num>
  <w:num w16cid:durableId="330523897" w:numId="11">
    <w:abstractNumId w:val="0"/>
  </w:num>
  <w:num w16cid:durableId="1640840214" w:numId="12">
    <w:abstractNumId w:val="11"/>
  </w:num>
  <w:num w16cid:durableId="92020356" w:numId="13">
    <w:abstractNumId w:val="11"/>
  </w:num>
  <w:num w16cid:durableId="660737553" w:numId="14">
    <w:abstractNumId w:val="12"/>
  </w:num>
  <w:num w16cid:durableId="1774083381" w:numId="15">
    <w:abstractNumId w:val="13"/>
  </w:num>
  <w:num w16cid:durableId="1418865867" w:numId="16">
    <w:abstractNumId w:val="10"/>
  </w:num>
  <w:num w16cid:durableId="714815457" w:numId="17">
    <w:abstractNumId w:val="11"/>
  </w:num>
  <w:num w16cid:durableId="247889415" w:numId="18">
    <w:abstractNumId w:val="11"/>
  </w:num>
  <w:num w:numId="1000">
    <w:abstractNumId w:val="990"/>
  </w:num>
  <w:num w:numId="1001">
    <w:abstractNumId w:val="991"/>
  </w:num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05D87"/>
  </w:style>
  <w:style w:styleId="Heading1" w:type="paragraph">
    <w:name w:val="heading 1"/>
    <w:basedOn w:val="Normal"/>
    <w:next w:val="BodyText"/>
    <w:uiPriority w:val="9"/>
    <w:qFormat/>
    <w:rsid w:val="00B760BE"/>
    <w:pPr>
      <w:keepNext/>
      <w:keepLines/>
      <w:spacing w:after="0" w:before="480"/>
      <w:outlineLvl w:val="0"/>
    </w:pPr>
    <w:rPr>
      <w:rFonts w:ascii="Open Sans Semibold" w:cstheme="majorBidi" w:eastAsiaTheme="majorEastAsia" w:hAnsi="Open Sans Semibold"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B760BE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B760BE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Cs/>
      <w:sz w:val="20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rsid w:val="00C634D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E65F74"/>
    <w:pPr>
      <w:spacing w:after="180" w:before="180" w:line="288" w:lineRule="auto"/>
    </w:pPr>
  </w:style>
  <w:style w:customStyle="1" w:styleId="FirstParagraph" w:type="paragraph">
    <w:name w:val="First Paragraph"/>
    <w:basedOn w:val="BodyText"/>
    <w:next w:val="BodyText"/>
    <w:qFormat/>
    <w:rsid w:val="00E65F74"/>
  </w:style>
  <w:style w:customStyle="1" w:styleId="Compact" w:type="paragraph">
    <w:name w:val="Compact"/>
    <w:basedOn w:val="BodyText"/>
    <w:qFormat/>
    <w:rsid w:val="00E65F74"/>
    <w:pPr>
      <w:spacing w:after="36" w:before="36" w:line="240" w:lineRule="auto"/>
    </w:pPr>
    <w:rPr>
      <w:sz w:val="20"/>
    </w:rPr>
  </w:style>
  <w:style w:styleId="Title" w:type="paragraph">
    <w:name w:val="Title"/>
    <w:basedOn w:val="Normal"/>
    <w:next w:val="BodyText"/>
    <w:qFormat/>
    <w:rsid w:val="00B760BE"/>
    <w:pPr>
      <w:keepNext/>
      <w:keepLines/>
      <w:spacing w:after="240" w:before="480"/>
      <w:jc w:val="center"/>
    </w:pPr>
    <w:rPr>
      <w:rFonts w:ascii="Open Sans Semibold" w:cstheme="majorBidi" w:eastAsiaTheme="majorEastAsia" w:hAnsi="Open Sans Semibold"/>
      <w:bCs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D05D87"/>
    <w:pPr>
      <w:keepNext/>
      <w:keepLines/>
      <w:spacing w:after="0"/>
    </w:pPr>
  </w:style>
  <w:style w:styleId="Date" w:type="paragraph">
    <w:name w:val="Date"/>
    <w:next w:val="BodyText"/>
    <w:qFormat/>
    <w:rsid w:val="00D05D87"/>
    <w:pPr>
      <w:keepNext/>
      <w:keepLines/>
    </w:pPr>
  </w:style>
  <w:style w:customStyle="1" w:styleId="Abstract" w:type="paragraph">
    <w:name w:val="Abstract"/>
    <w:basedOn w:val="Normal"/>
    <w:next w:val="BodyText"/>
    <w:qFormat/>
    <w:rsid w:val="00B040DC"/>
    <w:pPr>
      <w:keepNext/>
      <w:keepLines/>
      <w:spacing w:after="300" w:before="300"/>
    </w:pPr>
    <w:rPr>
      <w:sz w:val="22"/>
      <w:szCs w:val="20"/>
    </w:rPr>
  </w:style>
  <w:style w:styleId="Bibliography" w:type="paragraph">
    <w:name w:val="Bibliography"/>
    <w:basedOn w:val="Normal"/>
    <w:qFormat/>
    <w:rsid w:val="00B040DC"/>
    <w:pPr>
      <w:ind w:hanging="288" w:left="288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B040DC"/>
    <w:pPr>
      <w:spacing w:after="0"/>
    </w:pPr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926631"/>
    <w:pPr>
      <w:keepNext/>
      <w:jc w:val="center"/>
    </w:pPr>
    <w:rPr>
      <w:i w:val="0"/>
      <w:sz w:val="20"/>
    </w:rPr>
  </w:style>
  <w:style w:customStyle="1" w:styleId="ImageCaption" w:type="paragraph">
    <w:name w:val="Image Caption"/>
    <w:basedOn w:val="Caption"/>
    <w:rsid w:val="00926631"/>
    <w:pPr>
      <w:jc w:val="center"/>
    </w:pPr>
    <w:rPr>
      <w:i w:val="0"/>
      <w:sz w:val="2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unhideWhenUsed/>
    <w:rsid w:val="00394FF1"/>
    <w:rPr>
      <w:rFonts w:ascii="Arial" w:hAnsi="Arial"/>
      <w:sz w:val="20"/>
    </w:rPr>
  </w:style>
  <w:style w:customStyle="1" w:styleId="BodyTextChar" w:type="character">
    <w:name w:val="Body Text Char"/>
    <w:basedOn w:val="DefaultParagraphFont"/>
    <w:link w:val="BodyText"/>
    <w:rsid w:val="00E65F74"/>
    <w:rPr>
      <w:rFonts w:ascii="EB Garamond" w:hAnsi="EB Garamond"/>
    </w:rPr>
  </w:style>
  <w:style w:styleId="Header" w:type="paragraph">
    <w:name w:val="header"/>
    <w:basedOn w:val="Normal"/>
    <w:link w:val="HeaderChar"/>
    <w:unhideWhenUsed/>
    <w:rsid w:val="00437DBF"/>
    <w:pPr>
      <w:tabs>
        <w:tab w:pos="4680" w:val="center"/>
        <w:tab w:pos="9360" w:val="right"/>
      </w:tabs>
      <w:spacing w:after="0"/>
    </w:pPr>
    <w:rPr>
      <w:sz w:val="20"/>
    </w:rPr>
  </w:style>
  <w:style w:customStyle="1" w:styleId="HeaderChar" w:type="character">
    <w:name w:val="Header Char"/>
    <w:basedOn w:val="DefaultParagraphFont"/>
    <w:link w:val="Header"/>
    <w:rsid w:val="00437DBF"/>
    <w:rPr>
      <w:rFonts w:ascii="EB Garamond" w:hAnsi="EB Garamond"/>
      <w:sz w:val="20"/>
    </w:rPr>
  </w:style>
  <w:style w:styleId="Footer" w:type="paragraph">
    <w:name w:val="footer"/>
    <w:basedOn w:val="Normal"/>
    <w:link w:val="FooterChar"/>
    <w:uiPriority w:val="99"/>
    <w:unhideWhenUsed/>
    <w:rsid w:val="00B760BE"/>
    <w:pPr>
      <w:tabs>
        <w:tab w:pos="4680" w:val="center"/>
        <w:tab w:pos="9360" w:val="right"/>
      </w:tabs>
      <w:spacing w:after="0"/>
    </w:pPr>
    <w:rPr>
      <w:rFonts w:asciiTheme="majorHAnsi" w:hAnsiTheme="majorHAnsi"/>
      <w:sz w:val="18"/>
    </w:rPr>
  </w:style>
  <w:style w:customStyle="1" w:styleId="FooterChar" w:type="character">
    <w:name w:val="Footer Char"/>
    <w:basedOn w:val="DefaultParagraphFont"/>
    <w:link w:val="Footer"/>
    <w:uiPriority w:val="99"/>
    <w:rsid w:val="00B760BE"/>
    <w:rPr>
      <w:rFonts w:asciiTheme="majorHAnsi" w:hAnsiTheme="majorHAnsi"/>
      <w:sz w:val="18"/>
    </w:rPr>
  </w:style>
  <w:style w:styleId="PlaceholderText" w:type="character">
    <w:name w:val="Placeholder Text"/>
    <w:basedOn w:val="DefaultParagraphFont"/>
    <w:semiHidden/>
    <w:rsid w:val="00CA4C83"/>
    <w:rPr>
      <w:color w:val="808080"/>
    </w:rPr>
  </w:style>
  <w:style w:styleId="TOC1" w:type="paragraph">
    <w:name w:val="toc 1"/>
    <w:basedOn w:val="Normal"/>
    <w:next w:val="Normal"/>
    <w:autoRedefine/>
    <w:uiPriority w:val="39"/>
    <w:unhideWhenUsed/>
    <w:rsid w:val="00D46F37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D46F37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D46F37"/>
    <w:pPr>
      <w:spacing w:after="100"/>
      <w:ind w:left="480"/>
    </w:pPr>
  </w:style>
  <w:style w:customStyle="1" w:styleId="UnnumberedHeading1" w:type="paragraph">
    <w:name w:val="Unnumbered Heading 1"/>
    <w:basedOn w:val="Heading1"/>
    <w:qFormat/>
    <w:rsid w:val="00D265C5"/>
  </w:style>
  <w:style w:styleId="TableofFigures" w:type="paragraph">
    <w:name w:val="table of figures"/>
    <w:basedOn w:val="Normal"/>
    <w:next w:val="Normal"/>
    <w:uiPriority w:val="99"/>
    <w:unhideWhenUsed/>
    <w:rsid w:val="004D0D4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8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1.xml"/>
<Relationship Id="rId10" Type="http://schemas.openxmlformats.org/officeDocument/2006/relationships/footer" Target="footer4.xml"/>
<Relationship Id="rId11" Type="http://schemas.openxmlformats.org/officeDocument/2006/relationships/footer" Target="footer3.xml"/>
<Relationship Id="rId12" Type="http://schemas.openxmlformats.org/officeDocument/2006/relationships/footer" Target="footer6.xml"/>
<Relationship Id="rId13" Type="http://schemas.openxmlformats.org/officeDocument/2006/relationships/footer" Target="footer2.xml"/>
<Relationship Id="rId14" Type="http://schemas.openxmlformats.org/officeDocument/2006/relationships/footer" Target="footer5.xml"/>
<Relationship Id="rId31" Type="http://schemas.openxmlformats.org/officeDocument/2006/relationships/hyperlink" Target="http://hdl.handle.net/1969.1/86092" TargetMode="External"/>
<Relationship Id="rId35" Type="http://schemas.openxmlformats.org/officeDocument/2006/relationships/hyperlink" Target="https://CRAN.R-project.org/package=rATTAINS" TargetMode="External"/>
<Relationship Id="rId27" Type="http://schemas.openxmlformats.org/officeDocument/2006/relationships/hyperlink" Target="https://davidgohel.github.io/flextable/" TargetMode="External"/>
<Relationship Id="rId33" Type="http://schemas.openxmlformats.org/officeDocument/2006/relationships/hyperlink" Target="https://doi.org/10.1111/j.1936-704X.2022.3374.x" TargetMode="External"/>
<Relationship Id="rId20" Type="http://schemas.openxmlformats.org/officeDocument/2006/relationships/hyperlink" Target="https://www.tceq.texas.gov/downloads/water-quality/assessment/integrated-report-2024/2024-trophic" TargetMode="External"/>
<Relationship Id="rId36" Type="http://schemas.openxmlformats.org/officeDocument/2006/relationships/image" Target="media/2641787dfd931d7f8184769124049737b4537149.png"/>
<Relationship Id="rId37" Type="http://schemas.openxmlformats.org/officeDocument/2006/relationships/image" Target="media/8a41458b45d4b0332236d344f55c17eaeb691985.png"/>
<Relationship Id="rId38" Type="http://schemas.openxmlformats.org/officeDocument/2006/relationships/image" Target="media/e5ac82ba46b27174bf8a7360b0a2d15d438f1221.png"/>
<Relationship Id="rId39" Type="http://schemas.openxmlformats.org/officeDocument/2006/relationships/image" Target="media/6b8f92e20bcb9c0f13074564243bfe5613d54971.png"/>
<Relationship Id="rId40" Type="http://schemas.openxmlformats.org/officeDocument/2006/relationships/image" Target="media/71ff651057957444bf92d2b128e2bef38ce3375a.png"/>
</Relationships>

</file>

<file path=word/_rels/footnotes.xml.rels><?xml version="1.0" encoding="UTF-8" standalone="yes"?>

<Relationships  xmlns="http://schemas.openxmlformats.org/package/2006/relationships">
<Relationship Id="rId31" Type="http://schemas.openxmlformats.org/officeDocument/2006/relationships/hyperlink" Target="http://hdl.handle.net/1969.1/86092" TargetMode="External"/>
<Relationship Id="rId35" Type="http://schemas.openxmlformats.org/officeDocument/2006/relationships/hyperlink" Target="https://CRAN.R-project.org/package=rATTAINS" TargetMode="External"/>
<Relationship Id="rId27" Type="http://schemas.openxmlformats.org/officeDocument/2006/relationships/hyperlink" Target="https://davidgohel.github.io/flextable/" TargetMode="External"/>
<Relationship Id="rId33" Type="http://schemas.openxmlformats.org/officeDocument/2006/relationships/hyperlink" Target="https://doi.org/10.1111/j.1936-704X.2022.3374.x" TargetMode="External"/>
<Relationship Id="rId20" Type="http://schemas.openxmlformats.org/officeDocument/2006/relationships/hyperlink" Target="https://www.tceq.texas.gov/downloads/water-quality/assessment/integrated-report-2024/2024-trophic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WRI">
      <a:majorFont>
        <a:latin typeface="Century Gothic"/>
        <a:ea typeface=""/>
        <a:cs typeface=""/>
      </a:majorFont>
      <a:minorFont>
        <a:latin typeface="Crimson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Total Maximum Daily Loads and Escherichia coli trends in Texas freshwater streams</vt:lpstr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Synthesis of Lake TMDL Approaches in EPA Regions 4 and 6</dc:title>
  <dc:creator>Michael Schramm 1, Lucas Gregory 2; 1 Research Specialist, Texas Water Resources Institute, Texas A&amp;M AgriLife Research; 2 Associate Director, Texas Water Resources Institute, Texas A&amp;M AgriLife Research</dc:creator>
  <cp:keywords/>
  <dcterms:created xsi:type="dcterms:W3CDTF">2025-07-01T19:54:32Z</dcterms:created>
  <dcterms:modified xsi:type="dcterms:W3CDTF">2025-07-01T15:54:33Z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council-of-science-editors-author-date.csl</vt:lpwstr>
  </property>
  <property fmtid="{D5CDD505-2E9C-101B-9397-08002B2CF9AE}" pid="4" name="date">
    <vt:lpwstr>April 1, 2021</vt:lpwstr>
  </property>
  <property fmtid="{D5CDD505-2E9C-101B-9397-08002B2CF9AE}" pid="5" name="output">
    <vt:lpwstr/>
  </property>
</Properties>
</file>