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</w:t>
      </w:r>
      <w:r>
        <w:t xml:space="preserve"> </w:t>
      </w:r>
      <w:r>
        <w:t xml:space="preserve">of</w:t>
      </w:r>
      <w:r>
        <w:t xml:space="preserve"> </w:t>
      </w:r>
      <w:r>
        <w:t xml:space="preserve">Lake</w:t>
      </w:r>
      <w:r>
        <w:t xml:space="preserve"> </w:t>
      </w:r>
      <w:r>
        <w:t xml:space="preserve">TMDL</w:t>
      </w:r>
      <w:r>
        <w:t xml:space="preserve"> </w:t>
      </w:r>
      <w:r>
        <w:t xml:space="preserve">Approaches</w:t>
      </w:r>
      <w:r>
        <w:t xml:space="preserve"> </w:t>
      </w:r>
      <w:r>
        <w:t xml:space="preserve">in</w:t>
      </w:r>
      <w:r>
        <w:t xml:space="preserve"> </w:t>
      </w:r>
      <w:r>
        <w:t xml:space="preserve">EPA</w:t>
      </w:r>
      <w:r>
        <w:t xml:space="preserve"> </w:t>
      </w:r>
      <w:r>
        <w:t xml:space="preserve">Regions</w:t>
      </w:r>
      <w:r>
        <w:t xml:space="preserve"> </w:t>
      </w:r>
      <w:r>
        <w:t xml:space="preserve">4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Schramm</w:t>
      </w:r>
      <w:r>
        <w:t xml:space="preserve"> 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Lucas</w:t>
      </w:r>
      <w:r>
        <w:t xml:space="preserve"> </w:t>
      </w:r>
      <w:r>
        <w:t xml:space="preserve">Gregory</w:t>
      </w:r>
      <w:r>
        <w:t xml:space="preserve"> 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Research</w:t>
      </w:r>
      <w:r>
        <w:t xml:space="preserve"> </w:t>
      </w:r>
      <w:r>
        <w:t xml:space="preserve">Specialist,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Associate</w:t>
      </w:r>
      <w:r>
        <w:t xml:space="preserve"> </w:t>
      </w:r>
      <w:r>
        <w:t xml:space="preserve">Director,</w:t>
      </w:r>
      <w:r>
        <w:t xml:space="preserve"> </w:t>
      </w:r>
      <w:r>
        <w:t xml:space="preserve">Texas</w:t>
      </w:r>
      <w:r>
        <w:t xml:space="preserve"> </w:t>
      </w:r>
      <w:r>
        <w:t xml:space="preserve">Water</w:t>
      </w:r>
      <w:r>
        <w:t xml:space="preserve"> </w:t>
      </w:r>
      <w:r>
        <w:t xml:space="preserve">Resources</w:t>
      </w:r>
      <w:r>
        <w:t xml:space="preserve"> </w:t>
      </w:r>
      <w:r>
        <w:t xml:space="preserve">Institute,</w:t>
      </w:r>
      <w:r>
        <w:t xml:space="preserve"> </w:t>
      </w:r>
      <w:r>
        <w:t xml:space="preserve">Texas</w:t>
      </w:r>
      <w:r>
        <w:t xml:space="preserve"> </w:t>
      </w:r>
      <w:r>
        <w:t xml:space="preserve">A&amp;M</w:t>
      </w:r>
      <w:r>
        <w:t xml:space="preserve"> </w:t>
      </w:r>
      <w:r>
        <w:t xml:space="preserve">AgriLife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Texas Water Resources Institute</w:t>
      </w:r>
    </w:p>
    <w:p>
      <w:pPr>
        <w:pStyle w:val="BodyText"/>
      </w:pPr>
      <w:r>
        <w:t xml:space="preserve">Texas A&amp;M Agrilife</w:t>
      </w:r>
    </w:p>
    <w:p>
      <w:pPr>
        <w:pStyle w:val="BodyText"/>
      </w:pPr>
      <w:r>
        <w:t xml:space="preserve">College Station, TX</w:t>
      </w:r>
    </w:p>
    <w:p>
      <w:pPr>
        <w:pStyle w:val="BodyText"/>
      </w:pPr>
      <w:r>
        <w:t xml:space="preserve">TR-ABCD</w:t>
      </w:r>
    </w:p>
    <w:p>
      <w:pPr>
        <w:pStyle w:val="BodyText"/>
      </w:pPr>
      <w:r>
        <w:t xml:space="preserve">This project was funded through a grant from a generous agency.</w:t>
      </w:r>
    </w:p>
    <w:p>
      <w:pPr>
        <w:pStyle w:val="BodyText"/>
      </w:pPr>
      <w:r>
        <w:t xml:space="preserve">Insert other funding or partnership acknowledgments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pStyle w:val="UnnumberedHeading1"/>
      </w:pPr>
      <w:r>
        <w:t xml:space="preserve">Table of Contents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Figures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"fig"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Table of Tables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\h \z \c "tab"</w:instrText>
      </w:r>
      <w:r xmlns:w14="http://schemas.microsoft.com/office/word/2010/wordml">
        <w:rPr/>
        <w:fldChar w:fldCharType="end" w:dirty="true"/>
      </w:r>
    </w:p>
    <w:p>
      <w:pPr>
        <w:pStyle w:val="UnnumberedHeading1"/>
      </w:pPr>
      <w:r>
        <w:t xml:space="preserve">Abbreviations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Start w:id="22" w:name="headings"/>
    <w:p>
      <w:pPr>
        <w:pStyle w:val="Heading1"/>
      </w:pPr>
      <w:r>
        <w:t xml:space="preserve">Headings</w:t>
      </w:r>
    </w:p>
    <w:bookmarkStart w:id="21" w:name="second-level-heading"/>
    <w:p>
      <w:pPr>
        <w:pStyle w:val="Heading2"/>
      </w:pPr>
      <w:r>
        <w:t xml:space="preserve">Second Level Heading</w:t>
      </w:r>
    </w:p>
    <w:bookmarkStart w:id="20" w:name="third-level-heading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t xml:space="preserve">First, second, and third level headings are defined by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respectively.</w:t>
      </w:r>
    </w:p>
    <w:bookmarkEnd w:id="20"/>
    <w:bookmarkEnd w:id="21"/>
    <w:bookmarkEnd w:id="22"/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States are required to identify water bodies that do not meet designated water</w:t>
      </w:r>
      <w:r>
        <w:t xml:space="preserve"> </w:t>
      </w:r>
      <w:r>
        <w:t xml:space="preserve">uses under Section 303(d) of the Clean Water Act. Total Maximum Daily Loads (TMDLs)</w:t>
      </w:r>
      <w:r>
        <w:t xml:space="preserve"> </w:t>
      </w:r>
      <w:r>
        <w:t xml:space="preserve">must be developed for pollutants causing the impairment. TMDLs designate an</w:t>
      </w:r>
      <w:r>
        <w:t xml:space="preserve"> </w:t>
      </w:r>
      <w:r>
        <w:t xml:space="preserve">allowable daily allowable pollutant load that can be discharged to the waterbody</w:t>
      </w:r>
      <w:r>
        <w:t xml:space="preserve"> </w:t>
      </w:r>
      <w:r>
        <w:t xml:space="preserve">and continue to meet criteria for designated uses.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bookmarkEnd w:id="24"/>
    <w:bookmarkStart w:id="25" w:name="results"/>
    <w:p>
      <w:pPr>
        <w:pStyle w:val="Heading1"/>
      </w:pPr>
      <w:r>
        <w:t xml:space="preserve">Results</w:t>
      </w:r>
    </w:p>
    <w:bookmarkEnd w:id="25"/>
    <w:bookmarkStart w:id="27" w:name="tables"/>
    <w:p>
      <w:pPr>
        <w:pStyle w:val="Heading1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116 Columns: 47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(39): organization_identifier.x, organization_name.x, organization_type_... dbl</w:t>
      </w:r>
      <w:r>
        <w:br/>
      </w:r>
      <w:r>
        <w:rPr>
          <w:rStyle w:val="VerbatimChar"/>
        </w:rPr>
        <w:t xml:space="preserve">## (5): load_allocation_numeric, TMDL_end_point_text, watershed_area, volu... num</w:t>
      </w:r>
      <w:r>
        <w:br/>
      </w:r>
      <w:r>
        <w:rPr>
          <w:rStyle w:val="VerbatimChar"/>
        </w:rPr>
        <w:t xml:space="preserve">## (1): surface_area lgl (2): explicit_margin_of_safety_text, ...40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`...40`</w:t>
      </w:r>
    </w:p>
    <w:p>
      <w:pPr>
        <w:pStyle w:val="FirstParagraph"/>
      </w:pPr>
      <w:r>
        <w:t xml:space="preserve">This is an example of an unformatted table and how we cross-reference that table (</w:t>
      </w:r>
      <w:hyperlink w:anchor="tab:mtcars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hyperlink w:anchor="mtcars">
          <w:r xmlns:w14="http://schemas.microsoft.com/office/word/2010/wordml">
            <w:rPr/>
            <w:fldChar w:fldCharType="begin" w:dirty="true"/>
          </w:r>
          <w:r xmlns:w14="http://schemas.microsoft.com/office/word/2010/wordml">
            <w:rPr/>
            <w:instrText xml:space="preserve" w:dirty="true"> REF mtcars \h</w:instrText>
          </w:r>
          <w:r xmlns:w14="http://schemas.microsoft.com/office/word/2010/wordml">
            <w:rPr/>
            <w:fldChar w:fldCharType="end" w:dirty="true"/>
          </w:r>
        </w:hyperlink>
      </w:hyperlink>
      <w:r>
        <w:t xml:space="preserve">).</w:t>
      </w:r>
    </w:p>
    <w:p>
      <w:pPr>
        <w:pStyle w:val="TableCaption"/>
      </w:pPr>
      <w:r>
        <w:rPr>
          <w:rFonts/>
          <w:b w:val="false"/>
        </w:rPr>
        <w:t xml:space="preserve">Table  </w:t>
      </w:r>
      <w:bookmarkStart w:id="9073cb6c-1056-4e15-ad6d-bd1136916d35" w:name="mtcar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tab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073cb6c-1056-4e15-ad6d-bd1136916d35"/>
      <w:r>
        <w:rPr>
          <w:rFonts/>
          <w:b w:val="false"/>
        </w:rPr>
        <w:t xml:space="preserve">.  </w:t>
      </w:r>
      <w:r>
        <w:t xml:space="preserve">this is the builtin mtcars data.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108.0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258.0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225.0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360.0</w:t>
            </w:r>
          </w:p>
        </w:tc>
        <w:tc>
          <w:p>
            <w:pPr>
              <w:pStyle w:stlname="Normal" w:val="Normal"/>
            </w:pPr>
            <w:r>
              <w:t>245</w:t>
            </w:r>
          </w:p>
        </w:tc>
        <w:tc>
          <w:p>
            <w:pPr>
              <w:pStyle w:stlname="Normal" w:val="Normal"/>
            </w:pPr>
            <w:r>
              <w:t>3.21</w:t>
            </w:r>
          </w:p>
        </w:tc>
        <w:tc>
          <w:p>
            <w:pPr>
              <w:pStyle w:stlname="Normal" w:val="Normal"/>
            </w:pPr>
            <w:r>
              <w:t>3.570</w:t>
            </w:r>
          </w:p>
        </w:tc>
        <w:tc>
          <w:p>
            <w:pPr>
              <w:pStyle w:stlname="Normal" w:val="Normal"/>
            </w:pPr>
            <w:r>
              <w:t>15.84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24.4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146.7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3.69</w:t>
            </w:r>
          </w:p>
        </w:tc>
        <w:tc>
          <w:p>
            <w:pPr>
              <w:pStyle w:stlname="Normal" w:val="Normal"/>
            </w:pPr>
            <w:r>
              <w:t>3.190</w:t>
            </w:r>
          </w:p>
        </w:tc>
        <w:tc>
          <w:p>
            <w:pPr>
              <w:pStyle w:stlname="Normal" w:val="Normal"/>
            </w:pPr>
            <w:r>
              <w:t>20.00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140.8</w:t>
            </w:r>
          </w:p>
        </w:tc>
        <w:tc>
          <w:p>
            <w:pPr>
              <w:pStyle w:stlname="Normal" w:val="Normal"/>
            </w:pPr>
            <w:r>
              <w:t>95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3.150</w:t>
            </w:r>
          </w:p>
        </w:tc>
        <w:tc>
          <w:p>
            <w:pPr>
              <w:pStyle w:stlname="Normal" w:val="Normal"/>
            </w:pPr>
            <w:r>
              <w:t>22.90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19.2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167.6</w:t>
            </w:r>
          </w:p>
        </w:tc>
        <w:tc>
          <w:p>
            <w:pPr>
              <w:pStyle w:stlname="Normal" w:val="Normal"/>
            </w:pPr>
            <w:r>
              <w:t>123</w:t>
            </w:r>
          </w:p>
        </w:tc>
        <w:tc>
          <w:p>
            <w:pPr>
              <w:pStyle w:stlname="Normal" w:val="Normal"/>
            </w:pPr>
            <w:r>
              <w:t>3.92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18.30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6">
        <w:r>
          <w:rPr>
            <w:rStyle w:val="VerbatimChar"/>
          </w:rPr>
          <w:t xml:space="preserve">flextable</w:t>
        </w:r>
      </w:hyperlink>
      <w:r>
        <w:t xml:space="preserve"> </w:t>
      </w:r>
      <w:r>
        <w:t xml:space="preserve">package provides additional formatting flexibility when exporting to Word (Table</w:t>
      </w:r>
      <w:r>
        <w:t xml:space="preserve"> </w:t>
      </w:r>
      <w:hyperlink w:anchor="mtcarsflex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mtcarsflex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false"/>
        </w:rPr>
        <w:t xml:space="preserve">Table  </w:t>
      </w:r>
      <w:bookmarkStart w:id="92e65bf2-9dcd-42cb-a8e2-5685efae3061" w:name="mtcarsflex"/>
      <w:r>
        <w:rPr>
          <w:rFonts/>
          <w:b w:val="false"/>
        </w:rPr>
        <w:fldChar w:fldCharType="begin" w:dirty="true"/>
      </w:r>
      <w:r>
        <w:rPr>
          <w:rFonts/>
          <w:b w:val="false"/>
        </w:rPr>
        <w:instrText xml:space="preserve" w:dirty="true">SEQ tab \* Arabic</w:instrText>
      </w:r>
      <w:r>
        <w:rPr>
          <w:rFonts/>
          <w:b w:val="false"/>
        </w:rPr>
        <w:fldChar w:fldCharType="end" w:dirty="true"/>
      </w:r>
      <w:bookmarkEnd w:id="92e65bf2-9dcd-42cb-a8e2-5685efae3061"/>
      <w:r>
        <w:rPr>
          <w:rFonts/>
          <w:b w:val="false"/>
        </w:rPr>
        <w:t xml:space="preserve">.  </w:t>
      </w:r>
      <w:r>
        <w:t xml:space="preserve">flextable formatted table.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bookmarkEnd w:id="27"/>
    <w:bookmarkStart w:id="28" w:name="figures"/>
    <w:p>
      <w:pPr>
        <w:pStyle w:val="Heading1"/>
      </w:pPr>
      <w:r>
        <w:t xml:space="preserve">Figures</w:t>
      </w:r>
    </w:p>
    <w:p>
      <w:pPr>
        <w:pStyle w:val="FirstParagraph"/>
      </w:pPr>
      <w:r>
        <w:t xml:space="preserve">We can embed and cross-reference plots (Figure</w:t>
      </w:r>
      <w:r>
        <w:t xml:space="preserve"> </w:t>
      </w:r>
      <w:hyperlink w:anchor="states">
        <w:r xmlns:w14="http://schemas.microsoft.com/office/word/2010/wordml">
          <w:rPr/>
          <w:fldChar w:fldCharType="begin" w:dirty="true"/>
        </w:r>
        <w:r xmlns:w14="http://schemas.microsoft.com/office/word/2010/wordml">
          <w:rPr/>
          <w:instrText xml:space="preserve" w:dirty="true"> REF states \h</w:instrText>
        </w:r>
        <w:r xmlns:w14="http://schemas.microsoft.com/office/word/2010/wordml">
          <w:rPr/>
          <w:fldChar w:fldCharType="end" w:dirty="true"/>
        </w:r>
      </w:hyperlink>
      <w:r>
        <w:t xml:space="preserve">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1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93954f24-1595-4930-9fd5-1bfcc851f108" w:name="state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93954f24-1595-4930-9fd5-1bfcc851f108"/>
      <w:r>
        <w:rPr>
          <w:rFonts/>
          <w:b w:val="false"/>
        </w:rPr>
        <w:t xml:space="preserve">. </w:t>
      </w:r>
      <w:r>
        <w:t xml:space="preserve"> </w:t>
      </w:r>
      <w:r>
        <w:t xml:space="preserve">(A) Number of Lake TMDL documents per state in EPA regions 4 and 6 (January 2020 through December 2024; (B) Distinct lake assessment units covered by TMDLs per state in EPA regions 4 and 6 (January 2020 through December 2024.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3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1b1325a7-bffb-4436-8550-8f4fb18177d5" w:name="lakesize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1b1325a7-bffb-4436-8550-8f4fb18177d5"/>
      <w:r>
        <w:rPr>
          <w:rFonts/>
          <w:b w:val="false"/>
        </w:rPr>
        <w:t xml:space="preserve">. </w:t>
      </w:r>
      <w:r>
        <w:t xml:space="preserve"> </w:t>
      </w:r>
      <w:r>
        <w:t xml:space="preserve">(A) Histogram of lake surface area (acres) and (B) histogram of lake watershed area (acres).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2743200"/>
            <wp:docPr id="5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74f105dd-2a7e-4161-a9c8-ade955ca0c9f" w:name="param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74f105dd-2a7e-4161-a9c8-ade955ca0c9f"/>
      <w:r>
        <w:rPr>
          <w:rFonts/>
          <w:b w:val="false"/>
        </w:rPr>
        <w:t xml:space="preserve">. </w:t>
      </w:r>
      <w:r>
        <w:t xml:space="preserve"> </w:t>
      </w:r>
      <w:r>
        <w:t xml:space="preserve">(A) TMDL Allocation parameter frequency and (B) target parameter frequency.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p>
      <w:pPr>
        <w:sectPr w:officer="true">
          <w:type w:val="continuous"/>
          <w:cols/>
          <w:pgSz w:h="15840" w:w="12240"/>
          <w:pgMar w:bottom="1440" w:footer="720" w:gutter="0" w:header="720" w:left="1440" w:right="1440" w:top="1440"/>
        </w:sectPr>
      </w:pPr>
    </w:p>
    <w:p>
      <w:pPr>
        <w:jc w:val="center"/>
        <w:pStyle w:val="Normal"/>
      </w:pPr>
      <w:r>
        <w:rPr/>
        <w:drawing>
          <wp:inline distT="0" distB="0" distL="0" distR="0">
            <wp:extent cx="9144000" cy="4572000"/>
            <wp:docPr id="7" name="" descr="Alternative text for screen reader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ae8ae49d-f91f-4061-88b0-6c9204682b64" w:name="model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ae8ae49d-f91f-4061-88b0-6c9204682b64"/>
      <w:r>
        <w:rPr>
          <w:rFonts/>
          <w:b w:val="false"/>
        </w:rPr>
        <w:t xml:space="preserve">. </w:t>
      </w:r>
      <w:r>
        <w:t xml:space="preserve">Models…</w:t>
      </w:r>
    </w:p>
    <w:bookmarkEnd w:id="28"/>
    <w:bookmarkStart w:id="29" w:name="landscape-section"/>
    <w:p>
      <w:pPr>
        <w:pStyle w:val="Heading1"/>
      </w:pPr>
      <w:r>
        <w:t xml:space="preserve">Landscape Section</w:t>
      </w:r>
    </w:p>
    <w:p>
      <w:pPr>
        <w:jc w:val="center"/>
        <w:pStyle w:val="Normal"/>
      </w:pPr>
      <w:r>
        <w:rPr/>
        <w:drawing>
          <wp:inline distT="0" distB="0" distL="0" distR="0">
            <wp:extent cx="54864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/>
          <w:b w:val="false"/>
        </w:rPr>
        <w:t xml:space="preserve">Figure </w:t>
      </w:r>
      <w:bookmarkStart w:id="aa714f3d-e590-421e-a53d-ab3c15a6bb21" w:name="sinus"/>
      <w:r xmlns:w14="http://schemas.microsoft.com/office/word/2010/wordml">
        <w:rPr>
          <w:rFonts/>
          <w:b w:val="false"/>
        </w:rPr>
        <w:fldChar w:fldCharType="begin" w:dirty="true"/>
      </w:r>
      <w:r xmlns:w14="http://schemas.microsoft.com/office/word/2010/wordml">
        <w:rPr>
          <w:rFonts/>
          <w:b w:val="false"/>
        </w:rPr>
        <w:instrText xml:space="preserve" w:dirty="true">SEQ fig \* Arabic</w:instrText>
      </w:r>
      <w:r xmlns:w14="http://schemas.microsoft.com/office/word/2010/wordml">
        <w:rPr>
          <w:rFonts/>
          <w:b w:val="false"/>
        </w:rPr>
        <w:fldChar w:fldCharType="end" w:dirty="true"/>
      </w:r>
      <w:bookmarkEnd w:id="aa714f3d-e590-421e-a53d-ab3c15a6bb21"/>
      <w:r>
        <w:rPr>
          <w:rFonts/>
          <w:b w:val="false"/>
        </w:rPr>
        <w:t xml:space="preserve">. </w:t>
      </w:r>
      <w:r>
        <w:t xml:space="preserve">sin function</w:t>
      </w:r>
    </w:p>
    <w:p>
      <w:pPr>
        <w:sectPr w:officer="true">
          <w:pgSz w:h="11906" w:w="16838" w:orient="landscape"/>
          <w:type w:val="oddPage"/>
          <w:cols/>
          <w:pgMar w:bottom="1440" w:footer="720" w:gutter="0" w:header="720" w:left="1440" w:right="1440" w:top="1440"/>
        </w:sectPr>
      </w:pPr>
    </w:p>
    <w:bookmarkEnd w:id="29"/>
    <w:bookmarkStart w:id="30" w:name="math"/>
    <w:p>
      <w:pPr>
        <w:pStyle w:val="Heading1"/>
      </w:pPr>
      <w:r>
        <w:t xml:space="preserve">Math</w:t>
      </w:r>
    </w:p>
    <w:p>
      <w:pPr>
        <w:pStyle w:val="FirstParagraph"/>
      </w:pPr>
      <w:r>
        <w:t xml:space="preserve">Wrap variables or math in a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to show math inline. For example,</w:t>
      </w:r>
      <w:r>
        <w:t xml:space="preserve"> </w:t>
      </w:r>
      <m:oMath>
        <m:r>
          <m:t>ε</m:t>
        </m:r>
        <m:r>
          <m:rPr>
            <m:sty m:val="p"/>
          </m:rPr>
          <m:t>∼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Standalone equations are wrapped with</w:t>
      </w:r>
      <w:r>
        <w:t xml:space="preserve"> </w:t>
      </w:r>
      <w:r>
        <w:rPr>
          <w:rStyle w:val="VerbatimChar"/>
        </w:rPr>
        <w:t xml:space="preserve">$$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∏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["/>
              <m:endChr m:val="]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when</m:t>
          </m:r>
          <m:r>
            <m:t> 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&gt;</m:t>
          </m:r>
          <m:r>
            <m:t>0</m:t>
          </m:r>
        </m:oMath>
      </m:oMathPara>
    </w:p>
    <w:p>
      <w:pPr>
        <w:pStyle w:val="FirstParagraph"/>
      </w:pPr>
      <w:r>
        <w:t xml:space="preserve">If the equations need to be numbered and cross-referenced the format as: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/>
      </w:r>
      <w:r>
        <w:rPr>
          <w:rStyle w:val="SpecialCharTok"/>
        </w:rPr>
        <w:t xml:space="preserve">\left</w:t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\prod</w:t>
      </w:r>
      <w:r>
        <w:rPr>
          <w:rStyle w:val="SpecialStringTok"/>
        </w:rPr>
        <w:t xml:space="preserve">_{i=1}^{n}y_i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)^{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{1}{n}} = </w:t>
      </w:r>
      <w:r>
        <w:rPr>
          <w:rStyle w:val="SpecialCharTok"/>
        </w:rPr>
        <w:t xml:space="preserve">\exp\left</w:t>
      </w:r>
      <w:r>
        <w:rPr>
          <w:rStyle w:val="SpecialStringTok"/>
        </w:rPr>
        <w:t xml:space="preserve">[</w:t>
      </w:r>
      <w:r>
        <w:rPr>
          <w:rStyle w:val="SpecialCharTok"/>
        </w:rPr>
        <w:t xml:space="preserve">\frac</w:t>
      </w:r>
      <w:r>
        <w:rPr>
          <w:rStyle w:val="SpecialStringTok"/>
        </w:rPr>
        <w:t xml:space="preserve">{1}{n}</w:t>
      </w:r>
      <w:r>
        <w:rPr>
          <w:rStyle w:val="SpecialCharTok"/>
        </w:rPr>
        <w:t xml:space="preserve">\sum</w:t>
      </w:r>
      <w:r>
        <w:rPr>
          <w:rStyle w:val="SpecialStringTok"/>
        </w:rPr>
        <w:t xml:space="preserve">_{i=1}^n</w:t>
      </w:r>
      <w:r>
        <w:rPr>
          <w:rStyle w:val="SpecialCharTok"/>
        </w:rPr>
        <w:t xml:space="preserve">\log</w:t>
      </w:r>
      <w:r>
        <w:rPr>
          <w:rStyle w:val="SpecialStringTok"/>
        </w:rPr>
        <w:t xml:space="preserve">{y_i}</w:t>
      </w:r>
      <w:r>
        <w:rPr>
          <w:rStyle w:val="SpecialCharTok"/>
        </w:rPr>
        <w:t xml:space="preserve">\right</w:t>
      </w:r>
      <w:r>
        <w:rPr>
          <w:rStyle w:val="SpecialStringTok"/>
        </w:rPr>
        <w:t xml:space="preserve">],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\textrm</w:t>
      </w:r>
      <w:r>
        <w:rPr>
          <w:rStyle w:val="NormalTok"/>
        </w:rPr>
        <w:t xml:space="preserve">{when}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\quad</w:t>
      </w:r>
      <w:r>
        <w:rPr>
          <w:rStyle w:val="SpecialStringTok"/>
        </w:rPr>
        <w:t xml:space="preserve"> y_1, y_2, ..., y_n &gt; 0</w:t>
      </w:r>
      <w:r>
        <w:br/>
      </w:r>
      <w:r>
        <w:rPr>
          <w:rStyle w:val="SpecialStringTok"/>
        </w:rPr>
        <w:t xml:space="preserve">(</w:t>
      </w:r>
      <w:r>
        <w:rPr>
          <w:rStyle w:val="SpecialCharTok"/>
        </w:rPr>
        <w:t xml:space="preserve">\#</w:t>
      </w:r>
      <w:r>
        <w:rPr>
          <w:rStyle w:val="SpecialStringTok"/>
        </w:rPr>
        <w:t xml:space="preserve">eq:gmean)</w:t>
      </w:r>
      <w:r>
        <w:br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renders as (Equation @ref(eq:gmean):</w:t>
      </w:r>
    </w:p>
    <w:p>
      <w:pPr>
        <w:pStyle w:val="BodyText"/>
      </w:pPr>
    </w:p>
    <w:bookmarkEnd w:id="30"/>
    <w:bookmarkStart w:id="31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In-text references and bibliography generation are handled automatically. It relies on creating a bibtex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 with your references. Software such as Zotero, Mendely, and even Google Scholar can generate the bibtex entries for you. The entries are stored in the</w:t>
      </w:r>
      <w:r>
        <w:t xml:space="preserve"> </w:t>
      </w:r>
      <w:r>
        <w:rPr>
          <w:rStyle w:val="VerbatimChar"/>
        </w:rPr>
        <w:t xml:space="preserve">bibliography.bib</w:t>
      </w:r>
      <w:r>
        <w:t xml:space="preserve"> </w:t>
      </w:r>
      <w:r>
        <w:t xml:space="preserve">file inside the same directory as this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To make a in text citation, use the following syntax,</w:t>
      </w:r>
      <w:r>
        <w:t xml:space="preserve"> </w:t>
      </w:r>
      <w:r>
        <w:rPr>
          <w:rStyle w:val="VerbatimChar"/>
        </w:rPr>
        <w:t xml:space="preserve">[@helsel_statistical_2002]</w:t>
      </w:r>
      <w:r>
        <w:t xml:space="preserve"> </w:t>
      </w:r>
      <w:r>
        <w:t xml:space="preserve">to generate the reference at the end of this sentence</w:t>
      </w:r>
      <w:r>
        <w:t xml:space="preserve"> </w:t>
      </w:r>
      <w:r>
        <w:t xml:space="preserve">(Helsel and Hirsch 2002)</w:t>
      </w:r>
      <w:r>
        <w:t xml:space="preserve">. Use a semicolon to include multiple references</w:t>
      </w:r>
      <w:r>
        <w:t xml:space="preserve"> </w:t>
      </w:r>
      <w:r>
        <w:rPr>
          <w:rStyle w:val="VerbatimChar"/>
        </w:rPr>
        <w:t xml:space="preserve">[@helsel_statistical_2002; @hirsch2010weighted]</w:t>
      </w:r>
      <w:r>
        <w:t xml:space="preserve"> </w:t>
      </w:r>
      <w:r>
        <w:t xml:space="preserve">(Helsel and Hirsch 2002; Hirsch et al. 2010)</w:t>
      </w:r>
      <w:r>
        <w:t xml:space="preserve">. Or we might use</w:t>
      </w:r>
      <w:r>
        <w:t xml:space="preserve"> </w:t>
      </w:r>
      <w:r>
        <w:rPr>
          <w:rStyle w:val="VerbatimChar"/>
        </w:rPr>
        <w:t xml:space="preserve">@helsel_statistical_2002</w:t>
      </w:r>
      <w:r>
        <w:t xml:space="preserve"> </w:t>
      </w:r>
      <w:r>
        <w:t xml:space="preserve">without brackets to indicate</w:t>
      </w:r>
      <w:r>
        <w:t xml:space="preserve"> </w:t>
      </w:r>
      <w:r>
        <w:t xml:space="preserve">Helsel and Hirsch (2002)</w:t>
      </w:r>
      <w:r>
        <w:t xml:space="preserve"> </w:t>
      </w:r>
      <w:r>
        <w:t xml:space="preserve">provide a fundamental overview of water quality statistics. The bibliography will populate automatically.</w:t>
      </w:r>
    </w:p>
    <w:bookmarkEnd w:id="31"/>
    <w:bookmarkStart w:id="33" w:name="styling-and-fonts"/>
    <w:p>
      <w:pPr>
        <w:pStyle w:val="Heading1"/>
      </w:pPr>
      <w:r>
        <w:t xml:space="preserve">Styling and fonts</w:t>
      </w:r>
    </w:p>
    <w:p>
      <w:pPr>
        <w:pStyle w:val="FirstParagraph"/>
      </w:pPr>
      <w:r>
        <w:t xml:space="preserve">This template uses Minion Pro for body fonts and Open Sans for headings following TWRI brand guidance and AgriLife brand guidance. I can’t bundle Minion Pro in this package because of licensing, but you can download and install both fonts from AgriLife (</w:t>
      </w:r>
      <w:hyperlink r:id="rId32">
        <w:r>
          <w:rPr>
            <w:rStyle w:val="Hyperlink"/>
          </w:rPr>
          <w:t xml:space="preserve">https://agrilife.tamu.edu/wp-content/uploads/2021/03/AgriFonts.zip</w:t>
        </w:r>
      </w:hyperlink>
      <w:r>
        <w:t xml:space="preserve">). I recommend downloading and installing the fonts before knitting your documents. Note that Minion Pro won’t</w:t>
      </w:r>
      <w:r>
        <w:t xml:space="preserve"> </w:t>
      </w:r>
      <w:r>
        <w:t xml:space="preserve">“</w:t>
      </w:r>
      <w:r>
        <w:t xml:space="preserve">embed</w:t>
      </w:r>
      <w:r>
        <w:t xml:space="preserve">”</w:t>
      </w:r>
      <w:r>
        <w:t xml:space="preserve"> </w:t>
      </w:r>
      <w:r>
        <w:t xml:space="preserve">in Word documents because it is an OTF style font and currently Word only embeds TTF fonts. That means collaborators without the font installed on their system will see a different serif font on their system in Word. Once exported to pdf, both OTF and TTF fonts should be embedded correctly.</w:t>
      </w:r>
    </w:p>
    <w:bookmarkEnd w:id="33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5" w:name="ref-helsel_statistical_2002"/>
    <w:p>
      <w:pPr>
        <w:pStyle w:val="Bibliography"/>
      </w:pPr>
      <w:r>
        <w:t xml:space="preserve">Helsel D, Hirsch R. 2002. Statistical methods in water resources. U.S. Geological Survey (Techniques of water-resources investigations of the</w:t>
      </w:r>
      <w:r>
        <w:t xml:space="preserve"> </w:t>
      </w:r>
      <w:r>
        <w:t xml:space="preserve">United States Geologic Survey</w:t>
      </w:r>
      <w:r>
        <w:t xml:space="preserve">).</w:t>
      </w:r>
      <w:r>
        <w:t xml:space="preserve"> </w:t>
      </w:r>
      <w:hyperlink r:id="rId34">
        <w:r>
          <w:rPr>
            <w:rStyle w:val="Hyperlink"/>
          </w:rPr>
          <w:t xml:space="preserve">http://water.usgs.gov/pubs/twri/twri4a3/</w:t>
        </w:r>
      </w:hyperlink>
      <w:r>
        <w:t xml:space="preserve">.</w:t>
      </w:r>
    </w:p>
    <w:bookmarkEnd w:id="35"/>
    <w:bookmarkStart w:id="37" w:name="ref-hirsch2010weighted"/>
    <w:p>
      <w:pPr>
        <w:pStyle w:val="Bibliography"/>
      </w:pPr>
      <w:r>
        <w:t xml:space="preserve">Hirsch RM, Moyer DL, Archfield SA. 2010. Weighted regressions on time, discharge, and season</w:t>
      </w:r>
      <w:r>
        <w:t xml:space="preserve"> </w:t>
      </w:r>
      <w:r>
        <w:t xml:space="preserve">(WRTDS)</w:t>
      </w:r>
      <w:r>
        <w:t xml:space="preserve">, with an application to</w:t>
      </w:r>
      <w:r>
        <w:t xml:space="preserve"> </w:t>
      </w:r>
      <w:r>
        <w:t xml:space="preserve">Chesapeake</w:t>
      </w:r>
      <w:r>
        <w:t xml:space="preserve"> </w:t>
      </w:r>
      <w:r>
        <w:t xml:space="preserve">Bay</w:t>
      </w:r>
      <w:r>
        <w:t xml:space="preserve"> </w:t>
      </w:r>
      <w:r>
        <w:t xml:space="preserve">river inputs. JAWRA Journal of the American Water Resources Association. 46(5):857–880. doi:</w:t>
      </w:r>
      <w:hyperlink r:id="rId36">
        <w:r>
          <w:rPr>
            <w:rStyle w:val="Hyperlink"/>
          </w:rPr>
          <w:t xml:space="preserve">10.1111/j.1752-1688.2010.00482.x</w:t>
        </w:r>
      </w:hyperlink>
      <w:r>
        <w:t xml:space="preserve">.</w:t>
      </w:r>
    </w:p>
    <w:bookmarkEnd w:id="37"/>
    <w:bookmarkEnd w:id="38"/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39"/>
    <w:bookmarkStart w:id="40" w:name="appendix-a"/>
    <w:p>
      <w:pPr>
        <w:pStyle w:val="Heading1"/>
      </w:pPr>
      <w:r>
        <w:t xml:space="preserve">Appendix A</w:t>
      </w:r>
    </w:p>
    <w:p>
      <w:pPr>
        <w:pStyle w:val="FirstParagraph"/>
      </w:pPr>
      <w:r>
        <w:t xml:space="preserve">You can add more info, tables, and figures here.</w:t>
      </w:r>
    </w:p>
    <w:p>
      <w:pPr>
        <w:sectPr w:officer="true">
          <w:type w:val="nextPage"/>
          <w:cols/>
          <w:pgSz w:h="15840" w:w="12240"/>
          <w:pgMar w:bottom="1440" w:footer="720" w:gutter="0" w:header="720" w:left="1440" w:right="1440" w:top="1440"/>
        </w:sectPr>
      </w:pPr>
    </w:p>
    <w:bookmarkEnd w:id="40"/>
    <w:sectPr w:rsidR="00AA63F6" w:rsidSect="00B040DC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imson Pro">
    <w:panose1 w:val="00000000000000000000"/>
    <w:charset w:val="00"/>
    <w:family w:val="auto"/>
    <w:pitch w:val="variable"/>
    <w:sig w:usb0="A00000FF" w:usb1="5000E04B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7142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A07AC" w14:textId="01ED6CAB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002B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172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DC806" w14:textId="7D542DCE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F8E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5941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0DA66" w14:textId="4596C807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9B905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4359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9A0BF" w14:textId="77777777" w:rsidR="00000000" w:rsidRDefault="00000000">
        <w:pPr>
          <w:pStyle w:val="Footer"/>
          <w:jc w:val="center"/>
        </w:pPr>
      </w:p>
    </w:sdtContent>
  </w:sdt>
  <w:p w14:paraId="68489F11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44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EF0E2" w14:textId="77777777" w:rsidR="00000000" w:rsidRDefault="00000000">
        <w:pPr>
          <w:pStyle w:val="Footer"/>
          <w:jc w:val="center"/>
        </w:pPr>
      </w:p>
    </w:sdtContent>
  </w:sdt>
  <w:p w14:paraId="1B5BF98D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96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797FF" w14:textId="336CC59C" w:rsidR="00B760BE" w:rsidRDefault="00B760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DDAAF5" w14:textId="77777777" w:rsidR="00000000" w:rsidRDefault="00000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FC873C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96A8F3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B0A670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7B8E35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584650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3BACD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70353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2834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6B6D6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37E724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AD12FF4"/>
    <w:multiLevelType w:val="multilevel"/>
    <w:tmpl w:val="04090027"/>
    <w:lvl w:ilvl="0">
      <w:start w:val="1"/>
      <w:numFmt w:val="upperRoman"/>
      <w:lvlText w:val="%1."/>
      <w:lvlJc w:val="left"/>
      <w:pPr>
        <w:ind w:firstLine="0" w:left="0"/>
      </w:pPr>
    </w:lvl>
    <w:lvl w:ilvl="1">
      <w:start w:val="1"/>
      <w:numFmt w:val="upperLetter"/>
      <w:lvlText w:val="%2."/>
      <w:lvlJc w:val="left"/>
      <w:pPr>
        <w:ind w:firstLine="0" w:left="720"/>
      </w:pPr>
    </w:lvl>
    <w:lvl w:ilvl="2">
      <w:start w:val="1"/>
      <w:numFmt w:val="decimal"/>
      <w:lvlText w:val="%3."/>
      <w:lvlJc w:val="left"/>
      <w:pPr>
        <w:ind w:firstLine="0" w:left="1440"/>
      </w:pPr>
    </w:lvl>
    <w:lvl w:ilvl="3">
      <w:start w:val="1"/>
      <w:numFmt w:val="lowerLetter"/>
      <w:lvlText w:val="%4)"/>
      <w:lvlJc w:val="left"/>
      <w:pPr>
        <w:ind w:firstLine="0" w:left="2160"/>
      </w:pPr>
    </w:lvl>
    <w:lvl w:ilvl="4">
      <w:start w:val="1"/>
      <w:numFmt w:val="decimal"/>
      <w:lvlText w:val="(%5)"/>
      <w:lvlJc w:val="left"/>
      <w:pPr>
        <w:ind w:firstLine="0" w:left="2880"/>
      </w:pPr>
    </w:lvl>
    <w:lvl w:ilvl="5">
      <w:start w:val="1"/>
      <w:numFmt w:val="lowerLetter"/>
      <w:lvlText w:val="(%6)"/>
      <w:lvlJc w:val="left"/>
      <w:pPr>
        <w:ind w:firstLine="0" w:left="3600"/>
      </w:pPr>
    </w:lvl>
    <w:lvl w:ilvl="6">
      <w:start w:val="1"/>
      <w:numFmt w:val="lowerRoman"/>
      <w:lvlText w:val="(%7)"/>
      <w:lvlJc w:val="left"/>
      <w:pPr>
        <w:ind w:firstLine="0" w:left="4320"/>
      </w:pPr>
    </w:lvl>
    <w:lvl w:ilvl="7">
      <w:start w:val="1"/>
      <w:numFmt w:val="lowerLetter"/>
      <w:lvlText w:val="(%8)"/>
      <w:lvlJc w:val="left"/>
      <w:pPr>
        <w:ind w:firstLine="0" w:left="5040"/>
      </w:pPr>
    </w:lvl>
    <w:lvl w:ilvl="8">
      <w:start w:val="1"/>
      <w:numFmt w:val="lowerRoman"/>
      <w:lvlText w:val="(%9)"/>
      <w:lvlJc w:val="left"/>
      <w:pPr>
        <w:ind w:firstLine="0" w:left="5760"/>
      </w:pPr>
    </w:lvl>
  </w:abstractNum>
  <w:abstractNum w15:restartNumberingAfterBreak="0" w:abstractNumId="11">
    <w:nsid w:val="2C1AE401"/>
    <w:multiLevelType w:val="multilevel"/>
    <w:tmpl w:val="CB96CA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116266A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5FB72FC8"/>
    <w:multiLevelType w:val="multilevel"/>
    <w:tmpl w:val="8FB2029A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43150220" w:numId="1">
    <w:abstractNumId w:val="11"/>
  </w:num>
  <w:num w16cid:durableId="117139594" w:numId="2">
    <w:abstractNumId w:val="9"/>
  </w:num>
  <w:num w16cid:durableId="736705222" w:numId="3">
    <w:abstractNumId w:val="7"/>
  </w:num>
  <w:num w16cid:durableId="196238904" w:numId="4">
    <w:abstractNumId w:val="6"/>
  </w:num>
  <w:num w16cid:durableId="1189371399" w:numId="5">
    <w:abstractNumId w:val="5"/>
  </w:num>
  <w:num w16cid:durableId="1995142281" w:numId="6">
    <w:abstractNumId w:val="4"/>
  </w:num>
  <w:num w16cid:durableId="369769184" w:numId="7">
    <w:abstractNumId w:val="8"/>
  </w:num>
  <w:num w16cid:durableId="569391640" w:numId="8">
    <w:abstractNumId w:val="3"/>
  </w:num>
  <w:num w16cid:durableId="634724324" w:numId="9">
    <w:abstractNumId w:val="2"/>
  </w:num>
  <w:num w16cid:durableId="1705908430" w:numId="10">
    <w:abstractNumId w:val="1"/>
  </w:num>
  <w:num w16cid:durableId="330523897" w:numId="11">
    <w:abstractNumId w:val="0"/>
  </w:num>
  <w:num w16cid:durableId="1640840214" w:numId="12">
    <w:abstractNumId w:val="11"/>
  </w:num>
  <w:num w16cid:durableId="92020356" w:numId="13">
    <w:abstractNumId w:val="11"/>
  </w:num>
  <w:num w16cid:durableId="660737553" w:numId="14">
    <w:abstractNumId w:val="12"/>
  </w:num>
  <w:num w16cid:durableId="1774083381" w:numId="15">
    <w:abstractNumId w:val="13"/>
  </w:num>
  <w:num w16cid:durableId="1418865867" w:numId="16">
    <w:abstractNumId w:val="10"/>
  </w:num>
  <w:num w16cid:durableId="714815457" w:numId="17">
    <w:abstractNumId w:val="11"/>
  </w:num>
  <w:num w16cid:durableId="247889415" w:numId="18">
    <w:abstractNumId w:val="11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05D87"/>
  </w:style>
  <w:style w:styleId="Heading1" w:type="paragraph">
    <w:name w:val="heading 1"/>
    <w:basedOn w:val="Normal"/>
    <w:next w:val="BodyText"/>
    <w:uiPriority w:val="9"/>
    <w:qFormat/>
    <w:rsid w:val="00B760BE"/>
    <w:pPr>
      <w:keepNext/>
      <w:keepLines/>
      <w:spacing w:after="0" w:before="480"/>
      <w:outlineLvl w:val="0"/>
    </w:pPr>
    <w:rPr>
      <w:rFonts w:ascii="Open Sans Semibold" w:cstheme="majorBidi" w:eastAsiaTheme="majorEastAsia" w:hAnsi="Open Sans Semibold"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B760BE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Cs/>
      <w:sz w:val="20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C634D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rsid w:val="00C634D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E65F74"/>
    <w:pPr>
      <w:spacing w:after="180" w:before="180" w:line="288" w:lineRule="auto"/>
    </w:pPr>
  </w:style>
  <w:style w:customStyle="1" w:styleId="FirstParagraph" w:type="paragraph">
    <w:name w:val="First Paragraph"/>
    <w:basedOn w:val="BodyText"/>
    <w:next w:val="BodyText"/>
    <w:qFormat/>
    <w:rsid w:val="00E65F74"/>
  </w:style>
  <w:style w:customStyle="1" w:styleId="Compact" w:type="paragraph">
    <w:name w:val="Compact"/>
    <w:basedOn w:val="BodyText"/>
    <w:qFormat/>
    <w:rsid w:val="00E65F74"/>
    <w:pPr>
      <w:spacing w:after="36" w:before="36" w:line="240" w:lineRule="auto"/>
    </w:pPr>
    <w:rPr>
      <w:sz w:val="20"/>
    </w:rPr>
  </w:style>
  <w:style w:styleId="Title" w:type="paragraph">
    <w:name w:val="Title"/>
    <w:basedOn w:val="Normal"/>
    <w:next w:val="BodyText"/>
    <w:qFormat/>
    <w:rsid w:val="00B760BE"/>
    <w:pPr>
      <w:keepNext/>
      <w:keepLines/>
      <w:spacing w:after="240" w:before="480"/>
      <w:jc w:val="center"/>
    </w:pPr>
    <w:rPr>
      <w:rFonts w:ascii="Open Sans Semibold" w:cstheme="majorBidi" w:eastAsiaTheme="majorEastAsia" w:hAnsi="Open Sans Semibold"/>
      <w:bCs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05D87"/>
    <w:pPr>
      <w:keepNext/>
      <w:keepLines/>
      <w:spacing w:after="0"/>
    </w:pPr>
  </w:style>
  <w:style w:styleId="Date" w:type="paragraph">
    <w:name w:val="Date"/>
    <w:next w:val="BodyText"/>
    <w:qFormat/>
    <w:rsid w:val="00D05D87"/>
    <w:pPr>
      <w:keepNext/>
      <w:keepLines/>
    </w:pPr>
  </w:style>
  <w:style w:customStyle="1" w:styleId="Abstract" w:type="paragraph">
    <w:name w:val="Abstract"/>
    <w:basedOn w:val="Normal"/>
    <w:next w:val="BodyText"/>
    <w:qFormat/>
    <w:rsid w:val="00B040DC"/>
    <w:pPr>
      <w:keepNext/>
      <w:keepLines/>
      <w:spacing w:after="300" w:before="300"/>
    </w:pPr>
    <w:rPr>
      <w:sz w:val="22"/>
      <w:szCs w:val="20"/>
    </w:rPr>
  </w:style>
  <w:style w:styleId="Bibliography" w:type="paragraph">
    <w:name w:val="Bibliography"/>
    <w:basedOn w:val="Normal"/>
    <w:qFormat/>
    <w:rsid w:val="00B040DC"/>
    <w:pPr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B040DC"/>
    <w:pPr>
      <w:spacing w:after="0"/>
    </w:pPr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26631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Caption"/>
    <w:rsid w:val="00926631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unhideWhenUsed/>
    <w:rsid w:val="00394FF1"/>
    <w:rPr>
      <w:rFonts w:ascii="Arial" w:hAnsi="Arial"/>
      <w:sz w:val="20"/>
    </w:rPr>
  </w:style>
  <w:style w:customStyle="1" w:styleId="BodyTextChar" w:type="character">
    <w:name w:val="Body Text Char"/>
    <w:basedOn w:val="DefaultParagraphFont"/>
    <w:link w:val="BodyText"/>
    <w:rsid w:val="00E65F74"/>
    <w:rPr>
      <w:rFonts w:ascii="EB Garamond" w:hAnsi="EB Garamond"/>
    </w:rPr>
  </w:style>
  <w:style w:styleId="Header" w:type="paragraph">
    <w:name w:val="header"/>
    <w:basedOn w:val="Normal"/>
    <w:link w:val="HeaderChar"/>
    <w:unhideWhenUsed/>
    <w:rsid w:val="00437DBF"/>
    <w:pPr>
      <w:tabs>
        <w:tab w:pos="4680" w:val="center"/>
        <w:tab w:pos="9360" w:val="right"/>
      </w:tabs>
      <w:spacing w:after="0"/>
    </w:pPr>
    <w:rPr>
      <w:sz w:val="20"/>
    </w:rPr>
  </w:style>
  <w:style w:customStyle="1" w:styleId="HeaderChar" w:type="character">
    <w:name w:val="Header Char"/>
    <w:basedOn w:val="DefaultParagraphFont"/>
    <w:link w:val="Header"/>
    <w:rsid w:val="00437DBF"/>
    <w:rPr>
      <w:rFonts w:ascii="EB Garamond" w:hAnsi="EB Garamond"/>
      <w:sz w:val="20"/>
    </w:rPr>
  </w:style>
  <w:style w:styleId="Footer" w:type="paragraph">
    <w:name w:val="footer"/>
    <w:basedOn w:val="Normal"/>
    <w:link w:val="FooterChar"/>
    <w:uiPriority w:val="99"/>
    <w:unhideWhenUsed/>
    <w:rsid w:val="00B760BE"/>
    <w:pPr>
      <w:tabs>
        <w:tab w:pos="4680" w:val="center"/>
        <w:tab w:pos="9360" w:val="right"/>
      </w:tabs>
      <w:spacing w:after="0"/>
    </w:pPr>
    <w:rPr>
      <w:rFonts w:asciiTheme="majorHAnsi" w:hAnsiTheme="majorHAnsi"/>
      <w:sz w:val="18"/>
    </w:rPr>
  </w:style>
  <w:style w:customStyle="1" w:styleId="FooterChar" w:type="character">
    <w:name w:val="Footer Char"/>
    <w:basedOn w:val="DefaultParagraphFont"/>
    <w:link w:val="Footer"/>
    <w:uiPriority w:val="99"/>
    <w:rsid w:val="00B760BE"/>
    <w:rPr>
      <w:rFonts w:asciiTheme="majorHAnsi" w:hAnsiTheme="majorHAnsi"/>
      <w:sz w:val="18"/>
    </w:rPr>
  </w:style>
  <w:style w:styleId="PlaceholderText" w:type="character">
    <w:name w:val="Placeholder Text"/>
    <w:basedOn w:val="DefaultParagraphFont"/>
    <w:semiHidden/>
    <w:rsid w:val="00CA4C83"/>
    <w:rPr>
      <w:color w:val="808080"/>
    </w:rPr>
  </w:style>
  <w:style w:styleId="TOC1" w:type="paragraph">
    <w:name w:val="toc 1"/>
    <w:basedOn w:val="Normal"/>
    <w:next w:val="Normal"/>
    <w:autoRedefine/>
    <w:uiPriority w:val="39"/>
    <w:unhideWhenUsed/>
    <w:rsid w:val="00D46F3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D46F3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6F37"/>
    <w:pPr>
      <w:spacing w:after="100"/>
      <w:ind w:left="480"/>
    </w:pPr>
  </w:style>
  <w:style w:customStyle="1" w:styleId="UnnumberedHeading1" w:type="paragraph">
    <w:name w:val="Unnumbered Heading 1"/>
    <w:basedOn w:val="Heading1"/>
    <w:qFormat/>
    <w:rsid w:val="00D265C5"/>
  </w:style>
  <w:style w:styleId="TableofFigures" w:type="paragraph">
    <w:name w:val="table of figures"/>
    <w:basedOn w:val="Normal"/>
    <w:next w:val="Normal"/>
    <w:uiPriority w:val="99"/>
    <w:unhideWhenUsed/>
    <w:rsid w:val="004D0D4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4.xml"/>
<Relationship Id="rId11" Type="http://schemas.openxmlformats.org/officeDocument/2006/relationships/footer" Target="footer3.xml"/>
<Relationship Id="rId12" Type="http://schemas.openxmlformats.org/officeDocument/2006/relationships/footer" Target="footer6.xml"/>
<Relationship Id="rId13" Type="http://schemas.openxmlformats.org/officeDocument/2006/relationships/footer" Target="footer2.xml"/>
<Relationship Id="rId14" Type="http://schemas.openxmlformats.org/officeDocument/2006/relationships/footer" Target="footer5.xml"/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Relationship Id="rId37" Type="http://schemas.openxmlformats.org/officeDocument/2006/relationships/image" Target="media/2641787dfd931d7f8184769124049737b4537149.png"/>
<Relationship Id="rId38" Type="http://schemas.openxmlformats.org/officeDocument/2006/relationships/image" Target="media/8a41458b45d4b0332236d344f55c17eaeb691985.png"/>
<Relationship Id="rId39" Type="http://schemas.openxmlformats.org/officeDocument/2006/relationships/image" Target="media/e5ac82ba46b27174bf8a7360b0a2d15d438f1221.png"/>
<Relationship Id="rId40" Type="http://schemas.openxmlformats.org/officeDocument/2006/relationships/image" Target="media/5dc1cfe84297b654a878fa867626067327d984aa.png"/>
<Relationship Id="rId41" Type="http://schemas.openxmlformats.org/officeDocument/2006/relationships/image" Target="media/6bc6b9053fa6fac83bcaf5915c593266ec06674e.png"/>
</Relationships>

</file>

<file path=word/_rels/footnotes.xml.rels><?xml version="1.0" encoding="UTF-8" standalone="yes"?>

<Relationships  xmlns="http://schemas.openxmlformats.org/package/2006/relationships">
<Relationship Id="rId34" Type="http://schemas.openxmlformats.org/officeDocument/2006/relationships/hyperlink" Target="http://water.usgs.gov/pubs/twri/twri4a3/" TargetMode="External"/>
<Relationship Id="rId32" Type="http://schemas.openxmlformats.org/officeDocument/2006/relationships/hyperlink" Target="https://agrilife.tamu.edu/wp-content/uploads/2021/03/AgriFonts.zip" TargetMode="External"/>
<Relationship Id="rId26" Type="http://schemas.openxmlformats.org/officeDocument/2006/relationships/hyperlink" Target="https://davidgohel.github.io/flextable/" TargetMode="External"/>
<Relationship Id="rId36" Type="http://schemas.openxmlformats.org/officeDocument/2006/relationships/hyperlink" Target="https://doi.org/10.1111/j.1752-1688.2010.00482.x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WRI">
      <a:majorFont>
        <a:latin typeface="Century Gothic"/>
        <a:ea typeface=""/>
        <a:cs typeface=""/>
      </a:majorFont>
      <a:minorFont>
        <a:latin typeface="Crimson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Maximum Daily Loads and Escherichia coli trends in Texas freshwater streams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Synthesis of Lake TMDL Approaches in EPA Regions 4 and 6</dc:title>
  <dc:creator>Michael Schramm 1, Lucas Gregory 2; 1 Research Specialist, Texas Water Resources Institute, Texas A&amp;M AgriLife Research; 2 Associate Director, Texas Water Resources Institute, Texas A&amp;M AgriLife Research</dc:creator>
  <cp:keywords/>
  <dcterms:created xsi:type="dcterms:W3CDTF">2025-05-09T17:43:57Z</dcterms:created>
  <dcterms:modified xsi:type="dcterms:W3CDTF">2025-05-09T13:43:58Z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council-of-science-editors-author-date.csl</vt:lpwstr>
  </property>
  <property fmtid="{D5CDD505-2E9C-101B-9397-08002B2CF9AE}" pid="4" name="date">
    <vt:lpwstr>April 1, 2021</vt:lpwstr>
  </property>
  <property fmtid="{D5CDD505-2E9C-101B-9397-08002B2CF9AE}" pid="5" name="output">
    <vt:lpwstr/>
  </property>
</Properties>
</file>