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4E70" w14:textId="77777777" w:rsidR="00E80F9C" w:rsidRDefault="00000000">
      <w:pPr>
        <w:pStyle w:val="Title"/>
      </w:pPr>
      <w:r>
        <w:t>Assessing linkages between watershed nutrient loading and water quality in a subtropical estuary with semiparametric models.</w:t>
      </w:r>
    </w:p>
    <w:p w14:paraId="3C78220A" w14:textId="77777777" w:rsidR="00E80F9C" w:rsidRDefault="00000000">
      <w:pPr>
        <w:pStyle w:val="FirstParagraph"/>
      </w:pPr>
      <w:r>
        <w:t>Michael Schramm</w:t>
      </w:r>
      <w:r>
        <w:rPr>
          <w:vertAlign w:val="superscript"/>
        </w:rPr>
        <w:t>1,*</w:t>
      </w:r>
    </w:p>
    <w:p w14:paraId="67BE9D24" w14:textId="77777777" w:rsidR="00E80F9C" w:rsidRDefault="00000000">
      <w:pPr>
        <w:pStyle w:val="BodyText"/>
      </w:pPr>
      <w:r>
        <w:t>1. Texas A&amp;M AgriLife Research, Texas Water Resources Institute, College Station, Texas, United States of America</w:t>
      </w:r>
    </w:p>
    <w:p w14:paraId="169F612C" w14:textId="4947842E" w:rsidR="00E80F9C" w:rsidRDefault="00000000">
      <w:pPr>
        <w:pStyle w:val="BodyText"/>
      </w:pPr>
      <w:r>
        <w:t>* Corresponding Author</w:t>
      </w:r>
      <w:r>
        <w:br/>
        <w:t>Email:</w:t>
      </w:r>
      <w:hyperlink r:id="rId7">
        <w:r>
          <w:rPr>
            <w:rStyle w:val="Hyperlink"/>
          </w:rPr>
          <w:t>michael.schramm@ag.tamu.edu</w:t>
        </w:r>
      </w:hyperlink>
      <w:r>
        <w:t xml:space="preserve"> (M</w:t>
      </w:r>
      <w:r w:rsidR="00505742">
        <w:t>S</w:t>
      </w:r>
      <w:r>
        <w:t>)</w:t>
      </w:r>
    </w:p>
    <w:p w14:paraId="7B5F8875" w14:textId="77777777" w:rsidR="00E80F9C" w:rsidRDefault="00000000">
      <w:pPr>
        <w:pStyle w:val="Heading1"/>
      </w:pPr>
      <w:bookmarkStart w:id="0" w:name="abstract"/>
      <w:r>
        <w:t>Abstract</w:t>
      </w:r>
    </w:p>
    <w:p w14:paraId="1B02E88B" w14:textId="77777777" w:rsidR="00E80F9C" w:rsidRDefault="00000000">
      <w:pPr>
        <w:pStyle w:val="FirstParagraph"/>
      </w:pPr>
      <w:r>
        <w:t>Lavaca Bay is a small secondary embayment on the Texas coast that is displaying early signals of water quality degradation. This study applied a semiparametric approach to assess both watershed nutrient loads and the responses in estuary water quality to nutrient loading and streamflow. Cross-validation indicated that, despite data constraints, semiparametric models performed well at nutrient load prediction. Based on these models, delivered annual nutrient loads varied substantially from year to year. In contrast, minimal changes in calculated flow-normalized loads indicate that changes in nutrient loading were driven by natural variation in precipitation and runoff as opposed to changes in discharge or nonpoint source management efforts. Models did not identify significant long-term changes within Lavaca Bay for dissolved oxygen or chlorophyll-</w:t>
      </w:r>
      <w:r>
        <w:rPr>
          <w:i/>
          <w:iCs/>
        </w:rPr>
        <w:t>a</w:t>
      </w:r>
      <w:r>
        <w:t>. However, site specific long-term increases in both organic and inorganic nitrogen are concerning. Further analysis found freshwater inflow was a strong driver of nutrient and chlorophyll-</w:t>
      </w:r>
      <w:r>
        <w:rPr>
          <w:i/>
          <w:iCs/>
        </w:rPr>
        <w:t>a</w:t>
      </w:r>
      <w:r>
        <w:t xml:space="preserve"> concentrations within Lavaca Bay but there was no evidence that </w:t>
      </w:r>
      <w:r>
        <w:lastRenderedPageBreak/>
        <w:t>changes in nutrient loading explained variation in dissolved oxygen or chlorophyll-</w:t>
      </w:r>
      <w:r>
        <w:rPr>
          <w:i/>
          <w:iCs/>
        </w:rPr>
        <w:t>a</w:t>
      </w:r>
      <w:r>
        <w:t xml:space="preserve"> concentrations. In addition to providing a baseline assessment of watershed nutrient loading and water quality responses in the Lavaca Bay watershed, this study provides methodological support for the use of semiparametric methods in load regression models and estuary assessments.</w:t>
      </w:r>
    </w:p>
    <w:p w14:paraId="599FCFAC" w14:textId="77777777" w:rsidR="00E80F9C" w:rsidRDefault="00000000">
      <w:pPr>
        <w:pStyle w:val="Heading1"/>
      </w:pPr>
      <w:bookmarkStart w:id="1" w:name="introduction"/>
      <w:bookmarkEnd w:id="0"/>
      <w:r>
        <w:t>Introduction</w:t>
      </w:r>
    </w:p>
    <w:p w14:paraId="62EED5A5" w14:textId="77777777" w:rsidR="00E80F9C" w:rsidRDefault="00000000">
      <w:pPr>
        <w:pStyle w:val="FirstParagraph"/>
      </w:pPr>
      <w:r>
        <w:t>Like many coastal areas globally, the coastal watersheds along the Texas Gulf coast are facing pressures from increasing population, increases in point source and non-point source pollution and alterations to freshwater flows that degrade water quality in downstream estuaries [1–3]. Despite these increasing pressures, national scale assessments have classified coastal estuaries in Texas as moderate or lower for exhibiting eutrophic conditions [1]. However, a suite of recent studies indicate that estuary water quality dynamics in both agriculturally dominated and urban watersheds within Texas are in fact expressing conditions that are increasingly conducive to algal blooms and eutrophication [3–6]. With identification of localized areas of estuary water quality concern along the Texas coast [3], localized studies are being prioritized to better inform management actions.</w:t>
      </w:r>
    </w:p>
    <w:p w14:paraId="7F8704D0" w14:textId="77777777" w:rsidR="00E80F9C" w:rsidRDefault="00000000">
      <w:pPr>
        <w:pStyle w:val="BodyText"/>
      </w:pPr>
      <w:r>
        <w:t xml:space="preserve">This project provides an assessment of nutrient loading and water quality responses in Lavaca Bay, Texas. Lavaca Bay is a secondary bay in the larger Matagorda Bay system located roughly halfway between Houston, Texas and Corpus Christi, Texas. Lavaca Bay faces substantial challenges associated with legacy contamination but general water quality parameters such as dissolved oxygen (DO), nutrients, and biological parameters have been well within state water quality standards. However, long-term declines of benthic fauna abundance, biomass, and diversity in Lavaca Bay primarily linked to reductions in freshwater inflows and changes in </w:t>
      </w:r>
      <w:r>
        <w:lastRenderedPageBreak/>
        <w:t>estuary salinity [7–9] are a concern to local stakeholders. Recent water quality assessments identified monotonic increases in total phosphorus (TP), orthophosphate, total Kjeldahl nitrogen (TKN), and chlorophyll-</w:t>
      </w:r>
      <w:r>
        <w:rPr>
          <w:i/>
          <w:iCs/>
        </w:rPr>
        <w:t>a</w:t>
      </w:r>
      <w:r>
        <w:t xml:space="preserve"> at sites within Lavaca Bay [3]. Although long-term changes in DO concentrations were not identified, the trends in nutrient concentrations are concerning due to the role of nitrogen as a limiting factor for primary production in many Texas estuaries [5,10–13] and the ramifications that changes in nitrogen loadings could have for productivity and eutrophication in Lavaca Bay.</w:t>
      </w:r>
    </w:p>
    <w:p w14:paraId="79D092A6" w14:textId="77777777" w:rsidR="00E80F9C" w:rsidRDefault="00000000">
      <w:pPr>
        <w:pStyle w:val="BodyText"/>
      </w:pPr>
      <w:r>
        <w:t>There are ongoing efforts between local, state, and federal agencies to address water quality impairments in the freshwater portions of the Lavaca Bay watershed [14–16]. However, at a statewide scale, these approaches have shown limited success and emphasize a need for improved efforts at assessing and linking management actions with downstream water quality to better identify and replicate effective management actions across the state [17]. The identification and communication of changes and trends in water quality is complicated by the fact that trends are often non-linear and confounded by precipitation and runoff that hinder traditional analysis [18,19]. To provide actionable information for resource managers, water quality conditions must be evaluated relative to changes in natural environmental drivers to better understand and manage potential anthropogenic effects. This study utilizes semiparemetric methods to develop estimates of delivered and flow-normalized nutrient loads and assess changes in loads delivered to Lavaca Bay. The study also assesses the response of water quality parameters in Lavaca Bay over time and in response to freshwater inflow controlled for seasonality and to watershed nutrient loads that are controlled for environmentally driven variation.</w:t>
      </w:r>
    </w:p>
    <w:p w14:paraId="5196EA82" w14:textId="77777777" w:rsidR="00E80F9C" w:rsidRDefault="00000000">
      <w:pPr>
        <w:pStyle w:val="Heading1"/>
      </w:pPr>
      <w:bookmarkStart w:id="2" w:name="materials-and-methods"/>
      <w:bookmarkEnd w:id="1"/>
      <w:r>
        <w:lastRenderedPageBreak/>
        <w:t>Materials and Methods</w:t>
      </w:r>
    </w:p>
    <w:p w14:paraId="25AF4EFA" w14:textId="77777777" w:rsidR="00E80F9C" w:rsidRDefault="00000000">
      <w:pPr>
        <w:pStyle w:val="Heading2"/>
      </w:pPr>
      <w:bookmarkStart w:id="3" w:name="study-area-and-data"/>
      <w:r>
        <w:t>Study Area and Data</w:t>
      </w:r>
    </w:p>
    <w:p w14:paraId="517586D0" w14:textId="77777777" w:rsidR="00E80F9C" w:rsidRDefault="00000000">
      <w:pPr>
        <w:pStyle w:val="FirstParagraph"/>
      </w:pPr>
      <w:r>
        <w:t>Lavaca Bay is 190 km</w:t>
      </w:r>
      <w:r>
        <w:rPr>
          <w:vertAlign w:val="superscript"/>
        </w:rPr>
        <w:t>2</w:t>
      </w:r>
      <w:r>
        <w:t xml:space="preserve"> with the majority of freshwater inflow provided by the Lavaca and Navidad River systems (Fig 1). The Garcitas-Arenosa, Placedo Creek, and Cox Bay watersheds provide additional freshwater inflows. The entire watershed land area is 8,149 km</w:t>
      </w:r>
      <w:r>
        <w:rPr>
          <w:vertAlign w:val="superscript"/>
        </w:rPr>
        <w:t>2</w:t>
      </w:r>
      <w:r>
        <w:t xml:space="preserve"> and primarily rural. Watershed land cover and land use is 50% grazed pasture and rangeland, 20% cultivated cropland (primarily rows crops such as corn, cotton, and sorghum), and 5% suburban/urban. Pasture and rangeland is concentrated in the Lavaca River watershed, while cultivated crops are generally located along the eastern tributaries of the Navidad river. The Lavaca and Navidad River watersheds are a combined 5,966 km</w:t>
      </w:r>
      <w:r>
        <w:rPr>
          <w:vertAlign w:val="superscript"/>
        </w:rPr>
        <w:t>2</w:t>
      </w:r>
      <w:r>
        <w:t>, or approximately 73% of the entire Lavaca Bay watershed area. Discharge from the Navidad River is regulated by Lake Texana which has been in operation since 1980. Lake Texana provides 0.210 km</w:t>
      </w:r>
      <w:r>
        <w:rPr>
          <w:vertAlign w:val="superscript"/>
        </w:rPr>
        <w:t>3</w:t>
      </w:r>
      <w:r>
        <w:t xml:space="preserve"> of water storage and discharges into the tidal section of the Navidad River which ultimately joins the tidal section of the Lavaca River 15 km upstream of the confluence with the Lavaca Bay.</w:t>
      </w:r>
    </w:p>
    <w:tbl>
      <w:tblPr>
        <w:tblStyle w:val="Table"/>
        <w:tblW w:w="5000" w:type="pct"/>
        <w:tblLook w:val="0000" w:firstRow="0" w:lastRow="0" w:firstColumn="0" w:lastColumn="0" w:noHBand="0" w:noVBand="0"/>
      </w:tblPr>
      <w:tblGrid>
        <w:gridCol w:w="9360"/>
      </w:tblGrid>
      <w:tr w:rsidR="00E80F9C" w14:paraId="27475EBA" w14:textId="77777777">
        <w:tc>
          <w:tcPr>
            <w:tcW w:w="0" w:type="auto"/>
          </w:tcPr>
          <w:p w14:paraId="24C1CA08" w14:textId="1D82F5BF" w:rsidR="00E80F9C" w:rsidRDefault="00E80F9C">
            <w:pPr>
              <w:pStyle w:val="Figure"/>
              <w:jc w:val="center"/>
            </w:pPr>
            <w:bookmarkStart w:id="4" w:name="fig-fig1"/>
          </w:p>
          <w:p w14:paraId="39706109" w14:textId="77777777" w:rsidR="00E80F9C" w:rsidRDefault="00000000">
            <w:pPr>
              <w:pStyle w:val="ImageCaption"/>
              <w:spacing w:before="200"/>
              <w:jc w:val="left"/>
            </w:pPr>
            <w:r w:rsidRPr="00FB0257">
              <w:rPr>
                <w:b/>
                <w:bCs/>
              </w:rPr>
              <w:t>Figure 1. Map of Lavaca Bay and the contribution watershed</w:t>
            </w:r>
            <w:r>
              <w:t>. The freshwater sites are the most downstream freshwater stream locations with water quality and streamflow data used for nutrient load models. Water quality concentration data at the three Lavaca Bay sites were used to assess relationships between freshwater flows, loads and estuary water quality.</w:t>
            </w:r>
          </w:p>
        </w:tc>
        <w:bookmarkEnd w:id="4"/>
      </w:tr>
    </w:tbl>
    <w:p w14:paraId="7809D1D8" w14:textId="77777777" w:rsidR="00E80F9C" w:rsidRDefault="00000000">
      <w:pPr>
        <w:pStyle w:val="BodyText"/>
      </w:pPr>
      <w:r>
        <w:t xml:space="preserve">Daily discharges for the Lavaca River (USGS-08164000, Fig 1) were obtained from the United States Geologic Survey (USGS) National Water Information System using the </w:t>
      </w:r>
      <w:r>
        <w:rPr>
          <w:i/>
          <w:iCs/>
        </w:rPr>
        <w:t>dataRetrieval</w:t>
      </w:r>
      <w:r>
        <w:t xml:space="preserve"> R package [20]. Gaged daily discharges from the outlet of Lake Texana on the Navidad River (USGS-0816425) were provided by the Texas Water Development Board (TWDB) (April 21, 2022 email from R. Neupane, TWDB).</w:t>
      </w:r>
    </w:p>
    <w:p w14:paraId="2BC4483A" w14:textId="77777777" w:rsidR="00E80F9C" w:rsidRDefault="00000000">
      <w:pPr>
        <w:pStyle w:val="BodyText"/>
      </w:pPr>
      <w:r>
        <w:lastRenderedPageBreak/>
        <w:t>Water quality sample data for the two freshwater and three estuary locations were obtained from the Texas Commission on Environmental Quality (TCEQ) Surface Water Quality Monitoring Information System. Data submitted through the system are required to be collected under Quality Assurance Project Plans and lab method procedures outlined by the TCEQ’s procedures manual. The QAPP and procedures manuals ensure the consistent collection and laboratory methods are applied between samples collected by different entities and under different projects. All sites had varying lengths of and availability of data. For freshwater locations, TP from January 2000 through December 2020 and nitrate-nitrogen (NO</w:t>
      </w:r>
      <w:r>
        <w:rPr>
          <w:vertAlign w:val="subscript"/>
        </w:rPr>
        <w:t>3</w:t>
      </w:r>
      <w:r>
        <w:t>) data from January 2005 through December 2020 were downloaded (Table 1). Less than 5-years of total nitrogen and TKN concentration data were available at the freshwater sites and deemed insufficient to develop load estimation models [21,22]. The three estuary sites included an upper Lavaca Bay site near the outlet of the Lavaca River system (TCEQ-13563), a mid-Lavaca Bay site (TCEQ-13383), and the lower Lavaca Bay site near the mouth of the Bay (TCEQ-13384). For estuary locations, we obtained data for TP, Nitrite+Nitrate (NO</w:t>
      </w:r>
      <w:r>
        <w:rPr>
          <w:i/>
          <w:iCs/>
          <w:vertAlign w:val="subscript"/>
        </w:rPr>
        <w:t>x</w:t>
      </w:r>
      <w:r>
        <w:t>), TKN, chlorophyll-</w:t>
      </w:r>
      <w:r>
        <w:rPr>
          <w:i/>
          <w:iCs/>
        </w:rPr>
        <w:t>a</w:t>
      </w:r>
      <w:r>
        <w:t>, and DO concentrations from January 2005 through December 2020 (Table 2).</w:t>
      </w:r>
    </w:p>
    <w:p w14:paraId="24139D2F" w14:textId="77777777" w:rsidR="00E80F9C" w:rsidRPr="00FB0257" w:rsidRDefault="00000000">
      <w:pPr>
        <w:pStyle w:val="TableCaption"/>
        <w:rPr>
          <w:b/>
          <w:bCs/>
        </w:rPr>
      </w:pPr>
      <w:bookmarkStart w:id="5" w:name="tbl-table1"/>
      <w:r w:rsidRPr="00FB0257">
        <w:rPr>
          <w:b/>
          <w:bCs/>
        </w:rPr>
        <w:t>Table 1. Summary of gauged streamflow and freshwater water quality samples between January 1, 2000 and December 31, 2020.</w:t>
      </w:r>
    </w:p>
    <w:tbl>
      <w:tblPr>
        <w:tblStyle w:val="Table"/>
        <w:tblW w:w="0" w:type="auto"/>
        <w:tblLook w:val="0020" w:firstRow="1" w:lastRow="0" w:firstColumn="0" w:lastColumn="0" w:noHBand="0" w:noVBand="0"/>
        <w:tblCaption w:val="Table 1. Summary of gauged streamflow and freshwater water quality samples between January 1, 2000 and December 31, 2020."/>
      </w:tblPr>
      <w:tblGrid>
        <w:gridCol w:w="2430"/>
        <w:gridCol w:w="3472"/>
        <w:gridCol w:w="828"/>
        <w:gridCol w:w="939"/>
        <w:gridCol w:w="661"/>
      </w:tblGrid>
      <w:tr w:rsidR="00E80F9C" w:rsidRPr="00FB0257" w14:paraId="64A82434" w14:textId="77777777" w:rsidTr="00915C8D">
        <w:trPr>
          <w:tblHeader/>
        </w:trPr>
        <w:tc>
          <w:tcPr>
            <w:tcW w:w="2430" w:type="dxa"/>
            <w:tcBorders>
              <w:top w:val="single" w:sz="4" w:space="0" w:color="auto"/>
              <w:bottom w:val="single" w:sz="4" w:space="0" w:color="auto"/>
            </w:tcBorders>
            <w:vAlign w:val="center"/>
          </w:tcPr>
          <w:p w14:paraId="1F81CBD3" w14:textId="77777777" w:rsidR="00E80F9C" w:rsidRPr="00FB0257" w:rsidRDefault="00000000" w:rsidP="00915C8D">
            <w:pPr>
              <w:pStyle w:val="Compact"/>
              <w:rPr>
                <w:rFonts w:ascii="Arial" w:hAnsi="Arial" w:cs="Arial"/>
                <w:b/>
                <w:bCs/>
              </w:rPr>
            </w:pPr>
            <w:r w:rsidRPr="00FB0257">
              <w:rPr>
                <w:rFonts w:ascii="Arial" w:hAnsi="Arial" w:cs="Arial"/>
                <w:b/>
                <w:bCs/>
              </w:rPr>
              <w:t> Station ID</w:t>
            </w:r>
          </w:p>
        </w:tc>
        <w:tc>
          <w:tcPr>
            <w:tcW w:w="3472" w:type="dxa"/>
            <w:tcBorders>
              <w:top w:val="single" w:sz="4" w:space="0" w:color="auto"/>
              <w:bottom w:val="single" w:sz="4" w:space="0" w:color="auto"/>
            </w:tcBorders>
            <w:vAlign w:val="center"/>
          </w:tcPr>
          <w:p w14:paraId="51751686" w14:textId="510932A3" w:rsidR="00E80F9C" w:rsidRPr="00FB0257" w:rsidRDefault="00BF0BD2" w:rsidP="00915C8D">
            <w:pPr>
              <w:pStyle w:val="Compact"/>
              <w:rPr>
                <w:rFonts w:ascii="Arial" w:hAnsi="Arial" w:cs="Arial"/>
                <w:b/>
                <w:bCs/>
              </w:rPr>
            </w:pPr>
            <w:r>
              <w:rPr>
                <w:rFonts w:ascii="Arial" w:hAnsi="Arial" w:cs="Arial"/>
                <w:b/>
                <w:bCs/>
              </w:rPr>
              <w:t>Parameter</w:t>
            </w:r>
          </w:p>
        </w:tc>
        <w:tc>
          <w:tcPr>
            <w:tcW w:w="0" w:type="auto"/>
            <w:tcBorders>
              <w:top w:val="single" w:sz="4" w:space="0" w:color="auto"/>
              <w:bottom w:val="single" w:sz="4" w:space="0" w:color="auto"/>
            </w:tcBorders>
            <w:vAlign w:val="center"/>
          </w:tcPr>
          <w:p w14:paraId="13EDE75A" w14:textId="77777777" w:rsidR="00E80F9C" w:rsidRPr="00FB0257" w:rsidRDefault="00000000" w:rsidP="00915C8D">
            <w:pPr>
              <w:pStyle w:val="Compact"/>
              <w:jc w:val="right"/>
              <w:rPr>
                <w:rFonts w:ascii="Arial" w:hAnsi="Arial" w:cs="Arial"/>
                <w:b/>
                <w:bCs/>
              </w:rPr>
            </w:pPr>
            <w:r w:rsidRPr="00FB0257">
              <w:rPr>
                <w:rFonts w:ascii="Arial" w:hAnsi="Arial" w:cs="Arial"/>
                <w:b/>
                <w:bCs/>
              </w:rPr>
              <w:t>Mean</w:t>
            </w:r>
          </w:p>
        </w:tc>
        <w:tc>
          <w:tcPr>
            <w:tcW w:w="0" w:type="auto"/>
            <w:tcBorders>
              <w:top w:val="single" w:sz="4" w:space="0" w:color="auto"/>
              <w:bottom w:val="single" w:sz="4" w:space="0" w:color="auto"/>
            </w:tcBorders>
            <w:vAlign w:val="center"/>
          </w:tcPr>
          <w:p w14:paraId="28D124EA" w14:textId="77777777" w:rsidR="00E80F9C" w:rsidRPr="00FB0257" w:rsidRDefault="00000000" w:rsidP="00915C8D">
            <w:pPr>
              <w:pStyle w:val="Compact"/>
              <w:jc w:val="right"/>
              <w:rPr>
                <w:rFonts w:ascii="Arial" w:hAnsi="Arial" w:cs="Arial"/>
                <w:b/>
                <w:bCs/>
              </w:rPr>
            </w:pPr>
            <w:r w:rsidRPr="00FB0257">
              <w:rPr>
                <w:rFonts w:ascii="Arial" w:hAnsi="Arial" w:cs="Arial"/>
                <w:b/>
                <w:bCs/>
              </w:rPr>
              <w:t>SD</w:t>
            </w:r>
          </w:p>
        </w:tc>
        <w:tc>
          <w:tcPr>
            <w:tcW w:w="0" w:type="auto"/>
            <w:tcBorders>
              <w:top w:val="single" w:sz="4" w:space="0" w:color="auto"/>
              <w:bottom w:val="single" w:sz="4" w:space="0" w:color="auto"/>
            </w:tcBorders>
            <w:vAlign w:val="center"/>
          </w:tcPr>
          <w:p w14:paraId="7A81E7D7" w14:textId="77777777" w:rsidR="00E80F9C" w:rsidRPr="00FB0257" w:rsidRDefault="00000000" w:rsidP="00915C8D">
            <w:pPr>
              <w:pStyle w:val="Compact"/>
              <w:jc w:val="right"/>
              <w:rPr>
                <w:rFonts w:ascii="Arial" w:hAnsi="Arial" w:cs="Arial"/>
                <w:b/>
                <w:bCs/>
              </w:rPr>
            </w:pPr>
            <w:r w:rsidRPr="00FB0257">
              <w:rPr>
                <w:rFonts w:ascii="Arial" w:hAnsi="Arial" w:cs="Arial"/>
                <w:b/>
                <w:bCs/>
              </w:rPr>
              <w:t>N</w:t>
            </w:r>
          </w:p>
        </w:tc>
      </w:tr>
      <w:tr w:rsidR="00BF0BD2" w14:paraId="7658EFB8" w14:textId="77777777" w:rsidTr="00915C8D">
        <w:tc>
          <w:tcPr>
            <w:tcW w:w="2430" w:type="dxa"/>
            <w:vMerge w:val="restart"/>
            <w:tcBorders>
              <w:top w:val="single" w:sz="4" w:space="0" w:color="auto"/>
            </w:tcBorders>
            <w:vAlign w:val="center"/>
          </w:tcPr>
          <w:p w14:paraId="2181DDE5" w14:textId="650D4386" w:rsidR="00BF0BD2" w:rsidRPr="00FB0257" w:rsidRDefault="00BF0BD2" w:rsidP="00915C8D">
            <w:pPr>
              <w:pStyle w:val="Compact"/>
              <w:rPr>
                <w:rFonts w:ascii="Arial" w:hAnsi="Arial" w:cs="Arial"/>
              </w:rPr>
            </w:pPr>
            <w:r w:rsidRPr="00FB0257">
              <w:rPr>
                <w:rFonts w:ascii="Arial" w:hAnsi="Arial" w:cs="Arial"/>
              </w:rPr>
              <w:t>USGS-08164000</w:t>
            </w:r>
            <w:r>
              <w:rPr>
                <w:rFonts w:ascii="Arial" w:hAnsi="Arial" w:cs="Arial"/>
              </w:rPr>
              <w:t xml:space="preserve"> (Lavaca River)</w:t>
            </w:r>
          </w:p>
        </w:tc>
        <w:tc>
          <w:tcPr>
            <w:tcW w:w="3472" w:type="dxa"/>
            <w:tcBorders>
              <w:top w:val="single" w:sz="4" w:space="0" w:color="auto"/>
            </w:tcBorders>
            <w:vAlign w:val="center"/>
          </w:tcPr>
          <w:p w14:paraId="0E2A6F77" w14:textId="77777777" w:rsidR="00BF0BD2" w:rsidRPr="00FB0257" w:rsidRDefault="00BF0BD2" w:rsidP="00915C8D">
            <w:pPr>
              <w:pStyle w:val="Compact"/>
              <w:rPr>
                <w:rFonts w:ascii="Arial" w:hAnsi="Arial" w:cs="Arial"/>
              </w:rPr>
            </w:pPr>
            <w:r w:rsidRPr="00FB0257">
              <w:rPr>
                <w:rFonts w:ascii="Arial" w:hAnsi="Arial" w:cs="Arial"/>
              </w:rPr>
              <w:t>TP (mg/L)</w:t>
            </w:r>
          </w:p>
        </w:tc>
        <w:tc>
          <w:tcPr>
            <w:tcW w:w="0" w:type="auto"/>
            <w:tcBorders>
              <w:top w:val="single" w:sz="4" w:space="0" w:color="auto"/>
            </w:tcBorders>
            <w:vAlign w:val="center"/>
          </w:tcPr>
          <w:p w14:paraId="0D02D078" w14:textId="77777777" w:rsidR="00BF0BD2" w:rsidRPr="00FB0257" w:rsidRDefault="00BF0BD2" w:rsidP="00915C8D">
            <w:pPr>
              <w:pStyle w:val="Compact"/>
              <w:jc w:val="right"/>
              <w:rPr>
                <w:rFonts w:ascii="Arial" w:hAnsi="Arial" w:cs="Arial"/>
              </w:rPr>
            </w:pPr>
            <w:r w:rsidRPr="00FB0257">
              <w:rPr>
                <w:rFonts w:ascii="Arial" w:hAnsi="Arial" w:cs="Arial"/>
              </w:rPr>
              <w:t>0.21</w:t>
            </w:r>
          </w:p>
        </w:tc>
        <w:tc>
          <w:tcPr>
            <w:tcW w:w="0" w:type="auto"/>
            <w:tcBorders>
              <w:top w:val="single" w:sz="4" w:space="0" w:color="auto"/>
            </w:tcBorders>
            <w:vAlign w:val="center"/>
          </w:tcPr>
          <w:p w14:paraId="400453D3" w14:textId="77777777" w:rsidR="00BF0BD2" w:rsidRPr="00FB0257" w:rsidRDefault="00BF0BD2" w:rsidP="00915C8D">
            <w:pPr>
              <w:pStyle w:val="Compact"/>
              <w:jc w:val="right"/>
              <w:rPr>
                <w:rFonts w:ascii="Arial" w:hAnsi="Arial" w:cs="Arial"/>
              </w:rPr>
            </w:pPr>
            <w:r w:rsidRPr="00FB0257">
              <w:rPr>
                <w:rFonts w:ascii="Arial" w:hAnsi="Arial" w:cs="Arial"/>
              </w:rPr>
              <w:t>0.09</w:t>
            </w:r>
          </w:p>
        </w:tc>
        <w:tc>
          <w:tcPr>
            <w:tcW w:w="0" w:type="auto"/>
            <w:tcBorders>
              <w:top w:val="single" w:sz="4" w:space="0" w:color="auto"/>
            </w:tcBorders>
            <w:vAlign w:val="center"/>
          </w:tcPr>
          <w:p w14:paraId="0110A364" w14:textId="77777777" w:rsidR="00BF0BD2" w:rsidRPr="00FB0257" w:rsidRDefault="00BF0BD2" w:rsidP="00915C8D">
            <w:pPr>
              <w:pStyle w:val="Compact"/>
              <w:jc w:val="right"/>
              <w:rPr>
                <w:rFonts w:ascii="Arial" w:hAnsi="Arial" w:cs="Arial"/>
              </w:rPr>
            </w:pPr>
            <w:r w:rsidRPr="00FB0257">
              <w:rPr>
                <w:rFonts w:ascii="Arial" w:hAnsi="Arial" w:cs="Arial"/>
              </w:rPr>
              <w:t>80</w:t>
            </w:r>
          </w:p>
        </w:tc>
      </w:tr>
      <w:tr w:rsidR="00BF0BD2" w14:paraId="4116AAF0" w14:textId="77777777" w:rsidTr="00915C8D">
        <w:tc>
          <w:tcPr>
            <w:tcW w:w="2430" w:type="dxa"/>
            <w:vMerge/>
            <w:vAlign w:val="center"/>
          </w:tcPr>
          <w:p w14:paraId="4CF14F1E" w14:textId="77777777" w:rsidR="00BF0BD2" w:rsidRPr="00FB0257" w:rsidRDefault="00BF0BD2" w:rsidP="00915C8D">
            <w:pPr>
              <w:pStyle w:val="Compact"/>
              <w:rPr>
                <w:rFonts w:ascii="Arial" w:hAnsi="Arial" w:cs="Arial"/>
              </w:rPr>
            </w:pPr>
          </w:p>
        </w:tc>
        <w:tc>
          <w:tcPr>
            <w:tcW w:w="3472" w:type="dxa"/>
            <w:vAlign w:val="center"/>
          </w:tcPr>
          <w:p w14:paraId="60751F38" w14:textId="77777777" w:rsidR="00BF0BD2" w:rsidRPr="00FB0257" w:rsidRDefault="00BF0BD2" w:rsidP="00915C8D">
            <w:pPr>
              <w:pStyle w:val="Compact"/>
              <w:rPr>
                <w:rFonts w:ascii="Arial" w:hAnsi="Arial" w:cs="Arial"/>
              </w:rPr>
            </w:pPr>
            <w:r w:rsidRPr="00FB0257">
              <w:rPr>
                <w:rFonts w:ascii="Arial" w:hAnsi="Arial" w:cs="Arial"/>
              </w:rPr>
              <w:t>NO</w:t>
            </w:r>
            <w:r w:rsidRPr="00BF0BD2">
              <w:rPr>
                <w:rFonts w:ascii="Arial" w:hAnsi="Arial" w:cs="Arial"/>
                <w:vertAlign w:val="subscript"/>
              </w:rPr>
              <w:t>3</w:t>
            </w:r>
            <w:r w:rsidRPr="00FB0257">
              <w:rPr>
                <w:rFonts w:ascii="Arial" w:hAnsi="Arial" w:cs="Arial"/>
              </w:rPr>
              <w:t xml:space="preserve"> (mg/L)</w:t>
            </w:r>
          </w:p>
        </w:tc>
        <w:tc>
          <w:tcPr>
            <w:tcW w:w="0" w:type="auto"/>
            <w:vAlign w:val="center"/>
          </w:tcPr>
          <w:p w14:paraId="083B81B6" w14:textId="77777777" w:rsidR="00BF0BD2" w:rsidRPr="00FB0257" w:rsidRDefault="00BF0BD2" w:rsidP="00915C8D">
            <w:pPr>
              <w:pStyle w:val="Compact"/>
              <w:jc w:val="right"/>
              <w:rPr>
                <w:rFonts w:ascii="Arial" w:hAnsi="Arial" w:cs="Arial"/>
              </w:rPr>
            </w:pPr>
            <w:r w:rsidRPr="00FB0257">
              <w:rPr>
                <w:rFonts w:ascii="Arial" w:hAnsi="Arial" w:cs="Arial"/>
              </w:rPr>
              <w:t>0.18</w:t>
            </w:r>
          </w:p>
        </w:tc>
        <w:tc>
          <w:tcPr>
            <w:tcW w:w="0" w:type="auto"/>
            <w:vAlign w:val="center"/>
          </w:tcPr>
          <w:p w14:paraId="6DEBD8D7" w14:textId="77777777" w:rsidR="00BF0BD2" w:rsidRPr="00FB0257" w:rsidRDefault="00BF0BD2" w:rsidP="00915C8D">
            <w:pPr>
              <w:pStyle w:val="Compact"/>
              <w:jc w:val="right"/>
              <w:rPr>
                <w:rFonts w:ascii="Arial" w:hAnsi="Arial" w:cs="Arial"/>
              </w:rPr>
            </w:pPr>
            <w:r w:rsidRPr="00FB0257">
              <w:rPr>
                <w:rFonts w:ascii="Arial" w:hAnsi="Arial" w:cs="Arial"/>
              </w:rPr>
              <w:t>0.24</w:t>
            </w:r>
          </w:p>
        </w:tc>
        <w:tc>
          <w:tcPr>
            <w:tcW w:w="0" w:type="auto"/>
            <w:vAlign w:val="center"/>
          </w:tcPr>
          <w:p w14:paraId="0BEA9304" w14:textId="77777777" w:rsidR="00BF0BD2" w:rsidRPr="00FB0257" w:rsidRDefault="00BF0BD2" w:rsidP="00915C8D">
            <w:pPr>
              <w:pStyle w:val="Compact"/>
              <w:jc w:val="right"/>
              <w:rPr>
                <w:rFonts w:ascii="Arial" w:hAnsi="Arial" w:cs="Arial"/>
              </w:rPr>
            </w:pPr>
            <w:r w:rsidRPr="00FB0257">
              <w:rPr>
                <w:rFonts w:ascii="Arial" w:hAnsi="Arial" w:cs="Arial"/>
              </w:rPr>
              <w:t>74</w:t>
            </w:r>
          </w:p>
        </w:tc>
      </w:tr>
      <w:tr w:rsidR="00BF0BD2" w14:paraId="6A27E7F3" w14:textId="77777777" w:rsidTr="00915C8D">
        <w:tc>
          <w:tcPr>
            <w:tcW w:w="2430" w:type="dxa"/>
            <w:vMerge/>
            <w:tcBorders>
              <w:bottom w:val="single" w:sz="4" w:space="0" w:color="auto"/>
            </w:tcBorders>
            <w:vAlign w:val="center"/>
          </w:tcPr>
          <w:p w14:paraId="1DA892A8" w14:textId="77777777" w:rsidR="00BF0BD2" w:rsidRPr="00FB0257" w:rsidRDefault="00BF0BD2" w:rsidP="00915C8D">
            <w:pPr>
              <w:pStyle w:val="Compact"/>
              <w:rPr>
                <w:rFonts w:ascii="Arial" w:hAnsi="Arial" w:cs="Arial"/>
              </w:rPr>
            </w:pPr>
          </w:p>
        </w:tc>
        <w:tc>
          <w:tcPr>
            <w:tcW w:w="3472" w:type="dxa"/>
            <w:tcBorders>
              <w:bottom w:val="single" w:sz="4" w:space="0" w:color="auto"/>
            </w:tcBorders>
            <w:vAlign w:val="center"/>
          </w:tcPr>
          <w:p w14:paraId="670EE5DC" w14:textId="77777777" w:rsidR="00BF0BD2" w:rsidRPr="00FB0257" w:rsidRDefault="00BF0BD2" w:rsidP="00915C8D">
            <w:pPr>
              <w:pStyle w:val="Compact"/>
              <w:rPr>
                <w:rFonts w:ascii="Arial" w:hAnsi="Arial" w:cs="Arial"/>
              </w:rPr>
            </w:pPr>
            <w:r w:rsidRPr="00FB0257">
              <w:rPr>
                <w:rFonts w:ascii="Arial" w:hAnsi="Arial" w:cs="Arial"/>
              </w:rPr>
              <w:t>Mean Daily Streamflow (cfs)</w:t>
            </w:r>
          </w:p>
        </w:tc>
        <w:tc>
          <w:tcPr>
            <w:tcW w:w="0" w:type="auto"/>
            <w:tcBorders>
              <w:bottom w:val="single" w:sz="4" w:space="0" w:color="auto"/>
            </w:tcBorders>
            <w:vAlign w:val="center"/>
          </w:tcPr>
          <w:p w14:paraId="419516EB" w14:textId="77777777" w:rsidR="00BF0BD2" w:rsidRPr="00FB0257" w:rsidRDefault="00BF0BD2" w:rsidP="00915C8D">
            <w:pPr>
              <w:pStyle w:val="Compact"/>
              <w:jc w:val="right"/>
              <w:rPr>
                <w:rFonts w:ascii="Arial" w:hAnsi="Arial" w:cs="Arial"/>
              </w:rPr>
            </w:pPr>
            <w:r w:rsidRPr="00FB0257">
              <w:rPr>
                <w:rFonts w:ascii="Arial" w:hAnsi="Arial" w:cs="Arial"/>
              </w:rPr>
              <w:t>332.78</w:t>
            </w:r>
          </w:p>
        </w:tc>
        <w:tc>
          <w:tcPr>
            <w:tcW w:w="0" w:type="auto"/>
            <w:tcBorders>
              <w:bottom w:val="single" w:sz="4" w:space="0" w:color="auto"/>
            </w:tcBorders>
            <w:vAlign w:val="center"/>
          </w:tcPr>
          <w:p w14:paraId="0F9D01BA" w14:textId="77777777" w:rsidR="00BF0BD2" w:rsidRPr="00FB0257" w:rsidRDefault="00BF0BD2" w:rsidP="00915C8D">
            <w:pPr>
              <w:pStyle w:val="Compact"/>
              <w:jc w:val="right"/>
              <w:rPr>
                <w:rFonts w:ascii="Arial" w:hAnsi="Arial" w:cs="Arial"/>
              </w:rPr>
            </w:pPr>
            <w:r w:rsidRPr="00FB0257">
              <w:rPr>
                <w:rFonts w:ascii="Arial" w:hAnsi="Arial" w:cs="Arial"/>
              </w:rPr>
              <w:t>1667.47</w:t>
            </w:r>
          </w:p>
        </w:tc>
        <w:tc>
          <w:tcPr>
            <w:tcW w:w="0" w:type="auto"/>
            <w:tcBorders>
              <w:bottom w:val="single" w:sz="4" w:space="0" w:color="auto"/>
            </w:tcBorders>
            <w:vAlign w:val="center"/>
          </w:tcPr>
          <w:p w14:paraId="1557F392" w14:textId="77777777" w:rsidR="00BF0BD2" w:rsidRPr="00FB0257" w:rsidRDefault="00BF0BD2" w:rsidP="00915C8D">
            <w:pPr>
              <w:pStyle w:val="Compact"/>
              <w:jc w:val="right"/>
              <w:rPr>
                <w:rFonts w:ascii="Arial" w:hAnsi="Arial" w:cs="Arial"/>
              </w:rPr>
            </w:pPr>
            <w:r w:rsidRPr="00FB0257">
              <w:rPr>
                <w:rFonts w:ascii="Arial" w:hAnsi="Arial" w:cs="Arial"/>
              </w:rPr>
              <w:t>7671</w:t>
            </w:r>
          </w:p>
        </w:tc>
      </w:tr>
      <w:tr w:rsidR="00BF0BD2" w14:paraId="53A8258E" w14:textId="77777777" w:rsidTr="00915C8D">
        <w:tc>
          <w:tcPr>
            <w:tcW w:w="2430" w:type="dxa"/>
            <w:vMerge w:val="restart"/>
            <w:tcBorders>
              <w:top w:val="single" w:sz="4" w:space="0" w:color="auto"/>
            </w:tcBorders>
            <w:vAlign w:val="center"/>
          </w:tcPr>
          <w:p w14:paraId="17FA5329" w14:textId="2E33EE0E" w:rsidR="00BF0BD2" w:rsidRPr="00FB0257" w:rsidRDefault="00BF0BD2" w:rsidP="00915C8D">
            <w:pPr>
              <w:pStyle w:val="Compact"/>
              <w:rPr>
                <w:rFonts w:ascii="Arial" w:hAnsi="Arial" w:cs="Arial"/>
              </w:rPr>
            </w:pPr>
            <w:r w:rsidRPr="00FB0257">
              <w:rPr>
                <w:rFonts w:ascii="Arial" w:hAnsi="Arial" w:cs="Arial"/>
              </w:rPr>
              <w:t>USGS-08164525</w:t>
            </w:r>
            <w:r>
              <w:rPr>
                <w:rFonts w:ascii="Arial" w:hAnsi="Arial" w:cs="Arial"/>
              </w:rPr>
              <w:t xml:space="preserve"> (Navidad River)</w:t>
            </w:r>
          </w:p>
        </w:tc>
        <w:tc>
          <w:tcPr>
            <w:tcW w:w="3472" w:type="dxa"/>
            <w:tcBorders>
              <w:top w:val="single" w:sz="4" w:space="0" w:color="auto"/>
            </w:tcBorders>
            <w:vAlign w:val="center"/>
          </w:tcPr>
          <w:p w14:paraId="7955055D" w14:textId="77777777" w:rsidR="00BF0BD2" w:rsidRPr="00FB0257" w:rsidRDefault="00BF0BD2" w:rsidP="00915C8D">
            <w:pPr>
              <w:pStyle w:val="Compact"/>
              <w:rPr>
                <w:rFonts w:ascii="Arial" w:hAnsi="Arial" w:cs="Arial"/>
              </w:rPr>
            </w:pPr>
            <w:r w:rsidRPr="00FB0257">
              <w:rPr>
                <w:rFonts w:ascii="Arial" w:hAnsi="Arial" w:cs="Arial"/>
              </w:rPr>
              <w:t>TP (mg/L)</w:t>
            </w:r>
          </w:p>
        </w:tc>
        <w:tc>
          <w:tcPr>
            <w:tcW w:w="0" w:type="auto"/>
            <w:tcBorders>
              <w:top w:val="single" w:sz="4" w:space="0" w:color="auto"/>
            </w:tcBorders>
            <w:vAlign w:val="center"/>
          </w:tcPr>
          <w:p w14:paraId="4DBBA6D6" w14:textId="77777777" w:rsidR="00BF0BD2" w:rsidRPr="00FB0257" w:rsidRDefault="00BF0BD2" w:rsidP="00915C8D">
            <w:pPr>
              <w:pStyle w:val="Compact"/>
              <w:jc w:val="right"/>
              <w:rPr>
                <w:rFonts w:ascii="Arial" w:hAnsi="Arial" w:cs="Arial"/>
              </w:rPr>
            </w:pPr>
            <w:r w:rsidRPr="00FB0257">
              <w:rPr>
                <w:rFonts w:ascii="Arial" w:hAnsi="Arial" w:cs="Arial"/>
              </w:rPr>
              <w:t>0.20</w:t>
            </w:r>
          </w:p>
        </w:tc>
        <w:tc>
          <w:tcPr>
            <w:tcW w:w="0" w:type="auto"/>
            <w:tcBorders>
              <w:top w:val="single" w:sz="4" w:space="0" w:color="auto"/>
            </w:tcBorders>
            <w:vAlign w:val="center"/>
          </w:tcPr>
          <w:p w14:paraId="32FC48DE" w14:textId="77777777" w:rsidR="00BF0BD2" w:rsidRPr="00FB0257" w:rsidRDefault="00BF0BD2" w:rsidP="00915C8D">
            <w:pPr>
              <w:pStyle w:val="Compact"/>
              <w:jc w:val="right"/>
              <w:rPr>
                <w:rFonts w:ascii="Arial" w:hAnsi="Arial" w:cs="Arial"/>
              </w:rPr>
            </w:pPr>
            <w:r w:rsidRPr="00FB0257">
              <w:rPr>
                <w:rFonts w:ascii="Arial" w:hAnsi="Arial" w:cs="Arial"/>
              </w:rPr>
              <w:t>0.08</w:t>
            </w:r>
          </w:p>
        </w:tc>
        <w:tc>
          <w:tcPr>
            <w:tcW w:w="0" w:type="auto"/>
            <w:tcBorders>
              <w:top w:val="single" w:sz="4" w:space="0" w:color="auto"/>
            </w:tcBorders>
            <w:vAlign w:val="center"/>
          </w:tcPr>
          <w:p w14:paraId="1384406C" w14:textId="77777777" w:rsidR="00BF0BD2" w:rsidRPr="00FB0257" w:rsidRDefault="00BF0BD2" w:rsidP="00915C8D">
            <w:pPr>
              <w:pStyle w:val="Compact"/>
              <w:jc w:val="right"/>
              <w:rPr>
                <w:rFonts w:ascii="Arial" w:hAnsi="Arial" w:cs="Arial"/>
              </w:rPr>
            </w:pPr>
            <w:r w:rsidRPr="00FB0257">
              <w:rPr>
                <w:rFonts w:ascii="Arial" w:hAnsi="Arial" w:cs="Arial"/>
              </w:rPr>
              <w:t>81</w:t>
            </w:r>
          </w:p>
        </w:tc>
      </w:tr>
      <w:tr w:rsidR="00BF0BD2" w14:paraId="3AAA6BDA" w14:textId="77777777" w:rsidTr="00915C8D">
        <w:tc>
          <w:tcPr>
            <w:tcW w:w="2430" w:type="dxa"/>
            <w:vMerge/>
            <w:vAlign w:val="center"/>
          </w:tcPr>
          <w:p w14:paraId="74B5ACDF" w14:textId="77777777" w:rsidR="00BF0BD2" w:rsidRPr="00FB0257" w:rsidRDefault="00BF0BD2" w:rsidP="00915C8D">
            <w:pPr>
              <w:pStyle w:val="Compact"/>
              <w:rPr>
                <w:rFonts w:ascii="Arial" w:hAnsi="Arial" w:cs="Arial"/>
              </w:rPr>
            </w:pPr>
          </w:p>
        </w:tc>
        <w:tc>
          <w:tcPr>
            <w:tcW w:w="3472" w:type="dxa"/>
            <w:vAlign w:val="center"/>
          </w:tcPr>
          <w:p w14:paraId="78B5E39D" w14:textId="77777777" w:rsidR="00BF0BD2" w:rsidRPr="00FB0257" w:rsidRDefault="00BF0BD2" w:rsidP="00915C8D">
            <w:pPr>
              <w:pStyle w:val="Compact"/>
              <w:rPr>
                <w:rFonts w:ascii="Arial" w:hAnsi="Arial" w:cs="Arial"/>
              </w:rPr>
            </w:pPr>
            <w:r w:rsidRPr="00FB0257">
              <w:rPr>
                <w:rFonts w:ascii="Arial" w:hAnsi="Arial" w:cs="Arial"/>
              </w:rPr>
              <w:t>NO</w:t>
            </w:r>
            <w:r w:rsidRPr="00BF0BD2">
              <w:rPr>
                <w:rFonts w:ascii="Arial" w:hAnsi="Arial" w:cs="Arial"/>
                <w:vertAlign w:val="subscript"/>
              </w:rPr>
              <w:t>3</w:t>
            </w:r>
            <w:r w:rsidRPr="00FB0257">
              <w:rPr>
                <w:rFonts w:ascii="Arial" w:hAnsi="Arial" w:cs="Arial"/>
              </w:rPr>
              <w:t xml:space="preserve"> (mg/L)</w:t>
            </w:r>
          </w:p>
        </w:tc>
        <w:tc>
          <w:tcPr>
            <w:tcW w:w="0" w:type="auto"/>
            <w:vAlign w:val="center"/>
          </w:tcPr>
          <w:p w14:paraId="74EA00EF" w14:textId="77777777" w:rsidR="00BF0BD2" w:rsidRPr="00FB0257" w:rsidRDefault="00BF0BD2" w:rsidP="00915C8D">
            <w:pPr>
              <w:pStyle w:val="Compact"/>
              <w:jc w:val="right"/>
              <w:rPr>
                <w:rFonts w:ascii="Arial" w:hAnsi="Arial" w:cs="Arial"/>
              </w:rPr>
            </w:pPr>
            <w:r w:rsidRPr="00FB0257">
              <w:rPr>
                <w:rFonts w:ascii="Arial" w:hAnsi="Arial" w:cs="Arial"/>
              </w:rPr>
              <w:t>0.29</w:t>
            </w:r>
          </w:p>
        </w:tc>
        <w:tc>
          <w:tcPr>
            <w:tcW w:w="0" w:type="auto"/>
            <w:vAlign w:val="center"/>
          </w:tcPr>
          <w:p w14:paraId="5032B740" w14:textId="77777777" w:rsidR="00BF0BD2" w:rsidRPr="00FB0257" w:rsidRDefault="00BF0BD2" w:rsidP="00915C8D">
            <w:pPr>
              <w:pStyle w:val="Compact"/>
              <w:jc w:val="right"/>
              <w:rPr>
                <w:rFonts w:ascii="Arial" w:hAnsi="Arial" w:cs="Arial"/>
              </w:rPr>
            </w:pPr>
            <w:r w:rsidRPr="00FB0257">
              <w:rPr>
                <w:rFonts w:ascii="Arial" w:hAnsi="Arial" w:cs="Arial"/>
              </w:rPr>
              <w:t>0.26</w:t>
            </w:r>
          </w:p>
        </w:tc>
        <w:tc>
          <w:tcPr>
            <w:tcW w:w="0" w:type="auto"/>
            <w:vAlign w:val="center"/>
          </w:tcPr>
          <w:p w14:paraId="44ACF7C7" w14:textId="77777777" w:rsidR="00BF0BD2" w:rsidRPr="00FB0257" w:rsidRDefault="00BF0BD2" w:rsidP="00915C8D">
            <w:pPr>
              <w:pStyle w:val="Compact"/>
              <w:jc w:val="right"/>
              <w:rPr>
                <w:rFonts w:ascii="Arial" w:hAnsi="Arial" w:cs="Arial"/>
              </w:rPr>
            </w:pPr>
            <w:r w:rsidRPr="00FB0257">
              <w:rPr>
                <w:rFonts w:ascii="Arial" w:hAnsi="Arial" w:cs="Arial"/>
              </w:rPr>
              <w:t>62</w:t>
            </w:r>
          </w:p>
        </w:tc>
      </w:tr>
      <w:tr w:rsidR="00BF0BD2" w14:paraId="3F4E6E30" w14:textId="77777777" w:rsidTr="00915C8D">
        <w:tc>
          <w:tcPr>
            <w:tcW w:w="2430" w:type="dxa"/>
            <w:vMerge/>
            <w:tcBorders>
              <w:bottom w:val="single" w:sz="4" w:space="0" w:color="auto"/>
            </w:tcBorders>
            <w:vAlign w:val="center"/>
          </w:tcPr>
          <w:p w14:paraId="36F86CE0" w14:textId="77777777" w:rsidR="00BF0BD2" w:rsidRPr="00FB0257" w:rsidRDefault="00BF0BD2" w:rsidP="00915C8D">
            <w:pPr>
              <w:pStyle w:val="Compact"/>
              <w:rPr>
                <w:rFonts w:ascii="Arial" w:hAnsi="Arial" w:cs="Arial"/>
              </w:rPr>
            </w:pPr>
          </w:p>
        </w:tc>
        <w:tc>
          <w:tcPr>
            <w:tcW w:w="3472" w:type="dxa"/>
            <w:tcBorders>
              <w:bottom w:val="single" w:sz="4" w:space="0" w:color="auto"/>
            </w:tcBorders>
            <w:vAlign w:val="center"/>
          </w:tcPr>
          <w:p w14:paraId="7375AFAE" w14:textId="77777777" w:rsidR="00BF0BD2" w:rsidRPr="00FB0257" w:rsidRDefault="00BF0BD2" w:rsidP="00915C8D">
            <w:pPr>
              <w:pStyle w:val="Compact"/>
              <w:rPr>
                <w:rFonts w:ascii="Arial" w:hAnsi="Arial" w:cs="Arial"/>
              </w:rPr>
            </w:pPr>
            <w:r w:rsidRPr="00FB0257">
              <w:rPr>
                <w:rFonts w:ascii="Arial" w:hAnsi="Arial" w:cs="Arial"/>
              </w:rPr>
              <w:t>Mean Daily Streamflow (cfs)</w:t>
            </w:r>
          </w:p>
        </w:tc>
        <w:tc>
          <w:tcPr>
            <w:tcW w:w="0" w:type="auto"/>
            <w:tcBorders>
              <w:bottom w:val="single" w:sz="4" w:space="0" w:color="auto"/>
            </w:tcBorders>
            <w:vAlign w:val="center"/>
          </w:tcPr>
          <w:p w14:paraId="04E18C0B" w14:textId="77777777" w:rsidR="00BF0BD2" w:rsidRPr="00FB0257" w:rsidRDefault="00BF0BD2" w:rsidP="00915C8D">
            <w:pPr>
              <w:pStyle w:val="Compact"/>
              <w:jc w:val="right"/>
              <w:rPr>
                <w:rFonts w:ascii="Arial" w:hAnsi="Arial" w:cs="Arial"/>
              </w:rPr>
            </w:pPr>
            <w:r w:rsidRPr="00FB0257">
              <w:rPr>
                <w:rFonts w:ascii="Arial" w:hAnsi="Arial" w:cs="Arial"/>
              </w:rPr>
              <w:t>666.14</w:t>
            </w:r>
          </w:p>
        </w:tc>
        <w:tc>
          <w:tcPr>
            <w:tcW w:w="0" w:type="auto"/>
            <w:tcBorders>
              <w:bottom w:val="single" w:sz="4" w:space="0" w:color="auto"/>
            </w:tcBorders>
            <w:vAlign w:val="center"/>
          </w:tcPr>
          <w:p w14:paraId="5BC62FC7" w14:textId="77777777" w:rsidR="00BF0BD2" w:rsidRPr="00FB0257" w:rsidRDefault="00BF0BD2" w:rsidP="00915C8D">
            <w:pPr>
              <w:pStyle w:val="Compact"/>
              <w:jc w:val="right"/>
              <w:rPr>
                <w:rFonts w:ascii="Arial" w:hAnsi="Arial" w:cs="Arial"/>
              </w:rPr>
            </w:pPr>
            <w:r w:rsidRPr="00FB0257">
              <w:rPr>
                <w:rFonts w:ascii="Arial" w:hAnsi="Arial" w:cs="Arial"/>
              </w:rPr>
              <w:t>2957.79</w:t>
            </w:r>
          </w:p>
        </w:tc>
        <w:tc>
          <w:tcPr>
            <w:tcW w:w="0" w:type="auto"/>
            <w:tcBorders>
              <w:bottom w:val="single" w:sz="4" w:space="0" w:color="auto"/>
            </w:tcBorders>
            <w:vAlign w:val="center"/>
          </w:tcPr>
          <w:p w14:paraId="5D23BE75" w14:textId="77777777" w:rsidR="00BF0BD2" w:rsidRPr="00FB0257" w:rsidRDefault="00BF0BD2" w:rsidP="00915C8D">
            <w:pPr>
              <w:pStyle w:val="Compact"/>
              <w:jc w:val="right"/>
              <w:rPr>
                <w:rFonts w:ascii="Arial" w:hAnsi="Arial" w:cs="Arial"/>
              </w:rPr>
            </w:pPr>
            <w:r w:rsidRPr="00FB0257">
              <w:rPr>
                <w:rFonts w:ascii="Arial" w:hAnsi="Arial" w:cs="Arial"/>
              </w:rPr>
              <w:t>7671</w:t>
            </w:r>
          </w:p>
        </w:tc>
      </w:tr>
    </w:tbl>
    <w:bookmarkEnd w:id="5"/>
    <w:p w14:paraId="3EE5FF8E" w14:textId="77777777" w:rsidR="00E80F9C" w:rsidRDefault="00000000">
      <w:pPr>
        <w:pStyle w:val="BodyText"/>
      </w:pPr>
      <w:r>
        <w:t xml:space="preserve"> </w:t>
      </w:r>
    </w:p>
    <w:p w14:paraId="1889B571" w14:textId="77777777" w:rsidR="00E80F9C" w:rsidRPr="00FB0257" w:rsidRDefault="00000000">
      <w:pPr>
        <w:pStyle w:val="TableCaption"/>
        <w:rPr>
          <w:b/>
          <w:bCs/>
        </w:rPr>
      </w:pPr>
      <w:bookmarkStart w:id="6" w:name="tbl-table2"/>
      <w:r w:rsidRPr="00FB0257">
        <w:rPr>
          <w:b/>
          <w:bCs/>
        </w:rPr>
        <w:lastRenderedPageBreak/>
        <w:t>Table 2. Summary of estuary water quality samples collected between January 1, 2005 and December 31, 2020.</w:t>
      </w:r>
    </w:p>
    <w:tbl>
      <w:tblPr>
        <w:tblStyle w:val="Table"/>
        <w:tblW w:w="0" w:type="auto"/>
        <w:tblLook w:val="0020" w:firstRow="1" w:lastRow="0" w:firstColumn="0" w:lastColumn="0" w:noHBand="0" w:noVBand="0"/>
        <w:tblCaption w:val="Table 2. Summary of estuary water quality samples collected between January 1, 2005 and December 31, 2020."/>
      </w:tblPr>
      <w:tblGrid>
        <w:gridCol w:w="1395"/>
        <w:gridCol w:w="1977"/>
        <w:gridCol w:w="728"/>
        <w:gridCol w:w="606"/>
        <w:gridCol w:w="439"/>
      </w:tblGrid>
      <w:tr w:rsidR="00E80F9C" w14:paraId="4496F834" w14:textId="77777777" w:rsidTr="000E245D">
        <w:trPr>
          <w:tblHeader/>
        </w:trPr>
        <w:tc>
          <w:tcPr>
            <w:tcW w:w="0" w:type="auto"/>
            <w:tcBorders>
              <w:top w:val="single" w:sz="4" w:space="0" w:color="auto"/>
              <w:bottom w:val="single" w:sz="4" w:space="0" w:color="auto"/>
            </w:tcBorders>
            <w:vAlign w:val="center"/>
          </w:tcPr>
          <w:p w14:paraId="76027522" w14:textId="77777777" w:rsidR="00E80F9C" w:rsidRPr="00FB0257" w:rsidRDefault="00000000" w:rsidP="000E245D">
            <w:pPr>
              <w:pStyle w:val="Compact"/>
              <w:rPr>
                <w:rFonts w:ascii="Arial" w:hAnsi="Arial" w:cs="Arial"/>
                <w:b/>
                <w:bCs/>
              </w:rPr>
            </w:pPr>
            <w:r w:rsidRPr="00FB0257">
              <w:rPr>
                <w:rFonts w:ascii="Arial" w:hAnsi="Arial" w:cs="Arial"/>
                <w:b/>
                <w:bCs/>
              </w:rPr>
              <w:t> Station ID</w:t>
            </w:r>
          </w:p>
        </w:tc>
        <w:tc>
          <w:tcPr>
            <w:tcW w:w="0" w:type="auto"/>
            <w:tcBorders>
              <w:top w:val="single" w:sz="4" w:space="0" w:color="auto"/>
              <w:bottom w:val="single" w:sz="4" w:space="0" w:color="auto"/>
            </w:tcBorders>
            <w:vAlign w:val="center"/>
          </w:tcPr>
          <w:p w14:paraId="57548552" w14:textId="54C42F8C" w:rsidR="00E80F9C" w:rsidRPr="00FB0257" w:rsidRDefault="000E245D" w:rsidP="000E245D">
            <w:pPr>
              <w:pStyle w:val="Compact"/>
              <w:rPr>
                <w:rFonts w:ascii="Arial" w:hAnsi="Arial" w:cs="Arial"/>
                <w:b/>
                <w:bCs/>
              </w:rPr>
            </w:pPr>
            <w:r>
              <w:rPr>
                <w:rFonts w:ascii="Arial" w:hAnsi="Arial" w:cs="Arial"/>
                <w:b/>
                <w:bCs/>
              </w:rPr>
              <w:t>Parameter</w:t>
            </w:r>
          </w:p>
        </w:tc>
        <w:tc>
          <w:tcPr>
            <w:tcW w:w="0" w:type="auto"/>
            <w:tcBorders>
              <w:top w:val="single" w:sz="4" w:space="0" w:color="auto"/>
              <w:bottom w:val="single" w:sz="4" w:space="0" w:color="auto"/>
            </w:tcBorders>
            <w:vAlign w:val="center"/>
          </w:tcPr>
          <w:p w14:paraId="608B9140" w14:textId="77777777" w:rsidR="00E80F9C" w:rsidRPr="00FB0257" w:rsidRDefault="00000000" w:rsidP="000E245D">
            <w:pPr>
              <w:pStyle w:val="Compact"/>
              <w:jc w:val="right"/>
              <w:rPr>
                <w:rFonts w:ascii="Arial" w:hAnsi="Arial" w:cs="Arial"/>
                <w:b/>
                <w:bCs/>
              </w:rPr>
            </w:pPr>
            <w:r w:rsidRPr="00FB0257">
              <w:rPr>
                <w:rFonts w:ascii="Arial" w:hAnsi="Arial" w:cs="Arial"/>
                <w:b/>
                <w:bCs/>
              </w:rPr>
              <w:t>Mean</w:t>
            </w:r>
          </w:p>
        </w:tc>
        <w:tc>
          <w:tcPr>
            <w:tcW w:w="0" w:type="auto"/>
            <w:tcBorders>
              <w:top w:val="single" w:sz="4" w:space="0" w:color="auto"/>
              <w:bottom w:val="single" w:sz="4" w:space="0" w:color="auto"/>
            </w:tcBorders>
            <w:vAlign w:val="center"/>
          </w:tcPr>
          <w:p w14:paraId="655024C1" w14:textId="77777777" w:rsidR="00E80F9C" w:rsidRPr="00FB0257" w:rsidRDefault="00000000" w:rsidP="000E245D">
            <w:pPr>
              <w:pStyle w:val="Compact"/>
              <w:jc w:val="right"/>
              <w:rPr>
                <w:rFonts w:ascii="Arial" w:hAnsi="Arial" w:cs="Arial"/>
                <w:b/>
                <w:bCs/>
              </w:rPr>
            </w:pPr>
            <w:r w:rsidRPr="00FB0257">
              <w:rPr>
                <w:rFonts w:ascii="Arial" w:hAnsi="Arial" w:cs="Arial"/>
                <w:b/>
                <w:bCs/>
              </w:rPr>
              <w:t>SD</w:t>
            </w:r>
          </w:p>
        </w:tc>
        <w:tc>
          <w:tcPr>
            <w:tcW w:w="0" w:type="auto"/>
            <w:tcBorders>
              <w:top w:val="single" w:sz="4" w:space="0" w:color="auto"/>
              <w:bottom w:val="single" w:sz="4" w:space="0" w:color="auto"/>
            </w:tcBorders>
            <w:vAlign w:val="center"/>
          </w:tcPr>
          <w:p w14:paraId="4E9EFE84" w14:textId="77777777" w:rsidR="00E80F9C" w:rsidRPr="00FB0257" w:rsidRDefault="00000000" w:rsidP="000E245D">
            <w:pPr>
              <w:pStyle w:val="Compact"/>
              <w:jc w:val="right"/>
              <w:rPr>
                <w:rFonts w:ascii="Arial" w:hAnsi="Arial" w:cs="Arial"/>
                <w:b/>
                <w:bCs/>
              </w:rPr>
            </w:pPr>
            <w:r w:rsidRPr="00FB0257">
              <w:rPr>
                <w:rFonts w:ascii="Arial" w:hAnsi="Arial" w:cs="Arial"/>
                <w:b/>
                <w:bCs/>
              </w:rPr>
              <w:t>N</w:t>
            </w:r>
          </w:p>
        </w:tc>
      </w:tr>
      <w:tr w:rsidR="000E245D" w14:paraId="7621BCA2" w14:textId="77777777" w:rsidTr="000E245D">
        <w:tc>
          <w:tcPr>
            <w:tcW w:w="0" w:type="auto"/>
            <w:vMerge w:val="restart"/>
            <w:tcBorders>
              <w:top w:val="single" w:sz="4" w:space="0" w:color="auto"/>
            </w:tcBorders>
            <w:vAlign w:val="center"/>
          </w:tcPr>
          <w:p w14:paraId="6EBCAC18" w14:textId="77777777" w:rsidR="000E245D" w:rsidRPr="00FB0257" w:rsidRDefault="000E245D" w:rsidP="000E245D">
            <w:pPr>
              <w:pStyle w:val="Compact"/>
              <w:rPr>
                <w:rFonts w:ascii="Arial" w:hAnsi="Arial" w:cs="Arial"/>
              </w:rPr>
            </w:pPr>
            <w:r w:rsidRPr="00FB0257">
              <w:rPr>
                <w:rFonts w:ascii="Arial" w:hAnsi="Arial" w:cs="Arial"/>
              </w:rPr>
              <w:t>TCEQ-13383</w:t>
            </w:r>
          </w:p>
        </w:tc>
        <w:tc>
          <w:tcPr>
            <w:tcW w:w="0" w:type="auto"/>
            <w:tcBorders>
              <w:top w:val="single" w:sz="4" w:space="0" w:color="auto"/>
            </w:tcBorders>
            <w:vAlign w:val="center"/>
          </w:tcPr>
          <w:p w14:paraId="57230051" w14:textId="77777777" w:rsidR="000E245D" w:rsidRPr="00FB0257" w:rsidRDefault="000E245D" w:rsidP="000E245D">
            <w:pPr>
              <w:pStyle w:val="Compact"/>
              <w:rPr>
                <w:rFonts w:ascii="Arial" w:hAnsi="Arial" w:cs="Arial"/>
              </w:rPr>
            </w:pPr>
            <w:r w:rsidRPr="00FB0257">
              <w:rPr>
                <w:rFonts w:ascii="Arial" w:hAnsi="Arial" w:cs="Arial"/>
              </w:rPr>
              <w:t>TP (mg/L)</w:t>
            </w:r>
          </w:p>
        </w:tc>
        <w:tc>
          <w:tcPr>
            <w:tcW w:w="0" w:type="auto"/>
            <w:tcBorders>
              <w:top w:val="single" w:sz="4" w:space="0" w:color="auto"/>
            </w:tcBorders>
            <w:vAlign w:val="center"/>
          </w:tcPr>
          <w:p w14:paraId="74CFF6F8" w14:textId="77777777" w:rsidR="000E245D" w:rsidRPr="00FB0257" w:rsidRDefault="000E245D" w:rsidP="000E245D">
            <w:pPr>
              <w:pStyle w:val="Compact"/>
              <w:jc w:val="right"/>
              <w:rPr>
                <w:rFonts w:ascii="Arial" w:hAnsi="Arial" w:cs="Arial"/>
              </w:rPr>
            </w:pPr>
            <w:r w:rsidRPr="00FB0257">
              <w:rPr>
                <w:rFonts w:ascii="Arial" w:hAnsi="Arial" w:cs="Arial"/>
              </w:rPr>
              <w:t>0.11</w:t>
            </w:r>
          </w:p>
        </w:tc>
        <w:tc>
          <w:tcPr>
            <w:tcW w:w="0" w:type="auto"/>
            <w:tcBorders>
              <w:top w:val="single" w:sz="4" w:space="0" w:color="auto"/>
            </w:tcBorders>
            <w:vAlign w:val="center"/>
          </w:tcPr>
          <w:p w14:paraId="6942763C" w14:textId="77777777" w:rsidR="000E245D" w:rsidRPr="00FB0257" w:rsidRDefault="000E245D" w:rsidP="000E245D">
            <w:pPr>
              <w:pStyle w:val="Compact"/>
              <w:jc w:val="right"/>
              <w:rPr>
                <w:rFonts w:ascii="Arial" w:hAnsi="Arial" w:cs="Arial"/>
              </w:rPr>
            </w:pPr>
            <w:r w:rsidRPr="00FB0257">
              <w:rPr>
                <w:rFonts w:ascii="Arial" w:hAnsi="Arial" w:cs="Arial"/>
              </w:rPr>
              <w:t>0.05</w:t>
            </w:r>
          </w:p>
        </w:tc>
        <w:tc>
          <w:tcPr>
            <w:tcW w:w="0" w:type="auto"/>
            <w:tcBorders>
              <w:top w:val="single" w:sz="4" w:space="0" w:color="auto"/>
            </w:tcBorders>
            <w:vAlign w:val="center"/>
          </w:tcPr>
          <w:p w14:paraId="35BEDC99" w14:textId="77777777" w:rsidR="000E245D" w:rsidRPr="00FB0257" w:rsidRDefault="000E245D" w:rsidP="000E245D">
            <w:pPr>
              <w:pStyle w:val="Compact"/>
              <w:jc w:val="right"/>
              <w:rPr>
                <w:rFonts w:ascii="Arial" w:hAnsi="Arial" w:cs="Arial"/>
              </w:rPr>
            </w:pPr>
            <w:r w:rsidRPr="00FB0257">
              <w:rPr>
                <w:rFonts w:ascii="Arial" w:hAnsi="Arial" w:cs="Arial"/>
              </w:rPr>
              <w:t>47</w:t>
            </w:r>
          </w:p>
        </w:tc>
      </w:tr>
      <w:tr w:rsidR="000E245D" w14:paraId="079A83AA" w14:textId="77777777" w:rsidTr="000E245D">
        <w:tc>
          <w:tcPr>
            <w:tcW w:w="0" w:type="auto"/>
            <w:vMerge/>
          </w:tcPr>
          <w:p w14:paraId="074E9801" w14:textId="77777777" w:rsidR="000E245D" w:rsidRPr="00FB0257" w:rsidRDefault="000E245D">
            <w:pPr>
              <w:pStyle w:val="Compact"/>
              <w:rPr>
                <w:rFonts w:ascii="Arial" w:hAnsi="Arial" w:cs="Arial"/>
              </w:rPr>
            </w:pPr>
          </w:p>
        </w:tc>
        <w:tc>
          <w:tcPr>
            <w:tcW w:w="0" w:type="auto"/>
            <w:vAlign w:val="center"/>
          </w:tcPr>
          <w:p w14:paraId="6D2A094B" w14:textId="77777777" w:rsidR="000E245D" w:rsidRPr="00FB0257" w:rsidRDefault="000E245D" w:rsidP="000E245D">
            <w:pPr>
              <w:pStyle w:val="Compact"/>
              <w:rPr>
                <w:rFonts w:ascii="Arial" w:hAnsi="Arial" w:cs="Arial"/>
              </w:rPr>
            </w:pPr>
            <w:r w:rsidRPr="00FB0257">
              <w:rPr>
                <w:rFonts w:ascii="Arial" w:hAnsi="Arial" w:cs="Arial"/>
              </w:rPr>
              <w:t>NO</w:t>
            </w:r>
            <w:r w:rsidRPr="000E245D">
              <w:rPr>
                <w:rFonts w:ascii="Arial" w:hAnsi="Arial" w:cs="Arial"/>
                <w:i/>
                <w:iCs/>
                <w:vertAlign w:val="subscript"/>
              </w:rPr>
              <w:t>x</w:t>
            </w:r>
            <w:r w:rsidRPr="00FB0257">
              <w:rPr>
                <w:rFonts w:ascii="Arial" w:hAnsi="Arial" w:cs="Arial"/>
              </w:rPr>
              <w:t xml:space="preserve"> (mg/L)</w:t>
            </w:r>
          </w:p>
        </w:tc>
        <w:tc>
          <w:tcPr>
            <w:tcW w:w="0" w:type="auto"/>
            <w:vAlign w:val="center"/>
          </w:tcPr>
          <w:p w14:paraId="00B38586" w14:textId="77777777" w:rsidR="000E245D" w:rsidRPr="00FB0257" w:rsidRDefault="000E245D" w:rsidP="000E245D">
            <w:pPr>
              <w:pStyle w:val="Compact"/>
              <w:jc w:val="right"/>
              <w:rPr>
                <w:rFonts w:ascii="Arial" w:hAnsi="Arial" w:cs="Arial"/>
              </w:rPr>
            </w:pPr>
            <w:r w:rsidRPr="00FB0257">
              <w:rPr>
                <w:rFonts w:ascii="Arial" w:hAnsi="Arial" w:cs="Arial"/>
              </w:rPr>
              <w:t>0.07</w:t>
            </w:r>
          </w:p>
        </w:tc>
        <w:tc>
          <w:tcPr>
            <w:tcW w:w="0" w:type="auto"/>
            <w:vAlign w:val="center"/>
          </w:tcPr>
          <w:p w14:paraId="02162227" w14:textId="77777777" w:rsidR="000E245D" w:rsidRPr="00FB0257" w:rsidRDefault="000E245D" w:rsidP="000E245D">
            <w:pPr>
              <w:pStyle w:val="Compact"/>
              <w:jc w:val="right"/>
              <w:rPr>
                <w:rFonts w:ascii="Arial" w:hAnsi="Arial" w:cs="Arial"/>
              </w:rPr>
            </w:pPr>
            <w:r w:rsidRPr="00FB0257">
              <w:rPr>
                <w:rFonts w:ascii="Arial" w:hAnsi="Arial" w:cs="Arial"/>
              </w:rPr>
              <w:t>0.15</w:t>
            </w:r>
          </w:p>
        </w:tc>
        <w:tc>
          <w:tcPr>
            <w:tcW w:w="0" w:type="auto"/>
            <w:vAlign w:val="center"/>
          </w:tcPr>
          <w:p w14:paraId="2628D5B0" w14:textId="77777777" w:rsidR="000E245D" w:rsidRPr="00FB0257" w:rsidRDefault="000E245D" w:rsidP="000E245D">
            <w:pPr>
              <w:pStyle w:val="Compact"/>
              <w:jc w:val="right"/>
              <w:rPr>
                <w:rFonts w:ascii="Arial" w:hAnsi="Arial" w:cs="Arial"/>
              </w:rPr>
            </w:pPr>
            <w:r w:rsidRPr="00FB0257">
              <w:rPr>
                <w:rFonts w:ascii="Arial" w:hAnsi="Arial" w:cs="Arial"/>
              </w:rPr>
              <w:t>51</w:t>
            </w:r>
          </w:p>
        </w:tc>
      </w:tr>
      <w:tr w:rsidR="000E245D" w14:paraId="1E46E1A7" w14:textId="77777777" w:rsidTr="000E245D">
        <w:tc>
          <w:tcPr>
            <w:tcW w:w="0" w:type="auto"/>
            <w:vMerge/>
          </w:tcPr>
          <w:p w14:paraId="4DB9B6DC" w14:textId="77777777" w:rsidR="000E245D" w:rsidRPr="00FB0257" w:rsidRDefault="000E245D">
            <w:pPr>
              <w:pStyle w:val="Compact"/>
              <w:rPr>
                <w:rFonts w:ascii="Arial" w:hAnsi="Arial" w:cs="Arial"/>
              </w:rPr>
            </w:pPr>
          </w:p>
        </w:tc>
        <w:tc>
          <w:tcPr>
            <w:tcW w:w="0" w:type="auto"/>
            <w:vAlign w:val="center"/>
          </w:tcPr>
          <w:p w14:paraId="68A8EA8D" w14:textId="77777777" w:rsidR="000E245D" w:rsidRPr="00FB0257" w:rsidRDefault="000E245D" w:rsidP="000E245D">
            <w:pPr>
              <w:pStyle w:val="Compact"/>
              <w:rPr>
                <w:rFonts w:ascii="Arial" w:hAnsi="Arial" w:cs="Arial"/>
              </w:rPr>
            </w:pPr>
            <w:r w:rsidRPr="00FB0257">
              <w:rPr>
                <w:rFonts w:ascii="Arial" w:hAnsi="Arial" w:cs="Arial"/>
              </w:rPr>
              <w:t>TKN (mg/L)</w:t>
            </w:r>
          </w:p>
        </w:tc>
        <w:tc>
          <w:tcPr>
            <w:tcW w:w="0" w:type="auto"/>
            <w:vAlign w:val="center"/>
          </w:tcPr>
          <w:p w14:paraId="333B1677" w14:textId="77777777" w:rsidR="000E245D" w:rsidRPr="00FB0257" w:rsidRDefault="000E245D" w:rsidP="000E245D">
            <w:pPr>
              <w:pStyle w:val="Compact"/>
              <w:jc w:val="right"/>
              <w:rPr>
                <w:rFonts w:ascii="Arial" w:hAnsi="Arial" w:cs="Arial"/>
              </w:rPr>
            </w:pPr>
            <w:r w:rsidRPr="00FB0257">
              <w:rPr>
                <w:rFonts w:ascii="Arial" w:hAnsi="Arial" w:cs="Arial"/>
              </w:rPr>
              <w:t>0.94</w:t>
            </w:r>
          </w:p>
        </w:tc>
        <w:tc>
          <w:tcPr>
            <w:tcW w:w="0" w:type="auto"/>
            <w:vAlign w:val="center"/>
          </w:tcPr>
          <w:p w14:paraId="7CD994A4" w14:textId="77777777" w:rsidR="000E245D" w:rsidRPr="00FB0257" w:rsidRDefault="000E245D" w:rsidP="000E245D">
            <w:pPr>
              <w:pStyle w:val="Compact"/>
              <w:jc w:val="right"/>
              <w:rPr>
                <w:rFonts w:ascii="Arial" w:hAnsi="Arial" w:cs="Arial"/>
              </w:rPr>
            </w:pPr>
            <w:r w:rsidRPr="00FB0257">
              <w:rPr>
                <w:rFonts w:ascii="Arial" w:hAnsi="Arial" w:cs="Arial"/>
              </w:rPr>
              <w:t>0.49</w:t>
            </w:r>
          </w:p>
        </w:tc>
        <w:tc>
          <w:tcPr>
            <w:tcW w:w="0" w:type="auto"/>
            <w:vAlign w:val="center"/>
          </w:tcPr>
          <w:p w14:paraId="4228475F" w14:textId="77777777" w:rsidR="000E245D" w:rsidRPr="00FB0257" w:rsidRDefault="000E245D" w:rsidP="000E245D">
            <w:pPr>
              <w:pStyle w:val="Compact"/>
              <w:jc w:val="right"/>
              <w:rPr>
                <w:rFonts w:ascii="Arial" w:hAnsi="Arial" w:cs="Arial"/>
              </w:rPr>
            </w:pPr>
            <w:r w:rsidRPr="00FB0257">
              <w:rPr>
                <w:rFonts w:ascii="Arial" w:hAnsi="Arial" w:cs="Arial"/>
              </w:rPr>
              <w:t>45</w:t>
            </w:r>
          </w:p>
        </w:tc>
      </w:tr>
      <w:tr w:rsidR="000E245D" w14:paraId="6FED2AA6" w14:textId="77777777" w:rsidTr="000E245D">
        <w:tc>
          <w:tcPr>
            <w:tcW w:w="0" w:type="auto"/>
            <w:vMerge/>
          </w:tcPr>
          <w:p w14:paraId="204B8ADA" w14:textId="77777777" w:rsidR="000E245D" w:rsidRPr="00FB0257" w:rsidRDefault="000E245D">
            <w:pPr>
              <w:pStyle w:val="Compact"/>
              <w:rPr>
                <w:rFonts w:ascii="Arial" w:hAnsi="Arial" w:cs="Arial"/>
              </w:rPr>
            </w:pPr>
          </w:p>
        </w:tc>
        <w:tc>
          <w:tcPr>
            <w:tcW w:w="0" w:type="auto"/>
            <w:vAlign w:val="center"/>
          </w:tcPr>
          <w:p w14:paraId="0D1A961B" w14:textId="29BEF90A" w:rsidR="000E245D" w:rsidRPr="00FB0257" w:rsidRDefault="000E245D" w:rsidP="000E245D">
            <w:pPr>
              <w:pStyle w:val="Compact"/>
              <w:rPr>
                <w:rFonts w:ascii="Arial" w:hAnsi="Arial" w:cs="Arial"/>
              </w:rPr>
            </w:pPr>
            <w:r w:rsidRPr="00FB0257">
              <w:rPr>
                <w:rFonts w:ascii="Arial" w:hAnsi="Arial" w:cs="Arial"/>
              </w:rPr>
              <w:t>Chlorophyll-</w:t>
            </w:r>
            <w:r w:rsidRPr="000E245D">
              <w:rPr>
                <w:rFonts w:ascii="Arial" w:hAnsi="Arial" w:cs="Arial"/>
                <w:i/>
                <w:iCs/>
              </w:rPr>
              <w:t>a</w:t>
            </w:r>
            <w:r w:rsidRPr="00FB0257">
              <w:rPr>
                <w:rFonts w:ascii="Arial" w:hAnsi="Arial" w:cs="Arial"/>
              </w:rPr>
              <w:t xml:space="preserve"> (</w:t>
            </w:r>
            <w:r w:rsidRPr="000E245D">
              <w:rPr>
                <w:rFonts w:ascii="Arial" w:hAnsi="Arial" w:cs="Arial"/>
              </w:rPr>
              <w:t>μ</w:t>
            </w:r>
            <w:r w:rsidRPr="00FB0257">
              <w:rPr>
                <w:rFonts w:ascii="Arial" w:hAnsi="Arial" w:cs="Arial"/>
              </w:rPr>
              <w:t>g/L)</w:t>
            </w:r>
          </w:p>
        </w:tc>
        <w:tc>
          <w:tcPr>
            <w:tcW w:w="0" w:type="auto"/>
            <w:vAlign w:val="center"/>
          </w:tcPr>
          <w:p w14:paraId="4FFD332B" w14:textId="77777777" w:rsidR="000E245D" w:rsidRPr="00FB0257" w:rsidRDefault="000E245D" w:rsidP="000E245D">
            <w:pPr>
              <w:pStyle w:val="Compact"/>
              <w:jc w:val="right"/>
              <w:rPr>
                <w:rFonts w:ascii="Arial" w:hAnsi="Arial" w:cs="Arial"/>
              </w:rPr>
            </w:pPr>
            <w:r w:rsidRPr="00FB0257">
              <w:rPr>
                <w:rFonts w:ascii="Arial" w:hAnsi="Arial" w:cs="Arial"/>
              </w:rPr>
              <w:t>9.43</w:t>
            </w:r>
          </w:p>
        </w:tc>
        <w:tc>
          <w:tcPr>
            <w:tcW w:w="0" w:type="auto"/>
            <w:vAlign w:val="center"/>
          </w:tcPr>
          <w:p w14:paraId="3FA0DCA7" w14:textId="77777777" w:rsidR="000E245D" w:rsidRPr="00FB0257" w:rsidRDefault="000E245D" w:rsidP="000E245D">
            <w:pPr>
              <w:pStyle w:val="Compact"/>
              <w:jc w:val="right"/>
              <w:rPr>
                <w:rFonts w:ascii="Arial" w:hAnsi="Arial" w:cs="Arial"/>
              </w:rPr>
            </w:pPr>
            <w:r w:rsidRPr="00FB0257">
              <w:rPr>
                <w:rFonts w:ascii="Arial" w:hAnsi="Arial" w:cs="Arial"/>
              </w:rPr>
              <w:t>5.31</w:t>
            </w:r>
          </w:p>
        </w:tc>
        <w:tc>
          <w:tcPr>
            <w:tcW w:w="0" w:type="auto"/>
            <w:vAlign w:val="center"/>
          </w:tcPr>
          <w:p w14:paraId="193DB8F4" w14:textId="77777777" w:rsidR="000E245D" w:rsidRPr="00FB0257" w:rsidRDefault="000E245D" w:rsidP="000E245D">
            <w:pPr>
              <w:pStyle w:val="Compact"/>
              <w:jc w:val="right"/>
              <w:rPr>
                <w:rFonts w:ascii="Arial" w:hAnsi="Arial" w:cs="Arial"/>
              </w:rPr>
            </w:pPr>
            <w:r w:rsidRPr="00FB0257">
              <w:rPr>
                <w:rFonts w:ascii="Arial" w:hAnsi="Arial" w:cs="Arial"/>
              </w:rPr>
              <w:t>47</w:t>
            </w:r>
          </w:p>
        </w:tc>
      </w:tr>
      <w:tr w:rsidR="000E245D" w14:paraId="0D6F1559" w14:textId="77777777" w:rsidTr="000E245D">
        <w:tc>
          <w:tcPr>
            <w:tcW w:w="0" w:type="auto"/>
            <w:vMerge/>
            <w:tcBorders>
              <w:bottom w:val="single" w:sz="4" w:space="0" w:color="auto"/>
            </w:tcBorders>
          </w:tcPr>
          <w:p w14:paraId="788A237A" w14:textId="77777777" w:rsidR="000E245D" w:rsidRPr="00FB0257" w:rsidRDefault="000E245D">
            <w:pPr>
              <w:pStyle w:val="Compact"/>
              <w:rPr>
                <w:rFonts w:ascii="Arial" w:hAnsi="Arial" w:cs="Arial"/>
              </w:rPr>
            </w:pPr>
          </w:p>
        </w:tc>
        <w:tc>
          <w:tcPr>
            <w:tcW w:w="0" w:type="auto"/>
            <w:tcBorders>
              <w:bottom w:val="single" w:sz="4" w:space="0" w:color="auto"/>
            </w:tcBorders>
            <w:vAlign w:val="center"/>
          </w:tcPr>
          <w:p w14:paraId="66800537" w14:textId="77777777" w:rsidR="000E245D" w:rsidRPr="00FB0257" w:rsidRDefault="000E245D" w:rsidP="000E245D">
            <w:pPr>
              <w:pStyle w:val="Compact"/>
              <w:rPr>
                <w:rFonts w:ascii="Arial" w:hAnsi="Arial" w:cs="Arial"/>
              </w:rPr>
            </w:pPr>
            <w:r w:rsidRPr="00FB0257">
              <w:rPr>
                <w:rFonts w:ascii="Arial" w:hAnsi="Arial" w:cs="Arial"/>
              </w:rPr>
              <w:t>DO (mg/L)</w:t>
            </w:r>
          </w:p>
        </w:tc>
        <w:tc>
          <w:tcPr>
            <w:tcW w:w="0" w:type="auto"/>
            <w:tcBorders>
              <w:bottom w:val="single" w:sz="4" w:space="0" w:color="auto"/>
            </w:tcBorders>
            <w:vAlign w:val="center"/>
          </w:tcPr>
          <w:p w14:paraId="5854FF99" w14:textId="77777777" w:rsidR="000E245D" w:rsidRPr="00FB0257" w:rsidRDefault="000E245D" w:rsidP="000E245D">
            <w:pPr>
              <w:pStyle w:val="Compact"/>
              <w:jc w:val="right"/>
              <w:rPr>
                <w:rFonts w:ascii="Arial" w:hAnsi="Arial" w:cs="Arial"/>
              </w:rPr>
            </w:pPr>
            <w:r w:rsidRPr="00FB0257">
              <w:rPr>
                <w:rFonts w:ascii="Arial" w:hAnsi="Arial" w:cs="Arial"/>
              </w:rPr>
              <w:t>7.22</w:t>
            </w:r>
          </w:p>
        </w:tc>
        <w:tc>
          <w:tcPr>
            <w:tcW w:w="0" w:type="auto"/>
            <w:tcBorders>
              <w:bottom w:val="single" w:sz="4" w:space="0" w:color="auto"/>
            </w:tcBorders>
            <w:vAlign w:val="center"/>
          </w:tcPr>
          <w:p w14:paraId="4FDE6AA5" w14:textId="77777777" w:rsidR="000E245D" w:rsidRPr="00FB0257" w:rsidRDefault="000E245D" w:rsidP="000E245D">
            <w:pPr>
              <w:pStyle w:val="Compact"/>
              <w:jc w:val="right"/>
              <w:rPr>
                <w:rFonts w:ascii="Arial" w:hAnsi="Arial" w:cs="Arial"/>
              </w:rPr>
            </w:pPr>
            <w:r w:rsidRPr="00FB0257">
              <w:rPr>
                <w:rFonts w:ascii="Arial" w:hAnsi="Arial" w:cs="Arial"/>
              </w:rPr>
              <w:t>1.35</w:t>
            </w:r>
          </w:p>
        </w:tc>
        <w:tc>
          <w:tcPr>
            <w:tcW w:w="0" w:type="auto"/>
            <w:tcBorders>
              <w:bottom w:val="single" w:sz="4" w:space="0" w:color="auto"/>
            </w:tcBorders>
            <w:vAlign w:val="center"/>
          </w:tcPr>
          <w:p w14:paraId="22AE2285" w14:textId="77777777" w:rsidR="000E245D" w:rsidRPr="00FB0257" w:rsidRDefault="000E245D" w:rsidP="000E245D">
            <w:pPr>
              <w:pStyle w:val="Compact"/>
              <w:jc w:val="right"/>
              <w:rPr>
                <w:rFonts w:ascii="Arial" w:hAnsi="Arial" w:cs="Arial"/>
              </w:rPr>
            </w:pPr>
            <w:r w:rsidRPr="00FB0257">
              <w:rPr>
                <w:rFonts w:ascii="Arial" w:hAnsi="Arial" w:cs="Arial"/>
              </w:rPr>
              <w:t>55</w:t>
            </w:r>
          </w:p>
        </w:tc>
      </w:tr>
      <w:tr w:rsidR="000E245D" w14:paraId="35F22439" w14:textId="77777777" w:rsidTr="000E245D">
        <w:tc>
          <w:tcPr>
            <w:tcW w:w="0" w:type="auto"/>
            <w:vMerge w:val="restart"/>
            <w:tcBorders>
              <w:top w:val="single" w:sz="4" w:space="0" w:color="auto"/>
            </w:tcBorders>
            <w:vAlign w:val="center"/>
          </w:tcPr>
          <w:p w14:paraId="7992A051" w14:textId="77777777" w:rsidR="000E245D" w:rsidRPr="00FB0257" w:rsidRDefault="000E245D" w:rsidP="000E245D">
            <w:pPr>
              <w:pStyle w:val="Compact"/>
              <w:rPr>
                <w:rFonts w:ascii="Arial" w:hAnsi="Arial" w:cs="Arial"/>
              </w:rPr>
            </w:pPr>
            <w:r w:rsidRPr="00FB0257">
              <w:rPr>
                <w:rFonts w:ascii="Arial" w:hAnsi="Arial" w:cs="Arial"/>
              </w:rPr>
              <w:t>TCEQ-13384</w:t>
            </w:r>
          </w:p>
        </w:tc>
        <w:tc>
          <w:tcPr>
            <w:tcW w:w="0" w:type="auto"/>
            <w:tcBorders>
              <w:top w:val="single" w:sz="4" w:space="0" w:color="auto"/>
            </w:tcBorders>
            <w:vAlign w:val="center"/>
          </w:tcPr>
          <w:p w14:paraId="091D2AFB" w14:textId="77777777" w:rsidR="000E245D" w:rsidRPr="00FB0257" w:rsidRDefault="000E245D" w:rsidP="000E245D">
            <w:pPr>
              <w:pStyle w:val="Compact"/>
              <w:rPr>
                <w:rFonts w:ascii="Arial" w:hAnsi="Arial" w:cs="Arial"/>
              </w:rPr>
            </w:pPr>
            <w:r w:rsidRPr="00FB0257">
              <w:rPr>
                <w:rFonts w:ascii="Arial" w:hAnsi="Arial" w:cs="Arial"/>
              </w:rPr>
              <w:t>TP (mg/L)</w:t>
            </w:r>
          </w:p>
        </w:tc>
        <w:tc>
          <w:tcPr>
            <w:tcW w:w="0" w:type="auto"/>
            <w:tcBorders>
              <w:top w:val="single" w:sz="4" w:space="0" w:color="auto"/>
            </w:tcBorders>
            <w:vAlign w:val="center"/>
          </w:tcPr>
          <w:p w14:paraId="3F0693DC" w14:textId="77777777" w:rsidR="000E245D" w:rsidRPr="00FB0257" w:rsidRDefault="000E245D" w:rsidP="000E245D">
            <w:pPr>
              <w:pStyle w:val="Compact"/>
              <w:jc w:val="right"/>
              <w:rPr>
                <w:rFonts w:ascii="Arial" w:hAnsi="Arial" w:cs="Arial"/>
              </w:rPr>
            </w:pPr>
            <w:r w:rsidRPr="00FB0257">
              <w:rPr>
                <w:rFonts w:ascii="Arial" w:hAnsi="Arial" w:cs="Arial"/>
              </w:rPr>
              <w:t>0.08</w:t>
            </w:r>
          </w:p>
        </w:tc>
        <w:tc>
          <w:tcPr>
            <w:tcW w:w="0" w:type="auto"/>
            <w:tcBorders>
              <w:top w:val="single" w:sz="4" w:space="0" w:color="auto"/>
            </w:tcBorders>
            <w:vAlign w:val="center"/>
          </w:tcPr>
          <w:p w14:paraId="7A632CFE" w14:textId="77777777" w:rsidR="000E245D" w:rsidRPr="00FB0257" w:rsidRDefault="000E245D" w:rsidP="000E245D">
            <w:pPr>
              <w:pStyle w:val="Compact"/>
              <w:jc w:val="right"/>
              <w:rPr>
                <w:rFonts w:ascii="Arial" w:hAnsi="Arial" w:cs="Arial"/>
              </w:rPr>
            </w:pPr>
            <w:r w:rsidRPr="00FB0257">
              <w:rPr>
                <w:rFonts w:ascii="Arial" w:hAnsi="Arial" w:cs="Arial"/>
              </w:rPr>
              <w:t>0.03</w:t>
            </w:r>
          </w:p>
        </w:tc>
        <w:tc>
          <w:tcPr>
            <w:tcW w:w="0" w:type="auto"/>
            <w:tcBorders>
              <w:top w:val="single" w:sz="4" w:space="0" w:color="auto"/>
            </w:tcBorders>
            <w:vAlign w:val="center"/>
          </w:tcPr>
          <w:p w14:paraId="49C216D1" w14:textId="77777777" w:rsidR="000E245D" w:rsidRPr="00FB0257" w:rsidRDefault="000E245D" w:rsidP="000E245D">
            <w:pPr>
              <w:pStyle w:val="Compact"/>
              <w:jc w:val="right"/>
              <w:rPr>
                <w:rFonts w:ascii="Arial" w:hAnsi="Arial" w:cs="Arial"/>
              </w:rPr>
            </w:pPr>
            <w:r w:rsidRPr="00FB0257">
              <w:rPr>
                <w:rFonts w:ascii="Arial" w:hAnsi="Arial" w:cs="Arial"/>
              </w:rPr>
              <w:t>51</w:t>
            </w:r>
          </w:p>
        </w:tc>
      </w:tr>
      <w:tr w:rsidR="000E245D" w14:paraId="013CD0F6" w14:textId="77777777" w:rsidTr="000E245D">
        <w:tc>
          <w:tcPr>
            <w:tcW w:w="0" w:type="auto"/>
            <w:vMerge/>
            <w:vAlign w:val="center"/>
          </w:tcPr>
          <w:p w14:paraId="25645F72" w14:textId="77777777" w:rsidR="000E245D" w:rsidRPr="00FB0257" w:rsidRDefault="000E245D" w:rsidP="000E245D">
            <w:pPr>
              <w:pStyle w:val="Compact"/>
              <w:rPr>
                <w:rFonts w:ascii="Arial" w:hAnsi="Arial" w:cs="Arial"/>
              </w:rPr>
            </w:pPr>
          </w:p>
        </w:tc>
        <w:tc>
          <w:tcPr>
            <w:tcW w:w="0" w:type="auto"/>
            <w:vAlign w:val="center"/>
          </w:tcPr>
          <w:p w14:paraId="16AE6FDC" w14:textId="77777777" w:rsidR="000E245D" w:rsidRPr="00FB0257" w:rsidRDefault="000E245D" w:rsidP="000E245D">
            <w:pPr>
              <w:pStyle w:val="Compact"/>
              <w:rPr>
                <w:rFonts w:ascii="Arial" w:hAnsi="Arial" w:cs="Arial"/>
              </w:rPr>
            </w:pPr>
            <w:r w:rsidRPr="00FB0257">
              <w:rPr>
                <w:rFonts w:ascii="Arial" w:hAnsi="Arial" w:cs="Arial"/>
              </w:rPr>
              <w:t>NO</w:t>
            </w:r>
            <w:r w:rsidRPr="000E245D">
              <w:rPr>
                <w:rFonts w:ascii="Arial" w:hAnsi="Arial" w:cs="Arial"/>
                <w:i/>
                <w:iCs/>
                <w:vertAlign w:val="subscript"/>
              </w:rPr>
              <w:t>x</w:t>
            </w:r>
            <w:r w:rsidRPr="00FB0257">
              <w:rPr>
                <w:rFonts w:ascii="Arial" w:hAnsi="Arial" w:cs="Arial"/>
              </w:rPr>
              <w:t xml:space="preserve"> (mg/L)</w:t>
            </w:r>
          </w:p>
        </w:tc>
        <w:tc>
          <w:tcPr>
            <w:tcW w:w="0" w:type="auto"/>
            <w:vAlign w:val="center"/>
          </w:tcPr>
          <w:p w14:paraId="3D05FD6D" w14:textId="77777777" w:rsidR="000E245D" w:rsidRPr="00FB0257" w:rsidRDefault="000E245D" w:rsidP="000E245D">
            <w:pPr>
              <w:pStyle w:val="Compact"/>
              <w:jc w:val="right"/>
              <w:rPr>
                <w:rFonts w:ascii="Arial" w:hAnsi="Arial" w:cs="Arial"/>
              </w:rPr>
            </w:pPr>
            <w:r w:rsidRPr="00FB0257">
              <w:rPr>
                <w:rFonts w:ascii="Arial" w:hAnsi="Arial" w:cs="Arial"/>
              </w:rPr>
              <w:t>0.06</w:t>
            </w:r>
          </w:p>
        </w:tc>
        <w:tc>
          <w:tcPr>
            <w:tcW w:w="0" w:type="auto"/>
            <w:vAlign w:val="center"/>
          </w:tcPr>
          <w:p w14:paraId="29D80269" w14:textId="77777777" w:rsidR="000E245D" w:rsidRPr="00FB0257" w:rsidRDefault="000E245D" w:rsidP="000E245D">
            <w:pPr>
              <w:pStyle w:val="Compact"/>
              <w:jc w:val="right"/>
              <w:rPr>
                <w:rFonts w:ascii="Arial" w:hAnsi="Arial" w:cs="Arial"/>
              </w:rPr>
            </w:pPr>
            <w:r w:rsidRPr="00FB0257">
              <w:rPr>
                <w:rFonts w:ascii="Arial" w:hAnsi="Arial" w:cs="Arial"/>
              </w:rPr>
              <w:t>0.08</w:t>
            </w:r>
          </w:p>
        </w:tc>
        <w:tc>
          <w:tcPr>
            <w:tcW w:w="0" w:type="auto"/>
            <w:vAlign w:val="center"/>
          </w:tcPr>
          <w:p w14:paraId="5EE13861" w14:textId="77777777" w:rsidR="000E245D" w:rsidRPr="00FB0257" w:rsidRDefault="000E245D" w:rsidP="000E245D">
            <w:pPr>
              <w:pStyle w:val="Compact"/>
              <w:jc w:val="right"/>
              <w:rPr>
                <w:rFonts w:ascii="Arial" w:hAnsi="Arial" w:cs="Arial"/>
              </w:rPr>
            </w:pPr>
            <w:r w:rsidRPr="00FB0257">
              <w:rPr>
                <w:rFonts w:ascii="Arial" w:hAnsi="Arial" w:cs="Arial"/>
              </w:rPr>
              <w:t>52</w:t>
            </w:r>
          </w:p>
        </w:tc>
      </w:tr>
      <w:tr w:rsidR="000E245D" w14:paraId="2AEF9C8E" w14:textId="77777777" w:rsidTr="000E245D">
        <w:tc>
          <w:tcPr>
            <w:tcW w:w="0" w:type="auto"/>
            <w:vMerge/>
            <w:vAlign w:val="center"/>
          </w:tcPr>
          <w:p w14:paraId="15291A2D" w14:textId="77777777" w:rsidR="000E245D" w:rsidRPr="00FB0257" w:rsidRDefault="000E245D" w:rsidP="000E245D">
            <w:pPr>
              <w:pStyle w:val="Compact"/>
              <w:rPr>
                <w:rFonts w:ascii="Arial" w:hAnsi="Arial" w:cs="Arial"/>
              </w:rPr>
            </w:pPr>
          </w:p>
        </w:tc>
        <w:tc>
          <w:tcPr>
            <w:tcW w:w="0" w:type="auto"/>
            <w:vAlign w:val="center"/>
          </w:tcPr>
          <w:p w14:paraId="64DDFBA6" w14:textId="77777777" w:rsidR="000E245D" w:rsidRPr="00FB0257" w:rsidRDefault="000E245D" w:rsidP="000E245D">
            <w:pPr>
              <w:pStyle w:val="Compact"/>
              <w:rPr>
                <w:rFonts w:ascii="Arial" w:hAnsi="Arial" w:cs="Arial"/>
              </w:rPr>
            </w:pPr>
            <w:r w:rsidRPr="00FB0257">
              <w:rPr>
                <w:rFonts w:ascii="Arial" w:hAnsi="Arial" w:cs="Arial"/>
              </w:rPr>
              <w:t>TKN (mg/L)</w:t>
            </w:r>
          </w:p>
        </w:tc>
        <w:tc>
          <w:tcPr>
            <w:tcW w:w="0" w:type="auto"/>
            <w:vAlign w:val="center"/>
          </w:tcPr>
          <w:p w14:paraId="330C09B3" w14:textId="77777777" w:rsidR="000E245D" w:rsidRPr="00FB0257" w:rsidRDefault="000E245D" w:rsidP="000E245D">
            <w:pPr>
              <w:pStyle w:val="Compact"/>
              <w:jc w:val="right"/>
              <w:rPr>
                <w:rFonts w:ascii="Arial" w:hAnsi="Arial" w:cs="Arial"/>
              </w:rPr>
            </w:pPr>
            <w:r w:rsidRPr="00FB0257">
              <w:rPr>
                <w:rFonts w:ascii="Arial" w:hAnsi="Arial" w:cs="Arial"/>
              </w:rPr>
              <w:t>0.76</w:t>
            </w:r>
          </w:p>
        </w:tc>
        <w:tc>
          <w:tcPr>
            <w:tcW w:w="0" w:type="auto"/>
            <w:vAlign w:val="center"/>
          </w:tcPr>
          <w:p w14:paraId="6FDCF9E2" w14:textId="77777777" w:rsidR="000E245D" w:rsidRPr="00FB0257" w:rsidRDefault="000E245D" w:rsidP="000E245D">
            <w:pPr>
              <w:pStyle w:val="Compact"/>
              <w:jc w:val="right"/>
              <w:rPr>
                <w:rFonts w:ascii="Arial" w:hAnsi="Arial" w:cs="Arial"/>
              </w:rPr>
            </w:pPr>
            <w:r w:rsidRPr="00FB0257">
              <w:rPr>
                <w:rFonts w:ascii="Arial" w:hAnsi="Arial" w:cs="Arial"/>
              </w:rPr>
              <w:t>0.40</w:t>
            </w:r>
          </w:p>
        </w:tc>
        <w:tc>
          <w:tcPr>
            <w:tcW w:w="0" w:type="auto"/>
            <w:vAlign w:val="center"/>
          </w:tcPr>
          <w:p w14:paraId="0B6B357C" w14:textId="77777777" w:rsidR="000E245D" w:rsidRPr="00FB0257" w:rsidRDefault="000E245D" w:rsidP="000E245D">
            <w:pPr>
              <w:pStyle w:val="Compact"/>
              <w:jc w:val="right"/>
              <w:rPr>
                <w:rFonts w:ascii="Arial" w:hAnsi="Arial" w:cs="Arial"/>
              </w:rPr>
            </w:pPr>
            <w:r w:rsidRPr="00FB0257">
              <w:rPr>
                <w:rFonts w:ascii="Arial" w:hAnsi="Arial" w:cs="Arial"/>
              </w:rPr>
              <w:t>48</w:t>
            </w:r>
          </w:p>
        </w:tc>
      </w:tr>
      <w:tr w:rsidR="000E245D" w14:paraId="5628FD90" w14:textId="77777777" w:rsidTr="000E245D">
        <w:tc>
          <w:tcPr>
            <w:tcW w:w="0" w:type="auto"/>
            <w:vMerge/>
            <w:vAlign w:val="center"/>
          </w:tcPr>
          <w:p w14:paraId="4555CA81" w14:textId="77777777" w:rsidR="000E245D" w:rsidRPr="00FB0257" w:rsidRDefault="000E245D" w:rsidP="000E245D">
            <w:pPr>
              <w:pStyle w:val="Compact"/>
              <w:rPr>
                <w:rFonts w:ascii="Arial" w:hAnsi="Arial" w:cs="Arial"/>
              </w:rPr>
            </w:pPr>
          </w:p>
        </w:tc>
        <w:tc>
          <w:tcPr>
            <w:tcW w:w="0" w:type="auto"/>
            <w:vAlign w:val="center"/>
          </w:tcPr>
          <w:p w14:paraId="07468551" w14:textId="699E32DE" w:rsidR="000E245D" w:rsidRPr="00FB0257" w:rsidRDefault="000E245D" w:rsidP="000E245D">
            <w:pPr>
              <w:pStyle w:val="Compact"/>
              <w:rPr>
                <w:rFonts w:ascii="Arial" w:hAnsi="Arial" w:cs="Arial"/>
              </w:rPr>
            </w:pPr>
            <w:r w:rsidRPr="00FB0257">
              <w:rPr>
                <w:rFonts w:ascii="Arial" w:hAnsi="Arial" w:cs="Arial"/>
              </w:rPr>
              <w:t>Chlorophyll-</w:t>
            </w:r>
            <w:r w:rsidRPr="000E245D">
              <w:rPr>
                <w:rFonts w:ascii="Arial" w:hAnsi="Arial" w:cs="Arial"/>
                <w:i/>
                <w:iCs/>
              </w:rPr>
              <w:t>a</w:t>
            </w:r>
            <w:r w:rsidRPr="00FB0257">
              <w:rPr>
                <w:rFonts w:ascii="Arial" w:hAnsi="Arial" w:cs="Arial"/>
              </w:rPr>
              <w:t xml:space="preserve"> (</w:t>
            </w:r>
            <w:r w:rsidRPr="000E245D">
              <w:rPr>
                <w:rFonts w:ascii="Arial" w:hAnsi="Arial" w:cs="Arial"/>
              </w:rPr>
              <w:t>μ</w:t>
            </w:r>
            <w:r w:rsidRPr="00FB0257">
              <w:rPr>
                <w:rFonts w:ascii="Arial" w:hAnsi="Arial" w:cs="Arial"/>
              </w:rPr>
              <w:t>g/L)</w:t>
            </w:r>
          </w:p>
        </w:tc>
        <w:tc>
          <w:tcPr>
            <w:tcW w:w="0" w:type="auto"/>
            <w:vAlign w:val="center"/>
          </w:tcPr>
          <w:p w14:paraId="37752EB9" w14:textId="77777777" w:rsidR="000E245D" w:rsidRPr="00FB0257" w:rsidRDefault="000E245D" w:rsidP="000E245D">
            <w:pPr>
              <w:pStyle w:val="Compact"/>
              <w:jc w:val="right"/>
              <w:rPr>
                <w:rFonts w:ascii="Arial" w:hAnsi="Arial" w:cs="Arial"/>
              </w:rPr>
            </w:pPr>
            <w:r w:rsidRPr="00FB0257">
              <w:rPr>
                <w:rFonts w:ascii="Arial" w:hAnsi="Arial" w:cs="Arial"/>
              </w:rPr>
              <w:t>8.22</w:t>
            </w:r>
          </w:p>
        </w:tc>
        <w:tc>
          <w:tcPr>
            <w:tcW w:w="0" w:type="auto"/>
            <w:vAlign w:val="center"/>
          </w:tcPr>
          <w:p w14:paraId="258E2ED3" w14:textId="77777777" w:rsidR="000E245D" w:rsidRPr="00FB0257" w:rsidRDefault="000E245D" w:rsidP="000E245D">
            <w:pPr>
              <w:pStyle w:val="Compact"/>
              <w:jc w:val="right"/>
              <w:rPr>
                <w:rFonts w:ascii="Arial" w:hAnsi="Arial" w:cs="Arial"/>
              </w:rPr>
            </w:pPr>
            <w:r w:rsidRPr="00FB0257">
              <w:rPr>
                <w:rFonts w:ascii="Arial" w:hAnsi="Arial" w:cs="Arial"/>
              </w:rPr>
              <w:t>6.44</w:t>
            </w:r>
          </w:p>
        </w:tc>
        <w:tc>
          <w:tcPr>
            <w:tcW w:w="0" w:type="auto"/>
            <w:vAlign w:val="center"/>
          </w:tcPr>
          <w:p w14:paraId="5AA7104B" w14:textId="77777777" w:rsidR="000E245D" w:rsidRPr="00FB0257" w:rsidRDefault="000E245D" w:rsidP="000E245D">
            <w:pPr>
              <w:pStyle w:val="Compact"/>
              <w:jc w:val="right"/>
              <w:rPr>
                <w:rFonts w:ascii="Arial" w:hAnsi="Arial" w:cs="Arial"/>
              </w:rPr>
            </w:pPr>
            <w:r w:rsidRPr="00FB0257">
              <w:rPr>
                <w:rFonts w:ascii="Arial" w:hAnsi="Arial" w:cs="Arial"/>
              </w:rPr>
              <w:t>46</w:t>
            </w:r>
          </w:p>
        </w:tc>
      </w:tr>
      <w:tr w:rsidR="000E245D" w14:paraId="279EF7F0" w14:textId="77777777" w:rsidTr="000E245D">
        <w:tc>
          <w:tcPr>
            <w:tcW w:w="0" w:type="auto"/>
            <w:vMerge/>
            <w:tcBorders>
              <w:bottom w:val="single" w:sz="4" w:space="0" w:color="auto"/>
            </w:tcBorders>
            <w:vAlign w:val="center"/>
          </w:tcPr>
          <w:p w14:paraId="7D9461DD" w14:textId="77777777" w:rsidR="000E245D" w:rsidRPr="00FB0257" w:rsidRDefault="000E245D" w:rsidP="000E245D">
            <w:pPr>
              <w:pStyle w:val="Compact"/>
              <w:rPr>
                <w:rFonts w:ascii="Arial" w:hAnsi="Arial" w:cs="Arial"/>
              </w:rPr>
            </w:pPr>
          </w:p>
        </w:tc>
        <w:tc>
          <w:tcPr>
            <w:tcW w:w="0" w:type="auto"/>
            <w:tcBorders>
              <w:bottom w:val="single" w:sz="4" w:space="0" w:color="auto"/>
            </w:tcBorders>
            <w:vAlign w:val="center"/>
          </w:tcPr>
          <w:p w14:paraId="407B5259" w14:textId="77777777" w:rsidR="000E245D" w:rsidRPr="00FB0257" w:rsidRDefault="000E245D" w:rsidP="000E245D">
            <w:pPr>
              <w:pStyle w:val="Compact"/>
              <w:rPr>
                <w:rFonts w:ascii="Arial" w:hAnsi="Arial" w:cs="Arial"/>
              </w:rPr>
            </w:pPr>
            <w:r w:rsidRPr="00FB0257">
              <w:rPr>
                <w:rFonts w:ascii="Arial" w:hAnsi="Arial" w:cs="Arial"/>
              </w:rPr>
              <w:t>DO (mg/L)</w:t>
            </w:r>
          </w:p>
        </w:tc>
        <w:tc>
          <w:tcPr>
            <w:tcW w:w="0" w:type="auto"/>
            <w:tcBorders>
              <w:bottom w:val="single" w:sz="4" w:space="0" w:color="auto"/>
            </w:tcBorders>
            <w:vAlign w:val="center"/>
          </w:tcPr>
          <w:p w14:paraId="5612EBEF" w14:textId="77777777" w:rsidR="000E245D" w:rsidRPr="00FB0257" w:rsidRDefault="000E245D" w:rsidP="000E245D">
            <w:pPr>
              <w:pStyle w:val="Compact"/>
              <w:jc w:val="right"/>
              <w:rPr>
                <w:rFonts w:ascii="Arial" w:hAnsi="Arial" w:cs="Arial"/>
              </w:rPr>
            </w:pPr>
            <w:r w:rsidRPr="00FB0257">
              <w:rPr>
                <w:rFonts w:ascii="Arial" w:hAnsi="Arial" w:cs="Arial"/>
              </w:rPr>
              <w:t>7.51</w:t>
            </w:r>
          </w:p>
        </w:tc>
        <w:tc>
          <w:tcPr>
            <w:tcW w:w="0" w:type="auto"/>
            <w:tcBorders>
              <w:bottom w:val="single" w:sz="4" w:space="0" w:color="auto"/>
            </w:tcBorders>
            <w:vAlign w:val="center"/>
          </w:tcPr>
          <w:p w14:paraId="2EF2143B" w14:textId="77777777" w:rsidR="000E245D" w:rsidRPr="00FB0257" w:rsidRDefault="000E245D" w:rsidP="000E245D">
            <w:pPr>
              <w:pStyle w:val="Compact"/>
              <w:jc w:val="right"/>
              <w:rPr>
                <w:rFonts w:ascii="Arial" w:hAnsi="Arial" w:cs="Arial"/>
              </w:rPr>
            </w:pPr>
            <w:r w:rsidRPr="00FB0257">
              <w:rPr>
                <w:rFonts w:ascii="Arial" w:hAnsi="Arial" w:cs="Arial"/>
              </w:rPr>
              <w:t>1.32</w:t>
            </w:r>
          </w:p>
        </w:tc>
        <w:tc>
          <w:tcPr>
            <w:tcW w:w="0" w:type="auto"/>
            <w:tcBorders>
              <w:bottom w:val="single" w:sz="4" w:space="0" w:color="auto"/>
            </w:tcBorders>
            <w:vAlign w:val="center"/>
          </w:tcPr>
          <w:p w14:paraId="17FEDE33" w14:textId="77777777" w:rsidR="000E245D" w:rsidRPr="00FB0257" w:rsidRDefault="000E245D" w:rsidP="000E245D">
            <w:pPr>
              <w:pStyle w:val="Compact"/>
              <w:jc w:val="right"/>
              <w:rPr>
                <w:rFonts w:ascii="Arial" w:hAnsi="Arial" w:cs="Arial"/>
              </w:rPr>
            </w:pPr>
            <w:r w:rsidRPr="00FB0257">
              <w:rPr>
                <w:rFonts w:ascii="Arial" w:hAnsi="Arial" w:cs="Arial"/>
              </w:rPr>
              <w:t>54</w:t>
            </w:r>
          </w:p>
        </w:tc>
      </w:tr>
      <w:tr w:rsidR="000E245D" w14:paraId="77F543B8" w14:textId="77777777" w:rsidTr="000E245D">
        <w:tc>
          <w:tcPr>
            <w:tcW w:w="0" w:type="auto"/>
            <w:vMerge w:val="restart"/>
            <w:tcBorders>
              <w:top w:val="single" w:sz="4" w:space="0" w:color="auto"/>
            </w:tcBorders>
            <w:vAlign w:val="center"/>
          </w:tcPr>
          <w:p w14:paraId="189A6883" w14:textId="77777777" w:rsidR="000E245D" w:rsidRPr="00FB0257" w:rsidRDefault="000E245D" w:rsidP="000E245D">
            <w:pPr>
              <w:pStyle w:val="Compact"/>
              <w:rPr>
                <w:rFonts w:ascii="Arial" w:hAnsi="Arial" w:cs="Arial"/>
              </w:rPr>
            </w:pPr>
            <w:r w:rsidRPr="00FB0257">
              <w:rPr>
                <w:rFonts w:ascii="Arial" w:hAnsi="Arial" w:cs="Arial"/>
              </w:rPr>
              <w:t>TCEQ-13563</w:t>
            </w:r>
          </w:p>
        </w:tc>
        <w:tc>
          <w:tcPr>
            <w:tcW w:w="0" w:type="auto"/>
            <w:tcBorders>
              <w:top w:val="single" w:sz="4" w:space="0" w:color="auto"/>
            </w:tcBorders>
            <w:vAlign w:val="center"/>
          </w:tcPr>
          <w:p w14:paraId="76A83783" w14:textId="77777777" w:rsidR="000E245D" w:rsidRPr="00FB0257" w:rsidRDefault="000E245D" w:rsidP="000E245D">
            <w:pPr>
              <w:pStyle w:val="Compact"/>
              <w:rPr>
                <w:rFonts w:ascii="Arial" w:hAnsi="Arial" w:cs="Arial"/>
              </w:rPr>
            </w:pPr>
            <w:r w:rsidRPr="00FB0257">
              <w:rPr>
                <w:rFonts w:ascii="Arial" w:hAnsi="Arial" w:cs="Arial"/>
              </w:rPr>
              <w:t>TP (mg/L)</w:t>
            </w:r>
          </w:p>
        </w:tc>
        <w:tc>
          <w:tcPr>
            <w:tcW w:w="0" w:type="auto"/>
            <w:tcBorders>
              <w:top w:val="single" w:sz="4" w:space="0" w:color="auto"/>
            </w:tcBorders>
            <w:vAlign w:val="center"/>
          </w:tcPr>
          <w:p w14:paraId="2E669932" w14:textId="77777777" w:rsidR="000E245D" w:rsidRPr="00FB0257" w:rsidRDefault="000E245D" w:rsidP="000E245D">
            <w:pPr>
              <w:pStyle w:val="Compact"/>
              <w:jc w:val="right"/>
              <w:rPr>
                <w:rFonts w:ascii="Arial" w:hAnsi="Arial" w:cs="Arial"/>
              </w:rPr>
            </w:pPr>
            <w:r w:rsidRPr="00FB0257">
              <w:rPr>
                <w:rFonts w:ascii="Arial" w:hAnsi="Arial" w:cs="Arial"/>
              </w:rPr>
              <w:t>0.13</w:t>
            </w:r>
          </w:p>
        </w:tc>
        <w:tc>
          <w:tcPr>
            <w:tcW w:w="0" w:type="auto"/>
            <w:tcBorders>
              <w:top w:val="single" w:sz="4" w:space="0" w:color="auto"/>
            </w:tcBorders>
            <w:vAlign w:val="center"/>
          </w:tcPr>
          <w:p w14:paraId="310FEFB4" w14:textId="77777777" w:rsidR="000E245D" w:rsidRPr="00FB0257" w:rsidRDefault="000E245D" w:rsidP="000E245D">
            <w:pPr>
              <w:pStyle w:val="Compact"/>
              <w:jc w:val="right"/>
              <w:rPr>
                <w:rFonts w:ascii="Arial" w:hAnsi="Arial" w:cs="Arial"/>
              </w:rPr>
            </w:pPr>
            <w:r w:rsidRPr="00FB0257">
              <w:rPr>
                <w:rFonts w:ascii="Arial" w:hAnsi="Arial" w:cs="Arial"/>
              </w:rPr>
              <w:t>0.06</w:t>
            </w:r>
          </w:p>
        </w:tc>
        <w:tc>
          <w:tcPr>
            <w:tcW w:w="0" w:type="auto"/>
            <w:tcBorders>
              <w:top w:val="single" w:sz="4" w:space="0" w:color="auto"/>
            </w:tcBorders>
            <w:vAlign w:val="center"/>
          </w:tcPr>
          <w:p w14:paraId="4B6B8C61" w14:textId="77777777" w:rsidR="000E245D" w:rsidRPr="00FB0257" w:rsidRDefault="000E245D" w:rsidP="000E245D">
            <w:pPr>
              <w:pStyle w:val="Compact"/>
              <w:jc w:val="right"/>
              <w:rPr>
                <w:rFonts w:ascii="Arial" w:hAnsi="Arial" w:cs="Arial"/>
              </w:rPr>
            </w:pPr>
            <w:r w:rsidRPr="00FB0257">
              <w:rPr>
                <w:rFonts w:ascii="Arial" w:hAnsi="Arial" w:cs="Arial"/>
              </w:rPr>
              <w:t>50</w:t>
            </w:r>
          </w:p>
        </w:tc>
      </w:tr>
      <w:tr w:rsidR="000E245D" w14:paraId="2A710647" w14:textId="77777777" w:rsidTr="000E245D">
        <w:tc>
          <w:tcPr>
            <w:tcW w:w="0" w:type="auto"/>
            <w:vMerge/>
          </w:tcPr>
          <w:p w14:paraId="1733EBEC" w14:textId="77777777" w:rsidR="000E245D" w:rsidRPr="00FB0257" w:rsidRDefault="000E245D">
            <w:pPr>
              <w:pStyle w:val="Compact"/>
              <w:rPr>
                <w:rFonts w:ascii="Arial" w:hAnsi="Arial" w:cs="Arial"/>
              </w:rPr>
            </w:pPr>
          </w:p>
        </w:tc>
        <w:tc>
          <w:tcPr>
            <w:tcW w:w="0" w:type="auto"/>
            <w:vAlign w:val="center"/>
          </w:tcPr>
          <w:p w14:paraId="3DEE7CCC" w14:textId="77777777" w:rsidR="000E245D" w:rsidRPr="00FB0257" w:rsidRDefault="000E245D" w:rsidP="000E245D">
            <w:pPr>
              <w:pStyle w:val="Compact"/>
              <w:rPr>
                <w:rFonts w:ascii="Arial" w:hAnsi="Arial" w:cs="Arial"/>
              </w:rPr>
            </w:pPr>
            <w:r w:rsidRPr="00FB0257">
              <w:rPr>
                <w:rFonts w:ascii="Arial" w:hAnsi="Arial" w:cs="Arial"/>
              </w:rPr>
              <w:t>NO</w:t>
            </w:r>
            <w:r w:rsidRPr="000E245D">
              <w:rPr>
                <w:rFonts w:ascii="Arial" w:hAnsi="Arial" w:cs="Arial"/>
                <w:i/>
                <w:iCs/>
                <w:vertAlign w:val="subscript"/>
              </w:rPr>
              <w:t>x</w:t>
            </w:r>
            <w:r w:rsidRPr="00FB0257">
              <w:rPr>
                <w:rFonts w:ascii="Arial" w:hAnsi="Arial" w:cs="Arial"/>
              </w:rPr>
              <w:t xml:space="preserve"> (mg/L)</w:t>
            </w:r>
          </w:p>
        </w:tc>
        <w:tc>
          <w:tcPr>
            <w:tcW w:w="0" w:type="auto"/>
            <w:vAlign w:val="center"/>
          </w:tcPr>
          <w:p w14:paraId="01368391" w14:textId="77777777" w:rsidR="000E245D" w:rsidRPr="00FB0257" w:rsidRDefault="000E245D" w:rsidP="000E245D">
            <w:pPr>
              <w:pStyle w:val="Compact"/>
              <w:jc w:val="right"/>
              <w:rPr>
                <w:rFonts w:ascii="Arial" w:hAnsi="Arial" w:cs="Arial"/>
              </w:rPr>
            </w:pPr>
            <w:r w:rsidRPr="00FB0257">
              <w:rPr>
                <w:rFonts w:ascii="Arial" w:hAnsi="Arial" w:cs="Arial"/>
              </w:rPr>
              <w:t>0.09</w:t>
            </w:r>
          </w:p>
        </w:tc>
        <w:tc>
          <w:tcPr>
            <w:tcW w:w="0" w:type="auto"/>
            <w:vAlign w:val="center"/>
          </w:tcPr>
          <w:p w14:paraId="236202E8" w14:textId="77777777" w:rsidR="000E245D" w:rsidRPr="00FB0257" w:rsidRDefault="000E245D" w:rsidP="000E245D">
            <w:pPr>
              <w:pStyle w:val="Compact"/>
              <w:jc w:val="right"/>
              <w:rPr>
                <w:rFonts w:ascii="Arial" w:hAnsi="Arial" w:cs="Arial"/>
              </w:rPr>
            </w:pPr>
            <w:r w:rsidRPr="00FB0257">
              <w:rPr>
                <w:rFonts w:ascii="Arial" w:hAnsi="Arial" w:cs="Arial"/>
              </w:rPr>
              <w:t>0.13</w:t>
            </w:r>
          </w:p>
        </w:tc>
        <w:tc>
          <w:tcPr>
            <w:tcW w:w="0" w:type="auto"/>
            <w:vAlign w:val="center"/>
          </w:tcPr>
          <w:p w14:paraId="02163EBA" w14:textId="77777777" w:rsidR="000E245D" w:rsidRPr="00FB0257" w:rsidRDefault="000E245D" w:rsidP="000E245D">
            <w:pPr>
              <w:pStyle w:val="Compact"/>
              <w:jc w:val="right"/>
              <w:rPr>
                <w:rFonts w:ascii="Arial" w:hAnsi="Arial" w:cs="Arial"/>
              </w:rPr>
            </w:pPr>
            <w:r w:rsidRPr="00FB0257">
              <w:rPr>
                <w:rFonts w:ascii="Arial" w:hAnsi="Arial" w:cs="Arial"/>
              </w:rPr>
              <w:t>53</w:t>
            </w:r>
          </w:p>
        </w:tc>
      </w:tr>
      <w:tr w:rsidR="000E245D" w14:paraId="09E251E9" w14:textId="77777777" w:rsidTr="000E245D">
        <w:tc>
          <w:tcPr>
            <w:tcW w:w="0" w:type="auto"/>
            <w:vMerge/>
          </w:tcPr>
          <w:p w14:paraId="4D0AA36E" w14:textId="77777777" w:rsidR="000E245D" w:rsidRPr="00FB0257" w:rsidRDefault="000E245D">
            <w:pPr>
              <w:pStyle w:val="Compact"/>
              <w:rPr>
                <w:rFonts w:ascii="Arial" w:hAnsi="Arial" w:cs="Arial"/>
              </w:rPr>
            </w:pPr>
          </w:p>
        </w:tc>
        <w:tc>
          <w:tcPr>
            <w:tcW w:w="0" w:type="auto"/>
            <w:vAlign w:val="center"/>
          </w:tcPr>
          <w:p w14:paraId="2C2C8CB0" w14:textId="77777777" w:rsidR="000E245D" w:rsidRPr="00FB0257" w:rsidRDefault="000E245D" w:rsidP="000E245D">
            <w:pPr>
              <w:pStyle w:val="Compact"/>
              <w:rPr>
                <w:rFonts w:ascii="Arial" w:hAnsi="Arial" w:cs="Arial"/>
              </w:rPr>
            </w:pPr>
            <w:r w:rsidRPr="00FB0257">
              <w:rPr>
                <w:rFonts w:ascii="Arial" w:hAnsi="Arial" w:cs="Arial"/>
              </w:rPr>
              <w:t>TKN (mg/L)</w:t>
            </w:r>
          </w:p>
        </w:tc>
        <w:tc>
          <w:tcPr>
            <w:tcW w:w="0" w:type="auto"/>
            <w:vAlign w:val="center"/>
          </w:tcPr>
          <w:p w14:paraId="441E164D" w14:textId="77777777" w:rsidR="000E245D" w:rsidRPr="00FB0257" w:rsidRDefault="000E245D" w:rsidP="000E245D">
            <w:pPr>
              <w:pStyle w:val="Compact"/>
              <w:jc w:val="right"/>
              <w:rPr>
                <w:rFonts w:ascii="Arial" w:hAnsi="Arial" w:cs="Arial"/>
              </w:rPr>
            </w:pPr>
            <w:r w:rsidRPr="00FB0257">
              <w:rPr>
                <w:rFonts w:ascii="Arial" w:hAnsi="Arial" w:cs="Arial"/>
              </w:rPr>
              <w:t>0.94</w:t>
            </w:r>
          </w:p>
        </w:tc>
        <w:tc>
          <w:tcPr>
            <w:tcW w:w="0" w:type="auto"/>
            <w:vAlign w:val="center"/>
          </w:tcPr>
          <w:p w14:paraId="514A640F" w14:textId="77777777" w:rsidR="000E245D" w:rsidRPr="00FB0257" w:rsidRDefault="000E245D" w:rsidP="000E245D">
            <w:pPr>
              <w:pStyle w:val="Compact"/>
              <w:jc w:val="right"/>
              <w:rPr>
                <w:rFonts w:ascii="Arial" w:hAnsi="Arial" w:cs="Arial"/>
              </w:rPr>
            </w:pPr>
            <w:r w:rsidRPr="00FB0257">
              <w:rPr>
                <w:rFonts w:ascii="Arial" w:hAnsi="Arial" w:cs="Arial"/>
              </w:rPr>
              <w:t>0.37</w:t>
            </w:r>
          </w:p>
        </w:tc>
        <w:tc>
          <w:tcPr>
            <w:tcW w:w="0" w:type="auto"/>
            <w:vAlign w:val="center"/>
          </w:tcPr>
          <w:p w14:paraId="2DED765B" w14:textId="77777777" w:rsidR="000E245D" w:rsidRPr="00FB0257" w:rsidRDefault="000E245D" w:rsidP="000E245D">
            <w:pPr>
              <w:pStyle w:val="Compact"/>
              <w:jc w:val="right"/>
              <w:rPr>
                <w:rFonts w:ascii="Arial" w:hAnsi="Arial" w:cs="Arial"/>
              </w:rPr>
            </w:pPr>
            <w:r w:rsidRPr="00FB0257">
              <w:rPr>
                <w:rFonts w:ascii="Arial" w:hAnsi="Arial" w:cs="Arial"/>
              </w:rPr>
              <w:t>49</w:t>
            </w:r>
          </w:p>
        </w:tc>
      </w:tr>
      <w:tr w:rsidR="000E245D" w14:paraId="5C8CB62C" w14:textId="77777777" w:rsidTr="000E245D">
        <w:tc>
          <w:tcPr>
            <w:tcW w:w="0" w:type="auto"/>
            <w:vMerge/>
          </w:tcPr>
          <w:p w14:paraId="4A6D0ABF" w14:textId="77777777" w:rsidR="000E245D" w:rsidRPr="00FB0257" w:rsidRDefault="000E245D">
            <w:pPr>
              <w:pStyle w:val="Compact"/>
              <w:rPr>
                <w:rFonts w:ascii="Arial" w:hAnsi="Arial" w:cs="Arial"/>
              </w:rPr>
            </w:pPr>
          </w:p>
        </w:tc>
        <w:tc>
          <w:tcPr>
            <w:tcW w:w="0" w:type="auto"/>
            <w:vAlign w:val="center"/>
          </w:tcPr>
          <w:p w14:paraId="54421694" w14:textId="711DB55E" w:rsidR="000E245D" w:rsidRPr="00FB0257" w:rsidRDefault="000E245D" w:rsidP="000E245D">
            <w:pPr>
              <w:pStyle w:val="Compact"/>
              <w:rPr>
                <w:rFonts w:ascii="Arial" w:hAnsi="Arial" w:cs="Arial"/>
              </w:rPr>
            </w:pPr>
            <w:r w:rsidRPr="00FB0257">
              <w:rPr>
                <w:rFonts w:ascii="Arial" w:hAnsi="Arial" w:cs="Arial"/>
              </w:rPr>
              <w:t>Chlorophyll-</w:t>
            </w:r>
            <w:r w:rsidRPr="000E245D">
              <w:rPr>
                <w:rFonts w:ascii="Arial" w:hAnsi="Arial" w:cs="Arial"/>
                <w:i/>
                <w:iCs/>
              </w:rPr>
              <w:t>a</w:t>
            </w:r>
            <w:r w:rsidRPr="00FB0257">
              <w:rPr>
                <w:rFonts w:ascii="Arial" w:hAnsi="Arial" w:cs="Arial"/>
              </w:rPr>
              <w:t xml:space="preserve"> (</w:t>
            </w:r>
            <w:r w:rsidRPr="000E245D">
              <w:rPr>
                <w:rFonts w:ascii="Arial" w:hAnsi="Arial" w:cs="Arial"/>
              </w:rPr>
              <w:t>μ</w:t>
            </w:r>
            <w:r w:rsidRPr="00FB0257">
              <w:rPr>
                <w:rFonts w:ascii="Arial" w:hAnsi="Arial" w:cs="Arial"/>
              </w:rPr>
              <w:t>g/L)</w:t>
            </w:r>
          </w:p>
        </w:tc>
        <w:tc>
          <w:tcPr>
            <w:tcW w:w="0" w:type="auto"/>
            <w:vAlign w:val="center"/>
          </w:tcPr>
          <w:p w14:paraId="066919C4" w14:textId="77777777" w:rsidR="000E245D" w:rsidRPr="00FB0257" w:rsidRDefault="000E245D" w:rsidP="000E245D">
            <w:pPr>
              <w:pStyle w:val="Compact"/>
              <w:jc w:val="right"/>
              <w:rPr>
                <w:rFonts w:ascii="Arial" w:hAnsi="Arial" w:cs="Arial"/>
              </w:rPr>
            </w:pPr>
            <w:r w:rsidRPr="00FB0257">
              <w:rPr>
                <w:rFonts w:ascii="Arial" w:hAnsi="Arial" w:cs="Arial"/>
              </w:rPr>
              <w:t>9.67</w:t>
            </w:r>
          </w:p>
        </w:tc>
        <w:tc>
          <w:tcPr>
            <w:tcW w:w="0" w:type="auto"/>
            <w:vAlign w:val="center"/>
          </w:tcPr>
          <w:p w14:paraId="090E1A32" w14:textId="77777777" w:rsidR="000E245D" w:rsidRPr="00FB0257" w:rsidRDefault="000E245D" w:rsidP="000E245D">
            <w:pPr>
              <w:pStyle w:val="Compact"/>
              <w:jc w:val="right"/>
              <w:rPr>
                <w:rFonts w:ascii="Arial" w:hAnsi="Arial" w:cs="Arial"/>
              </w:rPr>
            </w:pPr>
            <w:r w:rsidRPr="00FB0257">
              <w:rPr>
                <w:rFonts w:ascii="Arial" w:hAnsi="Arial" w:cs="Arial"/>
              </w:rPr>
              <w:t>5.33</w:t>
            </w:r>
          </w:p>
        </w:tc>
        <w:tc>
          <w:tcPr>
            <w:tcW w:w="0" w:type="auto"/>
            <w:vAlign w:val="center"/>
          </w:tcPr>
          <w:p w14:paraId="7D0FA728" w14:textId="77777777" w:rsidR="000E245D" w:rsidRPr="00FB0257" w:rsidRDefault="000E245D" w:rsidP="000E245D">
            <w:pPr>
              <w:pStyle w:val="Compact"/>
              <w:jc w:val="right"/>
              <w:rPr>
                <w:rFonts w:ascii="Arial" w:hAnsi="Arial" w:cs="Arial"/>
              </w:rPr>
            </w:pPr>
            <w:r w:rsidRPr="00FB0257">
              <w:rPr>
                <w:rFonts w:ascii="Arial" w:hAnsi="Arial" w:cs="Arial"/>
              </w:rPr>
              <w:t>49</w:t>
            </w:r>
          </w:p>
        </w:tc>
      </w:tr>
      <w:tr w:rsidR="000E245D" w14:paraId="15FF3827" w14:textId="77777777" w:rsidTr="000E245D">
        <w:tc>
          <w:tcPr>
            <w:tcW w:w="0" w:type="auto"/>
            <w:vMerge/>
            <w:tcBorders>
              <w:bottom w:val="single" w:sz="4" w:space="0" w:color="auto"/>
            </w:tcBorders>
          </w:tcPr>
          <w:p w14:paraId="1D358D94" w14:textId="77777777" w:rsidR="000E245D" w:rsidRPr="00FB0257" w:rsidRDefault="000E245D">
            <w:pPr>
              <w:pStyle w:val="Compact"/>
              <w:rPr>
                <w:rFonts w:ascii="Arial" w:hAnsi="Arial" w:cs="Arial"/>
              </w:rPr>
            </w:pPr>
          </w:p>
        </w:tc>
        <w:tc>
          <w:tcPr>
            <w:tcW w:w="0" w:type="auto"/>
            <w:tcBorders>
              <w:bottom w:val="single" w:sz="4" w:space="0" w:color="auto"/>
            </w:tcBorders>
            <w:vAlign w:val="center"/>
          </w:tcPr>
          <w:p w14:paraId="2A852735" w14:textId="77777777" w:rsidR="000E245D" w:rsidRPr="00FB0257" w:rsidRDefault="000E245D" w:rsidP="000E245D">
            <w:pPr>
              <w:pStyle w:val="Compact"/>
              <w:rPr>
                <w:rFonts w:ascii="Arial" w:hAnsi="Arial" w:cs="Arial"/>
              </w:rPr>
            </w:pPr>
            <w:r w:rsidRPr="00FB0257">
              <w:rPr>
                <w:rFonts w:ascii="Arial" w:hAnsi="Arial" w:cs="Arial"/>
              </w:rPr>
              <w:t>DO (mg/L)</w:t>
            </w:r>
          </w:p>
        </w:tc>
        <w:tc>
          <w:tcPr>
            <w:tcW w:w="0" w:type="auto"/>
            <w:tcBorders>
              <w:bottom w:val="single" w:sz="4" w:space="0" w:color="auto"/>
            </w:tcBorders>
            <w:vAlign w:val="center"/>
          </w:tcPr>
          <w:p w14:paraId="513DD7D2" w14:textId="77777777" w:rsidR="000E245D" w:rsidRPr="00FB0257" w:rsidRDefault="000E245D" w:rsidP="000E245D">
            <w:pPr>
              <w:pStyle w:val="Compact"/>
              <w:jc w:val="right"/>
              <w:rPr>
                <w:rFonts w:ascii="Arial" w:hAnsi="Arial" w:cs="Arial"/>
              </w:rPr>
            </w:pPr>
            <w:r w:rsidRPr="00FB0257">
              <w:rPr>
                <w:rFonts w:ascii="Arial" w:hAnsi="Arial" w:cs="Arial"/>
              </w:rPr>
              <w:t>7.91</w:t>
            </w:r>
          </w:p>
        </w:tc>
        <w:tc>
          <w:tcPr>
            <w:tcW w:w="0" w:type="auto"/>
            <w:tcBorders>
              <w:bottom w:val="single" w:sz="4" w:space="0" w:color="auto"/>
            </w:tcBorders>
            <w:vAlign w:val="center"/>
          </w:tcPr>
          <w:p w14:paraId="4C8D7CA3" w14:textId="77777777" w:rsidR="000E245D" w:rsidRPr="00FB0257" w:rsidRDefault="000E245D" w:rsidP="000E245D">
            <w:pPr>
              <w:pStyle w:val="Compact"/>
              <w:jc w:val="right"/>
              <w:rPr>
                <w:rFonts w:ascii="Arial" w:hAnsi="Arial" w:cs="Arial"/>
              </w:rPr>
            </w:pPr>
            <w:r w:rsidRPr="00FB0257">
              <w:rPr>
                <w:rFonts w:ascii="Arial" w:hAnsi="Arial" w:cs="Arial"/>
              </w:rPr>
              <w:t>1.34</w:t>
            </w:r>
          </w:p>
        </w:tc>
        <w:tc>
          <w:tcPr>
            <w:tcW w:w="0" w:type="auto"/>
            <w:tcBorders>
              <w:bottom w:val="single" w:sz="4" w:space="0" w:color="auto"/>
            </w:tcBorders>
            <w:vAlign w:val="center"/>
          </w:tcPr>
          <w:p w14:paraId="6AF361E3" w14:textId="77777777" w:rsidR="000E245D" w:rsidRPr="00FB0257" w:rsidRDefault="000E245D" w:rsidP="000E245D">
            <w:pPr>
              <w:pStyle w:val="Compact"/>
              <w:jc w:val="right"/>
              <w:rPr>
                <w:rFonts w:ascii="Arial" w:hAnsi="Arial" w:cs="Arial"/>
              </w:rPr>
            </w:pPr>
            <w:r w:rsidRPr="00FB0257">
              <w:rPr>
                <w:rFonts w:ascii="Arial" w:hAnsi="Arial" w:cs="Arial"/>
              </w:rPr>
              <w:t>56</w:t>
            </w:r>
          </w:p>
        </w:tc>
      </w:tr>
    </w:tbl>
    <w:p w14:paraId="7B19FF37" w14:textId="77777777" w:rsidR="00E80F9C" w:rsidRDefault="00000000">
      <w:pPr>
        <w:pStyle w:val="Heading2"/>
      </w:pPr>
      <w:bookmarkStart w:id="7" w:name="X8518db732b9087f4bede302439607046dbe3cc6"/>
      <w:bookmarkEnd w:id="3"/>
      <w:bookmarkEnd w:id="6"/>
      <w:r>
        <w:t>Estimating Watershed Based Nutrient Loads</w:t>
      </w:r>
    </w:p>
    <w:p w14:paraId="2F60D306" w14:textId="77777777" w:rsidR="00E80F9C" w:rsidRDefault="00000000">
      <w:pPr>
        <w:pStyle w:val="FirstParagraph"/>
      </w:pPr>
      <w:r>
        <w:t>Estimates of NO</w:t>
      </w:r>
      <w:r>
        <w:rPr>
          <w:vertAlign w:val="subscript"/>
        </w:rPr>
        <w:t>3</w:t>
      </w:r>
      <w:r>
        <w:t xml:space="preserve"> and TP loads at the Lavaca River (USGS-08164000) and the outlet of Lake Texana on the Navidad River (USGS-08164525) were developed using Generalized Additive Models (GAMs) relating nutrient concentration to river discharge, season, and time. Separate models were fit at each station for each parameter and used to predict nutrient concentrations for each day in the study period. GAMs can be specified in a functionally similar manner to the commonly used LOADEST [23] or WRTDS [24] regression models and have been shown to produce reliable estimates of nutrient and sediment loadings [25–31]. GAMs are a semiparametric extension of generalized linear models where the linear predictor is represented as the sum of multiple unknown smooth functions and parametric linear predictors [32]. Although the underlying parameter estimation procedure of GAMs is substantially different than WRTDS, both the functional form and results are demonstrated to be similar [33]. GAMs were chosen over other regression-based approached for use in this study due to; (1) the ability to </w:t>
      </w:r>
      <w:r>
        <w:lastRenderedPageBreak/>
        <w:t>easily explore and incorporate different model terms; (2) the incorporation of non-liner smooth functions that do not require explicit a priori knowledge of the expected shape; and (3) inclusion of a link function that related the expected value of the response to linear predictors thus avoiding unneeded data transformations and bias corrections.</w:t>
      </w:r>
    </w:p>
    <w:p w14:paraId="308C5257" w14:textId="77777777" w:rsidR="00E80F9C" w:rsidRDefault="00000000">
      <w:pPr>
        <w:pStyle w:val="BodyText"/>
      </w:pPr>
      <w:r>
        <w:t xml:space="preserve">GAMs were fit using the </w:t>
      </w:r>
      <w:r>
        <w:rPr>
          <w:i/>
          <w:iCs/>
        </w:rPr>
        <w:t>mgcv</w:t>
      </w:r>
      <w:r>
        <w:t xml:space="preserve"> package in R which makes available multiple types of smooth functions with automatic smoothness selection [32]. The general form of the model related NO</w:t>
      </w:r>
      <w:r>
        <w:rPr>
          <w:vertAlign w:val="subscript"/>
        </w:rPr>
        <w:t>3</w:t>
      </w:r>
      <w:r>
        <w:t xml:space="preserve"> or TP concentration to a long term tend, season, streamflow, and two different antecedent discharge terms:</w:t>
      </w:r>
    </w:p>
    <w:p w14:paraId="123FA02F" w14:textId="77777777" w:rsidR="00E80F9C" w:rsidRDefault="00000000">
      <w:pPr>
        <w:pStyle w:val="BodyText"/>
      </w:pPr>
      <w:bookmarkStart w:id="8" w:name="eq-eq1"/>
      <m:oMathPara>
        <m:oMathParaPr>
          <m:jc m:val="center"/>
        </m:oMathParaPr>
        <m:oMath>
          <m:r>
            <w:rPr>
              <w:rFonts w:ascii="STIX Two Math" w:hAnsi="STIX Two Math" w:cs="STIX Two Math"/>
            </w:rPr>
            <m:t>g</m:t>
          </m:r>
          <m:d>
            <m:dPr>
              <m:ctrlPr>
                <w:rPr>
                  <w:rFonts w:ascii="STIX Two Math" w:hAnsi="STIX Two Math"/>
                </w:rPr>
              </m:ctrlPr>
            </m:dPr>
            <m:e>
              <m:r>
                <w:rPr>
                  <w:rFonts w:ascii="STIX Two Math" w:hAnsi="STIX Two Math" w:cs="STIX Two Math"/>
                </w:rPr>
                <m:t>μ</m:t>
              </m:r>
            </m:e>
          </m:d>
          <m:r>
            <m:rPr>
              <m:sty m:val="p"/>
            </m:rPr>
            <w:rPr>
              <w:rFonts w:ascii="STIX Two Math" w:hAnsi="STIX Two Math" w:cs="STIX Two Math"/>
            </w:rPr>
            <m:t>=</m:t>
          </m:r>
          <m:r>
            <w:rPr>
              <w:rFonts w:ascii="STIX Two Math" w:hAnsi="STIX Two Math" w:cs="STIX Two Math"/>
            </w:rPr>
            <m:t>α</m:t>
          </m:r>
          <m:r>
            <m:rPr>
              <m:sty m:val="p"/>
            </m:rPr>
            <w:rPr>
              <w:rFonts w:ascii="STIX Two Math" w:hAnsi="STIX Two Math" w:cs="STIX Two Math"/>
            </w:rPr>
            <m:t>+</m:t>
          </m:r>
          <m:sSub>
            <m:sSubPr>
              <m:ctrlPr>
                <w:rPr>
                  <w:rFonts w:ascii="STIX Two Math" w:hAnsi="STIX Two Math"/>
                </w:rPr>
              </m:ctrlPr>
            </m:sSubPr>
            <m:e>
              <m:r>
                <w:rPr>
                  <w:rFonts w:ascii="STIX Two Math" w:hAnsi="STIX Two Math" w:cs="STIX Two Math"/>
                </w:rPr>
                <m:t>f</m:t>
              </m:r>
            </m:e>
            <m:sub>
              <m:r>
                <w:rPr>
                  <w:rFonts w:ascii="STIX Two Math" w:hAnsi="STIX Two Math" w:cs="STIX Two Math"/>
                </w:rPr>
                <m:t>1</m:t>
              </m:r>
            </m:sub>
          </m:sSub>
          <m:d>
            <m:dPr>
              <m:ctrlPr>
                <w:rPr>
                  <w:rFonts w:ascii="STIX Two Math" w:hAnsi="STIX Two Math"/>
                </w:rPr>
              </m:ctrlPr>
            </m:dPr>
            <m:e>
              <m:r>
                <w:rPr>
                  <w:rFonts w:ascii="STIX Two Math" w:hAnsi="STIX Two Math" w:cs="STIX Two Math"/>
                </w:rPr>
                <m:t>ddate</m:t>
              </m:r>
            </m:e>
          </m:d>
          <m:r>
            <m:rPr>
              <m:sty m:val="p"/>
            </m:rPr>
            <w:rPr>
              <w:rFonts w:ascii="STIX Two Math" w:hAnsi="STIX Two Math" w:cs="STIX Two Math"/>
            </w:rPr>
            <m:t>+</m:t>
          </m:r>
          <m:sSub>
            <m:sSubPr>
              <m:ctrlPr>
                <w:rPr>
                  <w:rFonts w:ascii="STIX Two Math" w:hAnsi="STIX Two Math"/>
                </w:rPr>
              </m:ctrlPr>
            </m:sSubPr>
            <m:e>
              <m:r>
                <w:rPr>
                  <w:rFonts w:ascii="STIX Two Math" w:hAnsi="STIX Two Math" w:cs="STIX Two Math"/>
                </w:rPr>
                <m:t>f</m:t>
              </m:r>
            </m:e>
            <m:sub>
              <m:r>
                <w:rPr>
                  <w:rFonts w:ascii="STIX Two Math" w:hAnsi="STIX Two Math" w:cs="STIX Two Math"/>
                </w:rPr>
                <m:t>2</m:t>
              </m:r>
            </m:sub>
          </m:sSub>
          <m:d>
            <m:dPr>
              <m:ctrlPr>
                <w:rPr>
                  <w:rFonts w:ascii="STIX Two Math" w:hAnsi="STIX Two Math"/>
                </w:rPr>
              </m:ctrlPr>
            </m:dPr>
            <m:e>
              <m:r>
                <w:rPr>
                  <w:rFonts w:ascii="STIX Two Math" w:hAnsi="STIX Two Math" w:cs="STIX Two Math"/>
                </w:rPr>
                <m:t>yday</m:t>
              </m:r>
            </m:e>
          </m:d>
          <m:r>
            <m:rPr>
              <m:sty m:val="p"/>
            </m:rPr>
            <w:rPr>
              <w:rFonts w:ascii="STIX Two Math" w:hAnsi="STIX Two Math" w:cs="STIX Two Math"/>
            </w:rPr>
            <m:t>+</m:t>
          </m:r>
          <m:sSub>
            <m:sSubPr>
              <m:ctrlPr>
                <w:rPr>
                  <w:rFonts w:ascii="STIX Two Math" w:hAnsi="STIX Two Math"/>
                </w:rPr>
              </m:ctrlPr>
            </m:sSubPr>
            <m:e>
              <m:r>
                <w:rPr>
                  <w:rFonts w:ascii="STIX Two Math" w:hAnsi="STIX Two Math" w:cs="STIX Two Math"/>
                </w:rPr>
                <m:t>f</m:t>
              </m:r>
            </m:e>
            <m:sub>
              <m:r>
                <w:rPr>
                  <w:rFonts w:ascii="STIX Two Math" w:hAnsi="STIX Two Math" w:cs="STIX Two Math"/>
                </w:rPr>
                <m:t>3</m:t>
              </m:r>
            </m:sub>
          </m:sSub>
          <m:d>
            <m:dPr>
              <m:ctrlPr>
                <w:rPr>
                  <w:rFonts w:ascii="STIX Two Math" w:hAnsi="STIX Two Math"/>
                </w:rPr>
              </m:ctrlPr>
            </m:dPr>
            <m:e>
              <m:r>
                <w:rPr>
                  <w:rFonts w:ascii="STIX Two Math" w:hAnsi="STIX Two Math" w:cs="STIX Two Math"/>
                </w:rPr>
                <m:t>log1p</m:t>
              </m:r>
              <m:d>
                <m:dPr>
                  <m:ctrlPr>
                    <w:rPr>
                      <w:rFonts w:ascii="STIX Two Math" w:hAnsi="STIX Two Math"/>
                    </w:rPr>
                  </m:ctrlPr>
                </m:dPr>
                <m:e>
                  <m:r>
                    <w:rPr>
                      <w:rFonts w:ascii="STIX Two Math" w:hAnsi="STIX Two Math" w:cs="STIX Two Math"/>
                    </w:rPr>
                    <m:t>Q</m:t>
                  </m:r>
                </m:e>
              </m:d>
            </m:e>
          </m:d>
          <m:r>
            <m:rPr>
              <m:sty m:val="p"/>
            </m:rPr>
            <w:rPr>
              <w:rFonts w:ascii="STIX Two Math" w:hAnsi="STIX Two Math" w:cs="STIX Two Math"/>
            </w:rPr>
            <m:t>+</m:t>
          </m:r>
          <m:sSub>
            <m:sSubPr>
              <m:ctrlPr>
                <w:rPr>
                  <w:rFonts w:ascii="STIX Two Math" w:hAnsi="STIX Two Math"/>
                </w:rPr>
              </m:ctrlPr>
            </m:sSubPr>
            <m:e>
              <m:r>
                <w:rPr>
                  <w:rFonts w:ascii="STIX Two Math" w:hAnsi="STIX Two Math" w:cs="STIX Two Math"/>
                </w:rPr>
                <m:t>f</m:t>
              </m:r>
            </m:e>
            <m:sub>
              <m:r>
                <w:rPr>
                  <w:rFonts w:ascii="STIX Two Math" w:hAnsi="STIX Two Math" w:cs="STIX Two Math"/>
                </w:rPr>
                <m:t>4</m:t>
              </m:r>
            </m:sub>
          </m:sSub>
          <m:d>
            <m:dPr>
              <m:ctrlPr>
                <w:rPr>
                  <w:rFonts w:ascii="STIX Two Math" w:hAnsi="STIX Two Math"/>
                </w:rPr>
              </m:ctrlPr>
            </m:dPr>
            <m:e>
              <m:r>
                <w:rPr>
                  <w:rFonts w:ascii="STIX Two Math" w:hAnsi="STIX Two Math" w:cs="STIX Two Math"/>
                </w:rPr>
                <m:t>ma</m:t>
              </m:r>
            </m:e>
          </m:d>
          <m:r>
            <m:rPr>
              <m:sty m:val="p"/>
            </m:rPr>
            <w:rPr>
              <w:rFonts w:ascii="STIX Two Math" w:hAnsi="STIX Two Math" w:cs="STIX Two Math"/>
            </w:rPr>
            <m:t>+</m:t>
          </m:r>
          <m:sSub>
            <m:sSubPr>
              <m:ctrlPr>
                <w:rPr>
                  <w:rFonts w:ascii="STIX Two Math" w:hAnsi="STIX Two Math"/>
                </w:rPr>
              </m:ctrlPr>
            </m:sSubPr>
            <m:e>
              <m:r>
                <w:rPr>
                  <w:rFonts w:ascii="STIX Two Math" w:hAnsi="STIX Two Math" w:cs="STIX Two Math"/>
                </w:rPr>
                <m:t>f</m:t>
              </m:r>
            </m:e>
            <m:sub>
              <m:r>
                <w:rPr>
                  <w:rFonts w:ascii="STIX Two Math" w:hAnsi="STIX Two Math" w:cs="STIX Two Math"/>
                </w:rPr>
                <m:t>5</m:t>
              </m:r>
            </m:sub>
          </m:sSub>
          <m:d>
            <m:dPr>
              <m:ctrlPr>
                <w:rPr>
                  <w:rFonts w:ascii="STIX Two Math" w:hAnsi="STIX Two Math"/>
                </w:rPr>
              </m:ctrlPr>
            </m:dPr>
            <m:e>
              <m:r>
                <w:rPr>
                  <w:rFonts w:ascii="STIX Two Math" w:hAnsi="STIX Two Math" w:cs="STIX Two Math"/>
                </w:rPr>
                <m:t>fa</m:t>
              </m:r>
            </m:e>
          </m:d>
          <m:r>
            <w:rPr>
              <w:rFonts w:ascii="STIX Two Math" w:hAnsi="STIX Two Math" w:cs="STIX Two Math"/>
            </w:rPr>
            <m:t>y</m:t>
          </m:r>
          <m:r>
            <m:rPr>
              <m:scr m:val="script"/>
              <m:sty m:val="p"/>
            </m:rPr>
            <w:rPr>
              <w:rFonts w:ascii="STIX Two Math" w:hAnsi="STIX Two Math" w:cs="STIX Two Math"/>
            </w:rPr>
            <m:t>∼N</m:t>
          </m:r>
          <m:d>
            <m:dPr>
              <m:ctrlPr>
                <w:rPr>
                  <w:rFonts w:ascii="STIX Two Math" w:hAnsi="STIX Two Math"/>
                </w:rPr>
              </m:ctrlPr>
            </m:dPr>
            <m:e>
              <m:r>
                <w:rPr>
                  <w:rFonts w:ascii="STIX Two Math" w:hAnsi="STIX Two Math" w:cs="STIX Two Math"/>
                </w:rPr>
                <m:t>μ</m:t>
              </m:r>
              <m:r>
                <m:rPr>
                  <m:sty m:val="p"/>
                </m:rPr>
                <w:rPr>
                  <w:rFonts w:ascii="STIX Two Math" w:hAnsi="STIX Two Math" w:cs="STIX Two Math"/>
                </w:rPr>
                <m:t>,</m:t>
              </m:r>
              <m:r>
                <w:rPr>
                  <w:rFonts w:ascii="STIX Two Math" w:hAnsi="STIX Two Math" w:cs="STIX Two Math"/>
                </w:rPr>
                <m:t> </m:t>
              </m:r>
              <m:sSup>
                <m:sSupPr>
                  <m:ctrlPr>
                    <w:rPr>
                      <w:rFonts w:ascii="STIX Two Math" w:hAnsi="STIX Two Math"/>
                    </w:rPr>
                  </m:ctrlPr>
                </m:sSupPr>
                <m:e>
                  <m:r>
                    <w:rPr>
                      <w:rFonts w:ascii="STIX Two Math" w:hAnsi="STIX Two Math" w:cs="STIX Two Math"/>
                    </w:rPr>
                    <m:t>σ</m:t>
                  </m:r>
                </m:e>
                <m:sup>
                  <m:r>
                    <w:rPr>
                      <w:rFonts w:ascii="STIX Two Math" w:hAnsi="STIX Two Math" w:cs="STIX Two Math"/>
                    </w:rPr>
                    <m:t>2</m:t>
                  </m:r>
                </m:sup>
              </m:sSup>
            </m:e>
          </m:d>
          <m:r>
            <w:rPr>
              <w:rFonts w:ascii="STIX Two Math" w:hAnsi="STIX Two Math" w:cs="STIX Two Math"/>
            </w:rPr>
            <m:t>  </m:t>
          </m:r>
          <m:d>
            <m:dPr>
              <m:ctrlPr>
                <w:rPr>
                  <w:rFonts w:ascii="STIX Two Math" w:hAnsi="STIX Two Math"/>
                </w:rPr>
              </m:ctrlPr>
            </m:dPr>
            <m:e>
              <m:r>
                <w:rPr>
                  <w:rFonts w:ascii="STIX Two Math" w:hAnsi="STIX Two Math" w:cs="STIX Two Math"/>
                </w:rPr>
                <m:t>1</m:t>
              </m:r>
            </m:e>
          </m:d>
        </m:oMath>
      </m:oMathPara>
      <w:bookmarkEnd w:id="8"/>
    </w:p>
    <w:p w14:paraId="2DF0F6FA" w14:textId="77777777" w:rsidR="00E80F9C" w:rsidRDefault="00000000">
      <w:pPr>
        <w:pStyle w:val="FirstParagraph"/>
      </w:pPr>
      <w:r>
        <w:t xml:space="preserve">where </w:t>
      </w:r>
      <w:r>
        <w:rPr>
          <w:i/>
          <w:iCs/>
        </w:rPr>
        <w:t>μ</w:t>
      </w:r>
      <w:r>
        <w:t xml:space="preserve"> is the conditional expected NO</w:t>
      </w:r>
      <w:r>
        <w:rPr>
          <w:vertAlign w:val="subscript"/>
        </w:rPr>
        <w:t>3</w:t>
      </w:r>
      <w:r>
        <w:t xml:space="preserve"> or TP concentration, </w:t>
      </w:r>
      <w:r>
        <w:rPr>
          <w:i/>
          <w:iCs/>
        </w:rPr>
        <w:t>g()</w:t>
      </w:r>
      <w:r>
        <w:t xml:space="preserve"> is the log-link, </w:t>
      </w:r>
      <w:r>
        <w:rPr>
          <w:i/>
          <w:iCs/>
        </w:rPr>
        <w:t>α</w:t>
      </w:r>
      <w:r>
        <w:t xml:space="preserve"> is the intercept, </w:t>
      </w:r>
      <w:r>
        <w:rPr>
          <w:i/>
          <w:iCs/>
        </w:rPr>
        <w:t>f</w:t>
      </w:r>
      <w:r>
        <w:rPr>
          <w:i/>
          <w:iCs/>
          <w:vertAlign w:val="subscript"/>
        </w:rPr>
        <w:t>n</w:t>
      </w:r>
      <w:r>
        <w:rPr>
          <w:i/>
          <w:iCs/>
        </w:rPr>
        <w:t>()</w:t>
      </w:r>
      <w:r>
        <w:t xml:space="preserve"> are smoothing functions. </w:t>
      </w:r>
      <w:r>
        <w:rPr>
          <w:i/>
          <w:iCs/>
        </w:rPr>
        <w:t>y</w:t>
      </w:r>
      <w:r>
        <w:t xml:space="preserve"> is the response variable (NO</w:t>
      </w:r>
      <w:r>
        <w:rPr>
          <w:vertAlign w:val="subscript"/>
        </w:rPr>
        <w:t>3</w:t>
      </w:r>
      <w:r>
        <w:t xml:space="preserve"> or TP concentration) modeled as normally distributed with mean </w:t>
      </w:r>
      <w:r>
        <w:rPr>
          <w:i/>
          <w:iCs/>
        </w:rPr>
        <w:t>μ</w:t>
      </w:r>
      <w:r>
        <w:t xml:space="preserve"> and standard deviation </w:t>
      </w:r>
      <w:r>
        <w:rPr>
          <w:i/>
          <w:iCs/>
        </w:rPr>
        <w:t>σ</w:t>
      </w:r>
      <w:r>
        <w:t xml:space="preserve">. </w:t>
      </w:r>
      <w:r>
        <w:rPr>
          <w:i/>
          <w:iCs/>
        </w:rPr>
        <w:t>ddate</w:t>
      </w:r>
      <w:r>
        <w:t xml:space="preserve"> is the date converted to decimal notation, </w:t>
      </w:r>
      <w:r>
        <w:rPr>
          <w:i/>
          <w:iCs/>
        </w:rPr>
        <w:t>yday</w:t>
      </w:r>
      <w:r>
        <w:t xml:space="preserve"> is numeric day of year (1-366), and </w:t>
      </w:r>
      <w:r>
        <w:rPr>
          <w:i/>
          <w:iCs/>
        </w:rPr>
        <w:t>log1p(Q)</w:t>
      </w:r>
      <w:r>
        <w:t xml:space="preserve"> is the natural log of mean daily streamflow plus 1.</w:t>
      </w:r>
    </w:p>
    <w:p w14:paraId="103FAEBD" w14:textId="77777777" w:rsidR="00E80F9C" w:rsidRDefault="00000000">
      <w:pPr>
        <w:pStyle w:val="BodyText"/>
      </w:pPr>
      <w:r>
        <w:t>Moving average (</w:t>
      </w:r>
      <w:r>
        <w:rPr>
          <w:i/>
          <w:iCs/>
        </w:rPr>
        <w:t>ma</w:t>
      </w:r>
      <w:r>
        <w:t>) is an exponentially smoothed moving average that attempts to incorporate the influence of prior streamflow events on concentration at the current time period [25,27,34]:</w:t>
      </w:r>
    </w:p>
    <w:p w14:paraId="761F3AEF" w14:textId="77777777" w:rsidR="00E80F9C" w:rsidRDefault="00000000">
      <w:pPr>
        <w:pStyle w:val="BodyText"/>
      </w:pPr>
      <w:bookmarkStart w:id="9" w:name="eq-eq2"/>
      <m:oMathPara>
        <m:oMathParaPr>
          <m:jc m:val="center"/>
        </m:oMathParaPr>
        <m:oMath>
          <m:r>
            <w:rPr>
              <w:rFonts w:ascii="STIX Two Math" w:hAnsi="STIX Two Math" w:cs="STIX Two Math"/>
            </w:rPr>
            <m:t>ma</m:t>
          </m:r>
          <m:d>
            <m:dPr>
              <m:ctrlPr>
                <w:rPr>
                  <w:rFonts w:ascii="STIX Two Math" w:hAnsi="STIX Two Math"/>
                </w:rPr>
              </m:ctrlPr>
            </m:dPr>
            <m:e>
              <m:r>
                <w:rPr>
                  <w:rFonts w:ascii="STIX Two Math" w:hAnsi="STIX Two Math" w:cs="STIX Two Math"/>
                </w:rPr>
                <m:t>δ</m:t>
              </m:r>
            </m:e>
          </m:d>
          <m:r>
            <m:rPr>
              <m:sty m:val="p"/>
            </m:rPr>
            <w:rPr>
              <w:rFonts w:ascii="STIX Two Math" w:hAnsi="STIX Two Math" w:cs="STIX Two Math"/>
            </w:rPr>
            <m:t>=</m:t>
          </m:r>
          <m:r>
            <w:rPr>
              <w:rFonts w:ascii="STIX Two Math" w:hAnsi="STIX Two Math" w:cs="STIX Two Math"/>
            </w:rPr>
            <m:t>d</m:t>
          </m:r>
          <m:sSub>
            <m:sSubPr>
              <m:ctrlPr>
                <w:rPr>
                  <w:rFonts w:ascii="STIX Two Math" w:hAnsi="STIX Two Math"/>
                </w:rPr>
              </m:ctrlPr>
            </m:sSubPr>
            <m:e>
              <m:r>
                <w:rPr>
                  <w:rFonts w:ascii="STIX Two Math" w:hAnsi="STIX Two Math" w:cs="STIX Two Math"/>
                </w:rPr>
                <m:t>κ</m:t>
              </m:r>
            </m:e>
            <m:sub>
              <m:r>
                <w:rPr>
                  <w:rFonts w:ascii="STIX Two Math" w:hAnsi="STIX Two Math" w:cs="STIX Two Math"/>
                </w:rPr>
                <m:t>i</m:t>
              </m:r>
              <m:r>
                <m:rPr>
                  <m:sty m:val="p"/>
                </m:rPr>
                <w:rPr>
                  <w:rFonts w:ascii="STIX Two Math" w:hAnsi="STIX Two Math" w:cs="STIX Two Math"/>
                </w:rPr>
                <m:t>-</m:t>
              </m:r>
              <m:r>
                <w:rPr>
                  <w:rFonts w:ascii="STIX Two Math" w:hAnsi="STIX Two Math" w:cs="STIX Two Math"/>
                </w:rPr>
                <m:t>1</m:t>
              </m:r>
            </m:sub>
          </m:sSub>
          <m:r>
            <m:rPr>
              <m:sty m:val="p"/>
            </m:rPr>
            <w:rPr>
              <w:rFonts w:ascii="STIX Two Math" w:hAnsi="STIX Two Math" w:cs="STIX Two Math"/>
            </w:rPr>
            <m:t>+</m:t>
          </m:r>
          <m:d>
            <m:dPr>
              <m:ctrlPr>
                <w:rPr>
                  <w:rFonts w:ascii="STIX Two Math" w:hAnsi="STIX Two Math"/>
                </w:rPr>
              </m:ctrlPr>
            </m:dPr>
            <m:e>
              <m:r>
                <w:rPr>
                  <w:rFonts w:ascii="STIX Two Math" w:hAnsi="STIX Two Math" w:cs="STIX Two Math"/>
                </w:rPr>
                <m:t>1</m:t>
              </m:r>
              <m:r>
                <m:rPr>
                  <m:sty m:val="p"/>
                </m:rPr>
                <w:rPr>
                  <w:rFonts w:ascii="STIX Two Math" w:hAnsi="STIX Two Math" w:cs="STIX Two Math"/>
                </w:rPr>
                <m:t>-</m:t>
              </m:r>
              <m:r>
                <w:rPr>
                  <w:rFonts w:ascii="STIX Two Math" w:hAnsi="STIX Two Math" w:cs="STIX Two Math"/>
                </w:rPr>
                <m:t>δ</m:t>
              </m:r>
            </m:e>
          </m:d>
          <m:sSub>
            <m:sSubPr>
              <m:ctrlPr>
                <w:rPr>
                  <w:rFonts w:ascii="STIX Two Math" w:hAnsi="STIX Two Math"/>
                </w:rPr>
              </m:ctrlPr>
            </m:sSubPr>
            <m:e>
              <m:acc>
                <m:accPr>
                  <m:ctrlPr>
                    <w:rPr>
                      <w:rFonts w:ascii="STIX Two Math" w:hAnsi="STIX Two Math"/>
                    </w:rPr>
                  </m:ctrlPr>
                </m:accPr>
                <m:e>
                  <m:r>
                    <w:rPr>
                      <w:rFonts w:ascii="STIX Two Math" w:hAnsi="STIX Two Math" w:cs="STIX Two Math"/>
                    </w:rPr>
                    <m:t>q</m:t>
                  </m:r>
                </m:e>
              </m:acc>
            </m:e>
            <m:sub>
              <m:r>
                <w:rPr>
                  <w:rFonts w:ascii="STIX Two Math" w:hAnsi="STIX Two Math" w:cs="STIX Two Math"/>
                </w:rPr>
                <m:t>i</m:t>
              </m:r>
              <m:r>
                <m:rPr>
                  <m:sty m:val="p"/>
                </m:rPr>
                <w:rPr>
                  <w:rFonts w:ascii="STIX Two Math" w:hAnsi="STIX Two Math" w:cs="STIX Two Math"/>
                </w:rPr>
                <m:t>-</m:t>
              </m:r>
              <m:r>
                <w:rPr>
                  <w:rFonts w:ascii="STIX Two Math" w:hAnsi="STIX Two Math" w:cs="STIX Two Math"/>
                </w:rPr>
                <m:t>1</m:t>
              </m:r>
            </m:sub>
          </m:sSub>
          <m:r>
            <w:rPr>
              <w:rFonts w:ascii="STIX Two Math" w:hAnsi="STIX Two Math" w:cs="STIX Two Math"/>
            </w:rPr>
            <m:t> </m:t>
          </m:r>
          <m:r>
            <m:rPr>
              <m:nor/>
            </m:rPr>
            <m:t>and</m:t>
          </m:r>
          <m:r>
            <w:rPr>
              <w:rFonts w:ascii="STIX Two Math" w:hAnsi="STIX Two Math" w:cs="STIX Two Math"/>
            </w:rPr>
            <m:t> </m:t>
          </m:r>
          <m:sSub>
            <m:sSubPr>
              <m:ctrlPr>
                <w:rPr>
                  <w:rFonts w:ascii="STIX Two Math" w:hAnsi="STIX Two Math"/>
                </w:rPr>
              </m:ctrlPr>
            </m:sSubPr>
            <m:e>
              <m:r>
                <w:rPr>
                  <w:rFonts w:ascii="STIX Two Math" w:hAnsi="STIX Two Math" w:cs="STIX Two Math"/>
                </w:rPr>
                <m:t>κ</m:t>
              </m:r>
            </m:e>
            <m:sub>
              <m:r>
                <w:rPr>
                  <w:rFonts w:ascii="STIX Two Math" w:hAnsi="STIX Two Math" w:cs="STIX Two Math"/>
                </w:rPr>
                <m:t>i</m:t>
              </m:r>
            </m:sub>
          </m:sSub>
          <m:r>
            <m:rPr>
              <m:sty m:val="p"/>
            </m:rPr>
            <w:rPr>
              <w:rFonts w:ascii="STIX Two Math" w:hAnsi="STIX Two Math" w:cs="STIX Two Math"/>
            </w:rPr>
            <m:t>=</m:t>
          </m:r>
          <m:nary>
            <m:naryPr>
              <m:chr m:val="∑"/>
              <m:limLoc m:val="undOvr"/>
              <m:ctrlPr>
                <w:rPr>
                  <w:rFonts w:ascii="STIX Two Math" w:hAnsi="STIX Two Math"/>
                </w:rPr>
              </m:ctrlPr>
            </m:naryPr>
            <m:sub>
              <m:r>
                <w:rPr>
                  <w:rFonts w:ascii="STIX Two Math" w:hAnsi="STIX Two Math" w:cs="STIX Two Math"/>
                </w:rPr>
                <m:t>m</m:t>
              </m:r>
              <m:r>
                <m:rPr>
                  <m:sty m:val="p"/>
                </m:rPr>
                <w:rPr>
                  <w:rFonts w:ascii="STIX Two Math" w:hAnsi="STIX Two Math" w:cs="STIX Two Math"/>
                </w:rPr>
                <m:t>=</m:t>
              </m:r>
              <m:r>
                <w:rPr>
                  <w:rFonts w:ascii="STIX Two Math" w:hAnsi="STIX Two Math" w:cs="STIX Two Math"/>
                </w:rPr>
                <m:t>1</m:t>
              </m:r>
            </m:sub>
            <m:sup>
              <m:r>
                <w:rPr>
                  <w:rFonts w:ascii="STIX Two Math" w:hAnsi="STIX Two Math" w:cs="STIX Two Math"/>
                </w:rPr>
                <m:t>i</m:t>
              </m:r>
            </m:sup>
            <m:e>
              <m:sSub>
                <m:sSubPr>
                  <m:ctrlPr>
                    <w:rPr>
                      <w:rFonts w:ascii="STIX Two Math" w:hAnsi="STIX Two Math"/>
                    </w:rPr>
                  </m:ctrlPr>
                </m:sSubPr>
                <m:e>
                  <m:acc>
                    <m:accPr>
                      <m:ctrlPr>
                        <w:rPr>
                          <w:rFonts w:ascii="STIX Two Math" w:hAnsi="STIX Two Math"/>
                        </w:rPr>
                      </m:ctrlPr>
                    </m:accPr>
                    <m:e>
                      <m:r>
                        <w:rPr>
                          <w:rFonts w:ascii="STIX Two Math" w:hAnsi="STIX Two Math" w:cs="STIX Two Math"/>
                        </w:rPr>
                        <m:t>Q</m:t>
                      </m:r>
                    </m:e>
                  </m:acc>
                </m:e>
                <m:sub>
                  <m:r>
                    <w:rPr>
                      <w:rFonts w:ascii="STIX Two Math" w:hAnsi="STIX Two Math" w:cs="STIX Two Math"/>
                    </w:rPr>
                    <m:t>m</m:t>
                  </m:r>
                </m:sub>
              </m:sSub>
            </m:e>
          </m:nary>
          <m:r>
            <w:rPr>
              <w:rFonts w:ascii="STIX Two Math" w:hAnsi="STIX Two Math" w:cs="STIX Two Math"/>
            </w:rPr>
            <m:t>  </m:t>
          </m:r>
          <m:d>
            <m:dPr>
              <m:ctrlPr>
                <w:rPr>
                  <w:rFonts w:ascii="STIX Two Math" w:hAnsi="STIX Two Math"/>
                </w:rPr>
              </m:ctrlPr>
            </m:dPr>
            <m:e>
              <m:r>
                <w:rPr>
                  <w:rFonts w:ascii="STIX Two Math" w:hAnsi="STIX Two Math" w:cs="STIX Two Math"/>
                </w:rPr>
                <m:t>2</m:t>
              </m:r>
            </m:e>
          </m:d>
        </m:oMath>
      </m:oMathPara>
      <w:bookmarkEnd w:id="9"/>
    </w:p>
    <w:p w14:paraId="2724DE75" w14:textId="77777777" w:rsidR="00E80F9C" w:rsidRDefault="00000000">
      <w:pPr>
        <w:pStyle w:val="FirstParagraph"/>
      </w:pPr>
      <w:r>
        <w:t xml:space="preserve">where </w:t>
      </w:r>
      <w:r>
        <w:rPr>
          <w:i/>
          <w:iCs/>
        </w:rPr>
        <w:t>δ</w:t>
      </w:r>
      <w:r>
        <w:t xml:space="preserve"> is the discount factor (here, set equal to 0.95), κ</w:t>
      </w:r>
      <w:r>
        <w:rPr>
          <w:vertAlign w:val="subscript"/>
        </w:rPr>
        <w:t>i</w:t>
      </w:r>
      <w:r>
        <w:t xml:space="preserve"> is the cumulative flow (</w:t>
      </w:r>
      <w:r>
        <w:rPr>
          <w:i/>
          <w:iCs/>
        </w:rPr>
        <w:t>Q</w:t>
      </w:r>
      <w:r>
        <w:t xml:space="preserve">) up to the </w:t>
      </w:r>
      <w:r>
        <w:rPr>
          <w:i/>
          <w:iCs/>
        </w:rPr>
        <w:t>i</w:t>
      </w:r>
      <w:r>
        <w:t>th day.</w:t>
      </w:r>
    </w:p>
    <w:p w14:paraId="4C76FD41" w14:textId="77777777" w:rsidR="00E80F9C" w:rsidRDefault="00000000">
      <w:pPr>
        <w:pStyle w:val="BodyText"/>
      </w:pPr>
      <w:r>
        <w:lastRenderedPageBreak/>
        <w:t>Flow anomaly (</w:t>
      </w:r>
      <w:r>
        <w:rPr>
          <w:i/>
          <w:iCs/>
        </w:rPr>
        <w:t>fa</w:t>
      </w:r>
      <w:r>
        <w:t>) is a unitless term that represents how wet or dry the current time period is from a previous time period [34,35]. Long-term flow anomaly (</w:t>
      </w:r>
      <w:r>
        <w:rPr>
          <w:i/>
          <w:iCs/>
        </w:rPr>
        <w:t>ltfa</w:t>
      </w:r>
      <w:r>
        <w:t>) is the streamflow over the previous year relative to the entire period and calculated as described as [34]:</w:t>
      </w:r>
    </w:p>
    <w:p w14:paraId="0BDE7CC9" w14:textId="77777777" w:rsidR="00E80F9C" w:rsidRDefault="00000000">
      <w:pPr>
        <w:pStyle w:val="BodyText"/>
      </w:pPr>
      <w:bookmarkStart w:id="10" w:name="eq-eq3"/>
      <m:oMathPara>
        <m:oMathParaPr>
          <m:jc m:val="center"/>
        </m:oMathParaPr>
        <m:oMath>
          <m:r>
            <w:rPr>
              <w:rFonts w:ascii="STIX Two Math" w:hAnsi="STIX Two Math" w:cs="STIX Two Math"/>
            </w:rPr>
            <m:t>ltfa</m:t>
          </m:r>
          <m:d>
            <m:dPr>
              <m:ctrlPr>
                <w:rPr>
                  <w:rFonts w:ascii="STIX Two Math" w:hAnsi="STIX Two Math"/>
                </w:rPr>
              </m:ctrlPr>
            </m:dPr>
            <m:e>
              <m:r>
                <w:rPr>
                  <w:rFonts w:ascii="STIX Two Math" w:hAnsi="STIX Two Math" w:cs="STIX Two Math"/>
                </w:rPr>
                <m:t>t</m:t>
              </m:r>
            </m:e>
          </m:d>
          <m:r>
            <m:rPr>
              <m:sty m:val="p"/>
            </m:rPr>
            <w:rPr>
              <w:rFonts w:ascii="STIX Two Math" w:hAnsi="STIX Two Math" w:cs="STIX Two Math"/>
            </w:rPr>
            <m:t>=</m:t>
          </m:r>
          <m:sSub>
            <m:sSubPr>
              <m:ctrlPr>
                <w:rPr>
                  <w:rFonts w:ascii="STIX Two Math" w:hAnsi="STIX Two Math"/>
                </w:rPr>
              </m:ctrlPr>
            </m:sSubPr>
            <m:e>
              <m:acc>
                <m:accPr>
                  <m:chr m:val="‾"/>
                  <m:ctrlPr>
                    <w:rPr>
                      <w:rFonts w:ascii="STIX Two Math" w:hAnsi="STIX Two Math"/>
                    </w:rPr>
                  </m:ctrlPr>
                </m:accPr>
                <m:e>
                  <m:r>
                    <w:rPr>
                      <w:rFonts w:ascii="STIX Two Math" w:hAnsi="STIX Two Math" w:cs="STIX Two Math"/>
                    </w:rPr>
                    <m:t>x</m:t>
                  </m:r>
                </m:e>
              </m:acc>
            </m:e>
            <m:sub>
              <m:r>
                <w:rPr>
                  <w:rFonts w:ascii="STIX Two Math" w:hAnsi="STIX Two Math" w:cs="STIX Two Math"/>
                </w:rPr>
                <m:t>1 year</m:t>
              </m:r>
            </m:sub>
          </m:sSub>
          <m:d>
            <m:dPr>
              <m:ctrlPr>
                <w:rPr>
                  <w:rFonts w:ascii="STIX Two Math" w:hAnsi="STIX Two Math"/>
                </w:rPr>
              </m:ctrlPr>
            </m:dPr>
            <m:e>
              <m:r>
                <w:rPr>
                  <w:rFonts w:ascii="STIX Two Math" w:hAnsi="STIX Two Math" w:cs="STIX Two Math"/>
                </w:rPr>
                <m:t>t</m:t>
              </m:r>
            </m:e>
          </m:d>
          <m:r>
            <m:rPr>
              <m:sty m:val="p"/>
            </m:rPr>
            <w:rPr>
              <w:rFonts w:ascii="STIX Two Math" w:hAnsi="STIX Two Math" w:cs="STIX Two Math"/>
            </w:rPr>
            <m:t>-</m:t>
          </m:r>
          <m:sSub>
            <m:sSubPr>
              <m:ctrlPr>
                <w:rPr>
                  <w:rFonts w:ascii="STIX Two Math" w:hAnsi="STIX Two Math"/>
                </w:rPr>
              </m:ctrlPr>
            </m:sSubPr>
            <m:e>
              <m:acc>
                <m:accPr>
                  <m:chr m:val="‾"/>
                  <m:ctrlPr>
                    <w:rPr>
                      <w:rFonts w:ascii="STIX Two Math" w:hAnsi="STIX Two Math"/>
                    </w:rPr>
                  </m:ctrlPr>
                </m:accPr>
                <m:e>
                  <m:r>
                    <w:rPr>
                      <w:rFonts w:ascii="STIX Two Math" w:hAnsi="STIX Two Math" w:cs="STIX Two Math"/>
                    </w:rPr>
                    <m:t>x</m:t>
                  </m:r>
                </m:e>
              </m:acc>
            </m:e>
            <m:sub>
              <m:r>
                <w:rPr>
                  <w:rFonts w:ascii="STIX Two Math" w:hAnsi="STIX Two Math" w:cs="STIX Two Math"/>
                </w:rPr>
                <m:t>entire period</m:t>
              </m:r>
            </m:sub>
          </m:sSub>
          <m:r>
            <w:rPr>
              <w:rFonts w:ascii="STIX Two Math" w:hAnsi="STIX Two Math" w:cs="STIX Two Math"/>
            </w:rPr>
            <m:t>  </m:t>
          </m:r>
          <m:d>
            <m:dPr>
              <m:ctrlPr>
                <w:rPr>
                  <w:rFonts w:ascii="STIX Two Math" w:hAnsi="STIX Two Math"/>
                </w:rPr>
              </m:ctrlPr>
            </m:dPr>
            <m:e>
              <m:r>
                <w:rPr>
                  <w:rFonts w:ascii="STIX Two Math" w:hAnsi="STIX Two Math" w:cs="STIX Two Math"/>
                </w:rPr>
                <m:t>3</m:t>
              </m:r>
            </m:e>
          </m:d>
        </m:oMath>
      </m:oMathPara>
      <w:bookmarkEnd w:id="10"/>
    </w:p>
    <w:p w14:paraId="7165DA26" w14:textId="77777777" w:rsidR="00E80F9C" w:rsidRDefault="00000000">
      <w:pPr>
        <w:pStyle w:val="FirstParagraph"/>
      </w:pPr>
      <w:r>
        <w:t>and the short-term flow anomaly (</w:t>
      </w:r>
      <w:r>
        <w:rPr>
          <w:i/>
          <w:iCs/>
        </w:rPr>
        <w:t>stfa</w:t>
      </w:r>
      <w:r>
        <w:t>) calculated as the current day flow compared to the preceding 1-month streamflow:</w:t>
      </w:r>
    </w:p>
    <w:p w14:paraId="6B6EC74F" w14:textId="77777777" w:rsidR="00E80F9C" w:rsidRDefault="00000000">
      <w:pPr>
        <w:pStyle w:val="BodyText"/>
      </w:pPr>
      <w:bookmarkStart w:id="11" w:name="eq-eq4"/>
      <m:oMathPara>
        <m:oMathParaPr>
          <m:jc m:val="center"/>
        </m:oMathParaPr>
        <m:oMath>
          <m:r>
            <w:rPr>
              <w:rFonts w:ascii="STIX Two Math" w:hAnsi="STIX Two Math" w:cs="STIX Two Math"/>
            </w:rPr>
            <m:t>stfa</m:t>
          </m:r>
          <m:d>
            <m:dPr>
              <m:ctrlPr>
                <w:rPr>
                  <w:rFonts w:ascii="STIX Two Math" w:hAnsi="STIX Two Math"/>
                </w:rPr>
              </m:ctrlPr>
            </m:dPr>
            <m:e>
              <m:r>
                <w:rPr>
                  <w:rFonts w:ascii="STIX Two Math" w:hAnsi="STIX Two Math" w:cs="STIX Two Math"/>
                </w:rPr>
                <m:t>t</m:t>
              </m:r>
            </m:e>
          </m:d>
          <m:r>
            <m:rPr>
              <m:sty m:val="p"/>
            </m:rPr>
            <w:rPr>
              <w:rFonts w:ascii="STIX Two Math" w:hAnsi="STIX Two Math" w:cs="STIX Two Math"/>
            </w:rPr>
            <m:t>=</m:t>
          </m:r>
          <m:sSub>
            <m:sSubPr>
              <m:ctrlPr>
                <w:rPr>
                  <w:rFonts w:ascii="STIX Two Math" w:hAnsi="STIX Two Math"/>
                </w:rPr>
              </m:ctrlPr>
            </m:sSubPr>
            <m:e>
              <m:r>
                <w:rPr>
                  <w:rFonts w:ascii="STIX Two Math" w:hAnsi="STIX Two Math" w:cs="STIX Two Math"/>
                </w:rPr>
                <m:t>x</m:t>
              </m:r>
            </m:e>
            <m:sub>
              <m:r>
                <w:rPr>
                  <w:rFonts w:ascii="STIX Two Math" w:hAnsi="STIX Two Math" w:cs="STIX Two Math"/>
                </w:rPr>
                <m:t>current day</m:t>
              </m:r>
            </m:sub>
          </m:sSub>
          <m:d>
            <m:dPr>
              <m:ctrlPr>
                <w:rPr>
                  <w:rFonts w:ascii="STIX Two Math" w:hAnsi="STIX Two Math"/>
                </w:rPr>
              </m:ctrlPr>
            </m:dPr>
            <m:e>
              <m:r>
                <w:rPr>
                  <w:rFonts w:ascii="STIX Two Math" w:hAnsi="STIX Two Math" w:cs="STIX Two Math"/>
                </w:rPr>
                <m:t>t</m:t>
              </m:r>
            </m:e>
          </m:d>
          <m:r>
            <m:rPr>
              <m:sty m:val="p"/>
            </m:rPr>
            <w:rPr>
              <w:rFonts w:ascii="STIX Two Math" w:hAnsi="STIX Two Math" w:cs="STIX Two Math"/>
            </w:rPr>
            <m:t>-</m:t>
          </m:r>
          <m:sSub>
            <m:sSubPr>
              <m:ctrlPr>
                <w:rPr>
                  <w:rFonts w:ascii="STIX Two Math" w:hAnsi="STIX Two Math"/>
                </w:rPr>
              </m:ctrlPr>
            </m:sSubPr>
            <m:e>
              <m:acc>
                <m:accPr>
                  <m:chr m:val="‾"/>
                  <m:ctrlPr>
                    <w:rPr>
                      <w:rFonts w:ascii="STIX Two Math" w:hAnsi="STIX Two Math"/>
                    </w:rPr>
                  </m:ctrlPr>
                </m:accPr>
                <m:e>
                  <m:r>
                    <w:rPr>
                      <w:rFonts w:ascii="STIX Two Math" w:hAnsi="STIX Two Math" w:cs="STIX Two Math"/>
                    </w:rPr>
                    <m:t>x</m:t>
                  </m:r>
                </m:e>
              </m:acc>
            </m:e>
            <m:sub>
              <m:r>
                <w:rPr>
                  <w:rFonts w:ascii="STIX Two Math" w:hAnsi="STIX Two Math" w:cs="STIX Two Math"/>
                </w:rPr>
                <m:t>1 month</m:t>
              </m:r>
            </m:sub>
          </m:sSub>
          <m:d>
            <m:dPr>
              <m:ctrlPr>
                <w:rPr>
                  <w:rFonts w:ascii="STIX Two Math" w:hAnsi="STIX Two Math"/>
                </w:rPr>
              </m:ctrlPr>
            </m:dPr>
            <m:e>
              <m:r>
                <w:rPr>
                  <w:rFonts w:ascii="STIX Two Math" w:hAnsi="STIX Two Math" w:cs="STIX Two Math"/>
                </w:rPr>
                <m:t>t</m:t>
              </m:r>
            </m:e>
          </m:d>
          <m:r>
            <w:rPr>
              <w:rFonts w:ascii="STIX Two Math" w:hAnsi="STIX Two Math" w:cs="STIX Two Math"/>
            </w:rPr>
            <m:t>  </m:t>
          </m:r>
          <m:d>
            <m:dPr>
              <m:ctrlPr>
                <w:rPr>
                  <w:rFonts w:ascii="STIX Two Math" w:hAnsi="STIX Two Math"/>
                </w:rPr>
              </m:ctrlPr>
            </m:dPr>
            <m:e>
              <m:r>
                <w:rPr>
                  <w:rFonts w:ascii="STIX Two Math" w:hAnsi="STIX Two Math" w:cs="STIX Two Math"/>
                </w:rPr>
                <m:t>4</m:t>
              </m:r>
            </m:e>
          </m:d>
        </m:oMath>
      </m:oMathPara>
      <w:bookmarkEnd w:id="11"/>
    </w:p>
    <w:p w14:paraId="13E103EF" w14:textId="77777777" w:rsidR="00E80F9C" w:rsidRDefault="00000000">
      <w:pPr>
        <w:pStyle w:val="FirstParagraph"/>
      </w:pPr>
      <w:r>
        <w:t xml:space="preserve">where </w:t>
      </w:r>
      <w:r>
        <w:rPr>
          <w:i/>
          <w:iCs/>
        </w:rPr>
        <w:t>x</w:t>
      </w:r>
      <w:r>
        <w:t xml:space="preserve"> are the averages of log-transformed streamflow over the antecedent period (</w:t>
      </w:r>
      <w:r>
        <w:rPr>
          <w:i/>
          <w:iCs/>
        </w:rPr>
        <w:t>1-year</w:t>
      </w:r>
      <w:r>
        <w:t xml:space="preserve">, </w:t>
      </w:r>
      <w:r>
        <w:rPr>
          <w:i/>
          <w:iCs/>
        </w:rPr>
        <w:t>1-month</w:t>
      </w:r>
      <w:r>
        <w:t xml:space="preserve">, etc.) for time </w:t>
      </w:r>
      <w:r>
        <w:rPr>
          <w:i/>
          <w:iCs/>
        </w:rPr>
        <w:t>t</w:t>
      </w:r>
      <w:r>
        <w:t xml:space="preserve">. We used </w:t>
      </w:r>
      <w:r>
        <w:rPr>
          <w:i/>
          <w:iCs/>
        </w:rPr>
        <w:t>ltfa</w:t>
      </w:r>
      <w:r>
        <w:t xml:space="preserve"> in NO</w:t>
      </w:r>
      <w:r>
        <w:rPr>
          <w:vertAlign w:val="subscript"/>
        </w:rPr>
        <w:t>3</w:t>
      </w:r>
      <w:r>
        <w:t xml:space="preserve"> models and </w:t>
      </w:r>
      <w:r>
        <w:rPr>
          <w:i/>
          <w:iCs/>
        </w:rPr>
        <w:t>stfa</w:t>
      </w:r>
      <w:r>
        <w:t xml:space="preserve"> in TP models based on previous work</w:t>
      </w:r>
      <w:r>
        <w:br/>
        <w:t>demonstrating major improvements in NO</w:t>
      </w:r>
      <w:r>
        <w:rPr>
          <w:vertAlign w:val="subscript"/>
        </w:rPr>
        <w:t>x</w:t>
      </w:r>
      <w:r>
        <w:t xml:space="preserve"> regression models that incorporated </w:t>
      </w:r>
      <w:r>
        <w:rPr>
          <w:i/>
          <w:iCs/>
        </w:rPr>
        <w:t>ltfa</w:t>
      </w:r>
      <w:r>
        <w:t xml:space="preserve"> and moderate improvements in TP regression models that incorporated </w:t>
      </w:r>
      <w:r>
        <w:rPr>
          <w:i/>
          <w:iCs/>
        </w:rPr>
        <w:t>stfa</w:t>
      </w:r>
      <w:r>
        <w:t xml:space="preserve"> [34].</w:t>
      </w:r>
    </w:p>
    <w:p w14:paraId="3A60A065" w14:textId="77777777" w:rsidR="00E80F9C" w:rsidRDefault="00000000">
      <w:pPr>
        <w:pStyle w:val="BodyText"/>
      </w:pPr>
      <w:r>
        <w:t xml:space="preserve">The calculation of model terms for the Lake Texana site were slightly modified because daily loads are not a function of natural stream flow processes alone, but of dam releases and nutrient concentrations at the discharge point of the lake. </w:t>
      </w:r>
      <w:r>
        <w:rPr>
          <w:i/>
          <w:iCs/>
        </w:rPr>
        <w:t>Q</w:t>
      </w:r>
      <w:r>
        <w:t xml:space="preserve">, </w:t>
      </w:r>
      <w:r>
        <w:rPr>
          <w:i/>
          <w:iCs/>
        </w:rPr>
        <w:t>ma</w:t>
      </w:r>
      <w:r>
        <w:t xml:space="preserve">, and </w:t>
      </w:r>
      <w:r>
        <w:rPr>
          <w:i/>
          <w:iCs/>
        </w:rPr>
        <w:t>fa</w:t>
      </w:r>
      <w:r>
        <w:t xml:space="preserve"> terms were calculated based on total gaged inflow from the 4 major tributaries to the lake. Thin-plate regression splines were used for </w:t>
      </w:r>
      <w:r>
        <w:rPr>
          <w:i/>
          <w:iCs/>
        </w:rPr>
        <w:t>ddate</w:t>
      </w:r>
      <w:r>
        <w:t xml:space="preserve">, </w:t>
      </w:r>
      <w:r>
        <w:rPr>
          <w:i/>
          <w:iCs/>
        </w:rPr>
        <w:t>log1p(Q)</w:t>
      </w:r>
      <w:r>
        <w:t xml:space="preserve">, </w:t>
      </w:r>
      <w:r>
        <w:rPr>
          <w:i/>
          <w:iCs/>
        </w:rPr>
        <w:t>fa</w:t>
      </w:r>
      <w:r>
        <w:t xml:space="preserve">, and </w:t>
      </w:r>
      <w:r>
        <w:rPr>
          <w:i/>
          <w:iCs/>
        </w:rPr>
        <w:t>ma</w:t>
      </w:r>
      <w:r>
        <w:t xml:space="preserve">. A cyclic cubic regression spline was used for </w:t>
      </w:r>
      <w:r>
        <w:rPr>
          <w:i/>
          <w:iCs/>
        </w:rPr>
        <w:t>yday</w:t>
      </w:r>
      <w:r>
        <w:t xml:space="preserve"> to ensure the ends of the spline match (day 1 and day 366 are expected to match). First order penalties were applied to the smooths of flow-based variables which penalize departures from a flat function to help constrain extrapolations for high flow measurements.</w:t>
      </w:r>
    </w:p>
    <w:p w14:paraId="27F621DA" w14:textId="77777777" w:rsidR="00E80F9C" w:rsidRDefault="00000000">
      <w:pPr>
        <w:pStyle w:val="BodyText"/>
      </w:pPr>
      <w:r>
        <w:lastRenderedPageBreak/>
        <w:t>Left-censored data were not uncommon in this dataset. Several methods are available to account for censored data. We transformed left-censored nutrient concentrations to one-half the detection limit. Although this simple approach can introduce bias [36], we considered it acceptable because high concentrations and loadings are associated with high-flow events and low-flow/low-concentration events will account for a small proportion of total loadings [30].</w:t>
      </w:r>
    </w:p>
    <w:p w14:paraId="287D75E6" w14:textId="77777777" w:rsidR="00E80F9C" w:rsidRDefault="00000000">
      <w:pPr>
        <w:pStyle w:val="BodyText"/>
      </w:pPr>
      <w:r>
        <w:t>Daily loads were estimated as the predicted concentration multiplied by the daily streamflow. For the Navidad River (USGS-08164525) site, daily loads at the dam were calculated from the discrete daily concentration at the discharge point of the lake and corresponding reported daily discharge from the dam. Flow-normalized loads were estimated similar to WRTDS by setting flow-based covariates on each day of the year equal to each of the historical values for that day of the year over the study period [24]. The flow-normalized estimate was calculated as the mean of all the predictions for each day considering all possible flow values. Standard deviations and credible intervals were obtained by drawing samples from the multivariate normal posterior distribution of the fitted GAM [30,37,38]. Uncertainty in loads were calculated as 90% credible intervals estimated by drawing 1000 realizations of parameter estimates from the multivariate normal posterior distribution of the model parameters. GAM performance was evaluated using repeated 5-fold cross validation [39] and average Nash-Sutcliffe Efficiency (NSE), r</w:t>
      </w:r>
      <w:r>
        <w:rPr>
          <w:vertAlign w:val="superscript"/>
        </w:rPr>
        <w:t>2</w:t>
      </w:r>
      <w:r>
        <w:t xml:space="preserve"> and percent bias (PBIAS) metrics across folds were calculated for each model.</w:t>
      </w:r>
    </w:p>
    <w:p w14:paraId="7020B9E4" w14:textId="77777777" w:rsidR="00E80F9C" w:rsidRDefault="00000000">
      <w:pPr>
        <w:pStyle w:val="Heading2"/>
      </w:pPr>
      <w:bookmarkStart w:id="12" w:name="X87b691233806987c56ec2352d50d247891721d4"/>
      <w:bookmarkEnd w:id="7"/>
      <w:r>
        <w:t>Linking Estuary Water Quality to Hydrology and Nutrient Loads</w:t>
      </w:r>
    </w:p>
    <w:p w14:paraId="328848A7" w14:textId="77777777" w:rsidR="00E80F9C" w:rsidRDefault="00000000">
      <w:pPr>
        <w:pStyle w:val="FirstParagraph"/>
      </w:pPr>
      <w:r>
        <w:t>To test if changes in freshwater inflow and nutrient loading had explanatory effect on changes in estuary water quality a series of GAM models were fit at each site relating parameter concentration to temporal trends, inflow, and nutrient loads [40]:</w:t>
      </w:r>
    </w:p>
    <w:p w14:paraId="31580D01" w14:textId="77777777" w:rsidR="00E80F9C" w:rsidRDefault="00000000">
      <w:pPr>
        <w:pStyle w:val="BodyText"/>
      </w:pPr>
      <w:bookmarkStart w:id="13" w:name="eq-eq5"/>
      <m:oMathPara>
        <m:oMathParaPr>
          <m:jc m:val="center"/>
        </m:oMathParaPr>
        <m:oMath>
          <m:r>
            <w:rPr>
              <w:rFonts w:ascii="STIX Two Math" w:hAnsi="STIX Two Math" w:cs="STIX Two Math"/>
            </w:rPr>
            <m:t>g</m:t>
          </m:r>
          <m:d>
            <m:dPr>
              <m:ctrlPr>
                <w:rPr>
                  <w:rFonts w:ascii="STIX Two Math" w:hAnsi="STIX Two Math"/>
                </w:rPr>
              </m:ctrlPr>
            </m:dPr>
            <m:e>
              <m:r>
                <w:rPr>
                  <w:rFonts w:ascii="STIX Two Math" w:hAnsi="STIX Two Math" w:cs="STIX Two Math"/>
                </w:rPr>
                <m:t>μ</m:t>
              </m:r>
            </m:e>
          </m:d>
          <m:r>
            <m:rPr>
              <m:sty m:val="p"/>
            </m:rPr>
            <w:rPr>
              <w:rFonts w:ascii="STIX Two Math" w:hAnsi="STIX Two Math" w:cs="STIX Two Math"/>
            </w:rPr>
            <m:t>=</m:t>
          </m:r>
          <m:r>
            <w:rPr>
              <w:rFonts w:ascii="STIX Two Math" w:hAnsi="STIX Two Math" w:cs="STIX Two Math"/>
            </w:rPr>
            <m:t>α</m:t>
          </m:r>
          <m:r>
            <m:rPr>
              <m:sty m:val="p"/>
            </m:rPr>
            <w:rPr>
              <w:rFonts w:ascii="STIX Two Math" w:hAnsi="STIX Two Math" w:cs="STIX Two Math"/>
            </w:rPr>
            <m:t>+</m:t>
          </m:r>
          <m:sSub>
            <m:sSubPr>
              <m:ctrlPr>
                <w:rPr>
                  <w:rFonts w:ascii="STIX Two Math" w:hAnsi="STIX Two Math"/>
                </w:rPr>
              </m:ctrlPr>
            </m:sSubPr>
            <m:e>
              <m:r>
                <w:rPr>
                  <w:rFonts w:ascii="STIX Two Math" w:hAnsi="STIX Two Math" w:cs="STIX Two Math"/>
                </w:rPr>
                <m:t>f</m:t>
              </m:r>
            </m:e>
            <m:sub>
              <m:r>
                <w:rPr>
                  <w:rFonts w:ascii="STIX Two Math" w:hAnsi="STIX Two Math" w:cs="STIX Two Math"/>
                </w:rPr>
                <m:t>1</m:t>
              </m:r>
            </m:sub>
          </m:sSub>
          <m:d>
            <m:dPr>
              <m:ctrlPr>
                <w:rPr>
                  <w:rFonts w:ascii="STIX Two Math" w:hAnsi="STIX Two Math"/>
                </w:rPr>
              </m:ctrlPr>
            </m:dPr>
            <m:e>
              <m:r>
                <w:rPr>
                  <w:rFonts w:ascii="STIX Two Math" w:hAnsi="STIX Two Math" w:cs="STIX Two Math"/>
                </w:rPr>
                <m:t>ddate</m:t>
              </m:r>
            </m:e>
          </m:d>
          <m:r>
            <m:rPr>
              <m:sty m:val="p"/>
            </m:rPr>
            <w:rPr>
              <w:rFonts w:ascii="STIX Two Math" w:hAnsi="STIX Two Math" w:cs="STIX Two Math"/>
            </w:rPr>
            <m:t>+</m:t>
          </m:r>
          <m:sSub>
            <m:sSubPr>
              <m:ctrlPr>
                <w:rPr>
                  <w:rFonts w:ascii="STIX Two Math" w:hAnsi="STIX Two Math"/>
                </w:rPr>
              </m:ctrlPr>
            </m:sSubPr>
            <m:e>
              <m:r>
                <w:rPr>
                  <w:rFonts w:ascii="STIX Two Math" w:hAnsi="STIX Two Math" w:cs="STIX Two Math"/>
                </w:rPr>
                <m:t>f</m:t>
              </m:r>
            </m:e>
            <m:sub>
              <m:r>
                <w:rPr>
                  <w:rFonts w:ascii="STIX Two Math" w:hAnsi="STIX Two Math" w:cs="STIX Two Math"/>
                </w:rPr>
                <m:t>2</m:t>
              </m:r>
            </m:sub>
          </m:sSub>
          <m:d>
            <m:dPr>
              <m:ctrlPr>
                <w:rPr>
                  <w:rFonts w:ascii="STIX Two Math" w:hAnsi="STIX Two Math"/>
                </w:rPr>
              </m:ctrlPr>
            </m:dPr>
            <m:e>
              <m:r>
                <w:rPr>
                  <w:rFonts w:ascii="STIX Two Math" w:hAnsi="STIX Two Math" w:cs="STIX Two Math"/>
                </w:rPr>
                <m:t>yday</m:t>
              </m:r>
            </m:e>
          </m:d>
          <m:r>
            <w:rPr>
              <w:rFonts w:ascii="STIX Two Math" w:hAnsi="STIX Two Math" w:cs="STIX Two Math"/>
            </w:rPr>
            <m:t>y</m:t>
          </m:r>
          <m:r>
            <m:rPr>
              <m:sty m:val="p"/>
            </m:rPr>
            <w:rPr>
              <w:rFonts w:ascii="STIX Two Math" w:hAnsi="STIX Two Math" w:cs="STIX Two Math"/>
            </w:rPr>
            <m:t>∼</m:t>
          </m:r>
          <m:r>
            <w:rPr>
              <w:rFonts w:ascii="STIX Two Math" w:hAnsi="STIX Two Math" w:cs="STIX Two Math"/>
            </w:rPr>
            <m:t>Γ</m:t>
          </m:r>
          <m:d>
            <m:dPr>
              <m:ctrlPr>
                <w:rPr>
                  <w:rFonts w:ascii="STIX Two Math" w:hAnsi="STIX Two Math"/>
                </w:rPr>
              </m:ctrlPr>
            </m:dPr>
            <m:e>
              <m:r>
                <w:rPr>
                  <w:rFonts w:ascii="STIX Two Math" w:hAnsi="STIX Two Math" w:cs="STIX Two Math"/>
                </w:rPr>
                <m:t>μ</m:t>
              </m:r>
              <m:r>
                <m:rPr>
                  <m:sty m:val="p"/>
                </m:rPr>
                <w:rPr>
                  <w:rFonts w:ascii="STIX Two Math" w:hAnsi="STIX Two Math" w:cs="STIX Two Math"/>
                </w:rPr>
                <m:t>,</m:t>
              </m:r>
              <m:r>
                <w:rPr>
                  <w:rFonts w:ascii="STIX Two Math" w:hAnsi="STIX Two Math" w:cs="STIX Two Math"/>
                </w:rPr>
                <m:t>λ</m:t>
              </m:r>
            </m:e>
          </m:d>
          <m:r>
            <w:rPr>
              <w:rFonts w:ascii="STIX Two Math" w:hAnsi="STIX Two Math" w:cs="STIX Two Math"/>
            </w:rPr>
            <m:t>  </m:t>
          </m:r>
          <m:d>
            <m:dPr>
              <m:ctrlPr>
                <w:rPr>
                  <w:rFonts w:ascii="STIX Two Math" w:hAnsi="STIX Two Math"/>
                </w:rPr>
              </m:ctrlPr>
            </m:dPr>
            <m:e>
              <m:r>
                <w:rPr>
                  <w:rFonts w:ascii="STIX Two Math" w:hAnsi="STIX Two Math" w:cs="STIX Two Math"/>
                </w:rPr>
                <m:t>5</m:t>
              </m:r>
            </m:e>
          </m:d>
        </m:oMath>
      </m:oMathPara>
      <w:bookmarkEnd w:id="13"/>
    </w:p>
    <w:p w14:paraId="19F7AD24" w14:textId="77777777" w:rsidR="00E80F9C" w:rsidRDefault="00000000">
      <w:pPr>
        <w:pStyle w:val="FirstParagraph"/>
      </w:pPr>
      <w:bookmarkStart w:id="14" w:name="eq-eq6"/>
      <m:oMathPara>
        <m:oMathParaPr>
          <m:jc m:val="center"/>
        </m:oMathParaPr>
        <m:oMath>
          <m:r>
            <w:rPr>
              <w:rFonts w:ascii="STIX Two Math" w:hAnsi="STIX Two Math" w:cs="STIX Two Math"/>
            </w:rPr>
            <w:lastRenderedPageBreak/>
            <m:t>g</m:t>
          </m:r>
          <m:d>
            <m:dPr>
              <m:ctrlPr>
                <w:rPr>
                  <w:rFonts w:ascii="STIX Two Math" w:hAnsi="STIX Two Math"/>
                </w:rPr>
              </m:ctrlPr>
            </m:dPr>
            <m:e>
              <m:r>
                <w:rPr>
                  <w:rFonts w:ascii="STIX Two Math" w:hAnsi="STIX Two Math" w:cs="STIX Two Math"/>
                </w:rPr>
                <m:t>μ</m:t>
              </m:r>
            </m:e>
          </m:d>
          <m:r>
            <m:rPr>
              <m:sty m:val="p"/>
            </m:rPr>
            <w:rPr>
              <w:rFonts w:ascii="STIX Two Math" w:hAnsi="STIX Two Math" w:cs="STIX Two Math"/>
            </w:rPr>
            <m:t>=</m:t>
          </m:r>
          <m:r>
            <w:rPr>
              <w:rFonts w:ascii="STIX Two Math" w:hAnsi="STIX Two Math" w:cs="STIX Two Math"/>
            </w:rPr>
            <m:t>α</m:t>
          </m:r>
          <m:r>
            <m:rPr>
              <m:sty m:val="p"/>
            </m:rPr>
            <w:rPr>
              <w:rFonts w:ascii="STIX Two Math" w:hAnsi="STIX Two Math" w:cs="STIX Two Math"/>
            </w:rPr>
            <m:t>+</m:t>
          </m:r>
          <m:sSub>
            <m:sSubPr>
              <m:ctrlPr>
                <w:rPr>
                  <w:rFonts w:ascii="STIX Two Math" w:hAnsi="STIX Two Math"/>
                </w:rPr>
              </m:ctrlPr>
            </m:sSubPr>
            <m:e>
              <m:r>
                <w:rPr>
                  <w:rFonts w:ascii="STIX Two Math" w:hAnsi="STIX Two Math" w:cs="STIX Two Math"/>
                </w:rPr>
                <m:t>f</m:t>
              </m:r>
            </m:e>
            <m:sub>
              <m:r>
                <w:rPr>
                  <w:rFonts w:ascii="STIX Two Math" w:hAnsi="STIX Two Math" w:cs="STIX Two Math"/>
                </w:rPr>
                <m:t>1</m:t>
              </m:r>
            </m:sub>
          </m:sSub>
          <m:d>
            <m:dPr>
              <m:ctrlPr>
                <w:rPr>
                  <w:rFonts w:ascii="STIX Two Math" w:hAnsi="STIX Two Math"/>
                </w:rPr>
              </m:ctrlPr>
            </m:dPr>
            <m:e>
              <m:r>
                <w:rPr>
                  <w:rFonts w:ascii="STIX Two Math" w:hAnsi="STIX Two Math" w:cs="STIX Two Math"/>
                </w:rPr>
                <m:t>ddate</m:t>
              </m:r>
            </m:e>
          </m:d>
          <m:r>
            <m:rPr>
              <m:sty m:val="p"/>
            </m:rPr>
            <w:rPr>
              <w:rFonts w:ascii="STIX Two Math" w:hAnsi="STIX Two Math" w:cs="STIX Two Math"/>
            </w:rPr>
            <m:t>+</m:t>
          </m:r>
          <m:sSub>
            <m:sSubPr>
              <m:ctrlPr>
                <w:rPr>
                  <w:rFonts w:ascii="STIX Two Math" w:hAnsi="STIX Two Math"/>
                </w:rPr>
              </m:ctrlPr>
            </m:sSubPr>
            <m:e>
              <m:r>
                <w:rPr>
                  <w:rFonts w:ascii="STIX Two Math" w:hAnsi="STIX Two Math" w:cs="STIX Two Math"/>
                </w:rPr>
                <m:t>f</m:t>
              </m:r>
            </m:e>
            <m:sub>
              <m:r>
                <w:rPr>
                  <w:rFonts w:ascii="STIX Two Math" w:hAnsi="STIX Two Math" w:cs="STIX Two Math"/>
                </w:rPr>
                <m:t>2</m:t>
              </m:r>
            </m:sub>
          </m:sSub>
          <m:d>
            <m:dPr>
              <m:ctrlPr>
                <w:rPr>
                  <w:rFonts w:ascii="STIX Two Math" w:hAnsi="STIX Two Math"/>
                </w:rPr>
              </m:ctrlPr>
            </m:dPr>
            <m:e>
              <m:r>
                <w:rPr>
                  <w:rFonts w:ascii="STIX Two Math" w:hAnsi="STIX Two Math" w:cs="STIX Two Math"/>
                </w:rPr>
                <m:t>yday</m:t>
              </m:r>
            </m:e>
          </m:d>
          <m:r>
            <m:rPr>
              <m:sty m:val="p"/>
            </m:rPr>
            <w:rPr>
              <w:rFonts w:ascii="STIX Two Math" w:hAnsi="STIX Two Math" w:cs="STIX Two Math"/>
            </w:rPr>
            <m:t>+</m:t>
          </m:r>
          <m:sSub>
            <m:sSubPr>
              <m:ctrlPr>
                <w:rPr>
                  <w:rFonts w:ascii="STIX Two Math" w:hAnsi="STIX Two Math"/>
                </w:rPr>
              </m:ctrlPr>
            </m:sSubPr>
            <m:e>
              <m:r>
                <w:rPr>
                  <w:rFonts w:ascii="STIX Two Math" w:hAnsi="STIX Two Math" w:cs="STIX Two Math"/>
                </w:rPr>
                <m:t>f</m:t>
              </m:r>
            </m:e>
            <m:sub>
              <m:r>
                <w:rPr>
                  <w:rFonts w:ascii="STIX Two Math" w:hAnsi="STIX Two Math" w:cs="STIX Two Math"/>
                </w:rPr>
                <m:t>3</m:t>
              </m:r>
            </m:sub>
          </m:sSub>
          <m:d>
            <m:dPr>
              <m:ctrlPr>
                <w:rPr>
                  <w:rFonts w:ascii="STIX Two Math" w:hAnsi="STIX Two Math"/>
                </w:rPr>
              </m:ctrlPr>
            </m:dPr>
            <m:e>
              <m:r>
                <w:rPr>
                  <w:rFonts w:ascii="STIX Two Math" w:hAnsi="STIX Two Math" w:cs="STIX Two Math"/>
                </w:rPr>
                <m:t>Q</m:t>
              </m:r>
            </m:e>
          </m:d>
          <m:r>
            <w:rPr>
              <w:rFonts w:ascii="STIX Two Math" w:hAnsi="STIX Two Math" w:cs="STIX Two Math"/>
            </w:rPr>
            <m:t>y</m:t>
          </m:r>
          <m:r>
            <m:rPr>
              <m:sty m:val="p"/>
            </m:rPr>
            <w:rPr>
              <w:rFonts w:ascii="STIX Two Math" w:hAnsi="STIX Two Math" w:cs="STIX Two Math"/>
            </w:rPr>
            <m:t>∼</m:t>
          </m:r>
          <m:r>
            <w:rPr>
              <w:rFonts w:ascii="STIX Two Math" w:hAnsi="STIX Two Math" w:cs="STIX Two Math"/>
            </w:rPr>
            <m:t>Γ</m:t>
          </m:r>
          <m:d>
            <m:dPr>
              <m:ctrlPr>
                <w:rPr>
                  <w:rFonts w:ascii="STIX Two Math" w:hAnsi="STIX Two Math"/>
                </w:rPr>
              </m:ctrlPr>
            </m:dPr>
            <m:e>
              <m:r>
                <w:rPr>
                  <w:rFonts w:ascii="STIX Two Math" w:hAnsi="STIX Two Math" w:cs="STIX Two Math"/>
                </w:rPr>
                <m:t>μ</m:t>
              </m:r>
              <m:r>
                <m:rPr>
                  <m:sty m:val="p"/>
                </m:rPr>
                <w:rPr>
                  <w:rFonts w:ascii="STIX Two Math" w:hAnsi="STIX Two Math" w:cs="STIX Two Math"/>
                </w:rPr>
                <m:t>,</m:t>
              </m:r>
              <m:r>
                <w:rPr>
                  <w:rFonts w:ascii="STIX Two Math" w:hAnsi="STIX Two Math" w:cs="STIX Two Math"/>
                </w:rPr>
                <m:t>λ</m:t>
              </m:r>
            </m:e>
          </m:d>
          <m:r>
            <w:rPr>
              <w:rFonts w:ascii="STIX Two Math" w:hAnsi="STIX Two Math" w:cs="STIX Two Math"/>
            </w:rPr>
            <m:t>  </m:t>
          </m:r>
          <m:d>
            <m:dPr>
              <m:ctrlPr>
                <w:rPr>
                  <w:rFonts w:ascii="STIX Two Math" w:hAnsi="STIX Two Math"/>
                </w:rPr>
              </m:ctrlPr>
            </m:dPr>
            <m:e>
              <m:r>
                <w:rPr>
                  <w:rFonts w:ascii="STIX Two Math" w:hAnsi="STIX Two Math" w:cs="STIX Two Math"/>
                </w:rPr>
                <m:t>6</m:t>
              </m:r>
            </m:e>
          </m:d>
        </m:oMath>
      </m:oMathPara>
      <w:bookmarkEnd w:id="14"/>
    </w:p>
    <w:p w14:paraId="4DBA0662" w14:textId="77777777" w:rsidR="00E80F9C" w:rsidRDefault="00000000">
      <w:pPr>
        <w:pStyle w:val="FirstParagraph"/>
      </w:pPr>
      <w:bookmarkStart w:id="15" w:name="eq-eq7"/>
      <m:oMathPara>
        <m:oMathParaPr>
          <m:jc m:val="center"/>
        </m:oMathParaPr>
        <m:oMath>
          <m:r>
            <w:rPr>
              <w:rFonts w:ascii="STIX Two Math" w:hAnsi="STIX Two Math" w:cs="STIX Two Math"/>
            </w:rPr>
            <m:t>g</m:t>
          </m:r>
          <m:d>
            <m:dPr>
              <m:ctrlPr>
                <w:rPr>
                  <w:rFonts w:ascii="STIX Two Math" w:hAnsi="STIX Two Math"/>
                </w:rPr>
              </m:ctrlPr>
            </m:dPr>
            <m:e>
              <m:r>
                <w:rPr>
                  <w:rFonts w:ascii="STIX Two Math" w:hAnsi="STIX Two Math" w:cs="STIX Two Math"/>
                </w:rPr>
                <m:t>μ</m:t>
              </m:r>
            </m:e>
          </m:d>
          <m:r>
            <m:rPr>
              <m:sty m:val="p"/>
            </m:rPr>
            <w:rPr>
              <w:rFonts w:ascii="STIX Two Math" w:hAnsi="STIX Two Math" w:cs="STIX Two Math"/>
            </w:rPr>
            <m:t>=</m:t>
          </m:r>
          <m:r>
            <w:rPr>
              <w:rFonts w:ascii="STIX Two Math" w:hAnsi="STIX Two Math" w:cs="STIX Two Math"/>
            </w:rPr>
            <m:t>α</m:t>
          </m:r>
          <m:r>
            <m:rPr>
              <m:sty m:val="p"/>
            </m:rPr>
            <w:rPr>
              <w:rFonts w:ascii="STIX Two Math" w:hAnsi="STIX Two Math" w:cs="STIX Two Math"/>
            </w:rPr>
            <m:t>+</m:t>
          </m:r>
          <m:sSub>
            <m:sSubPr>
              <m:ctrlPr>
                <w:rPr>
                  <w:rFonts w:ascii="STIX Two Math" w:hAnsi="STIX Two Math"/>
                </w:rPr>
              </m:ctrlPr>
            </m:sSubPr>
            <m:e>
              <m:r>
                <w:rPr>
                  <w:rFonts w:ascii="STIX Two Math" w:hAnsi="STIX Two Math" w:cs="STIX Two Math"/>
                </w:rPr>
                <m:t>f</m:t>
              </m:r>
            </m:e>
            <m:sub>
              <m:r>
                <w:rPr>
                  <w:rFonts w:ascii="STIX Two Math" w:hAnsi="STIX Two Math" w:cs="STIX Two Math"/>
                </w:rPr>
                <m:t>1</m:t>
              </m:r>
            </m:sub>
          </m:sSub>
          <m:d>
            <m:dPr>
              <m:ctrlPr>
                <w:rPr>
                  <w:rFonts w:ascii="STIX Two Math" w:hAnsi="STIX Two Math"/>
                </w:rPr>
              </m:ctrlPr>
            </m:dPr>
            <m:e>
              <m:r>
                <w:rPr>
                  <w:rFonts w:ascii="STIX Two Math" w:hAnsi="STIX Two Math" w:cs="STIX Two Math"/>
                </w:rPr>
                <m:t>ddate</m:t>
              </m:r>
            </m:e>
          </m:d>
          <m:r>
            <m:rPr>
              <m:sty m:val="p"/>
            </m:rPr>
            <w:rPr>
              <w:rFonts w:ascii="STIX Two Math" w:hAnsi="STIX Two Math" w:cs="STIX Two Math"/>
            </w:rPr>
            <m:t>+</m:t>
          </m:r>
          <m:sSub>
            <m:sSubPr>
              <m:ctrlPr>
                <w:rPr>
                  <w:rFonts w:ascii="STIX Two Math" w:hAnsi="STIX Two Math"/>
                </w:rPr>
              </m:ctrlPr>
            </m:sSubPr>
            <m:e>
              <m:r>
                <w:rPr>
                  <w:rFonts w:ascii="STIX Two Math" w:hAnsi="STIX Two Math" w:cs="STIX Two Math"/>
                </w:rPr>
                <m:t>f</m:t>
              </m:r>
            </m:e>
            <m:sub>
              <m:r>
                <w:rPr>
                  <w:rFonts w:ascii="STIX Two Math" w:hAnsi="STIX Two Math" w:cs="STIX Two Math"/>
                </w:rPr>
                <m:t>2</m:t>
              </m:r>
            </m:sub>
          </m:sSub>
          <m:d>
            <m:dPr>
              <m:ctrlPr>
                <w:rPr>
                  <w:rFonts w:ascii="STIX Two Math" w:hAnsi="STIX Two Math"/>
                </w:rPr>
              </m:ctrlPr>
            </m:dPr>
            <m:e>
              <m:r>
                <w:rPr>
                  <w:rFonts w:ascii="STIX Two Math" w:hAnsi="STIX Two Math" w:cs="STIX Two Math"/>
                </w:rPr>
                <m:t>yday</m:t>
              </m:r>
            </m:e>
          </m:d>
          <m:r>
            <m:rPr>
              <m:sty m:val="p"/>
            </m:rPr>
            <w:rPr>
              <w:rFonts w:ascii="STIX Two Math" w:hAnsi="STIX Two Math" w:cs="STIX Two Math"/>
            </w:rPr>
            <m:t>+</m:t>
          </m:r>
          <m:sSub>
            <m:sSubPr>
              <m:ctrlPr>
                <w:rPr>
                  <w:rFonts w:ascii="STIX Two Math" w:hAnsi="STIX Two Math"/>
                </w:rPr>
              </m:ctrlPr>
            </m:sSubPr>
            <m:e>
              <m:r>
                <w:rPr>
                  <w:rFonts w:ascii="STIX Two Math" w:hAnsi="STIX Two Math" w:cs="STIX Two Math"/>
                </w:rPr>
                <m:t>f</m:t>
              </m:r>
            </m:e>
            <m:sub>
              <m:r>
                <w:rPr>
                  <w:rFonts w:ascii="STIX Two Math" w:hAnsi="STIX Two Math" w:cs="STIX Two Math"/>
                </w:rPr>
                <m:t>3</m:t>
              </m:r>
            </m:sub>
          </m:sSub>
          <m:d>
            <m:dPr>
              <m:ctrlPr>
                <w:rPr>
                  <w:rFonts w:ascii="STIX Two Math" w:hAnsi="STIX Two Math"/>
                </w:rPr>
              </m:ctrlPr>
            </m:dPr>
            <m:e>
              <m:r>
                <w:rPr>
                  <w:rFonts w:ascii="STIX Two Math" w:hAnsi="STIX Two Math" w:cs="STIX Two Math"/>
                </w:rPr>
                <m:t>Q</m:t>
              </m:r>
            </m:e>
          </m:d>
          <m:r>
            <m:rPr>
              <m:sty m:val="p"/>
            </m:rPr>
            <w:rPr>
              <w:rFonts w:ascii="STIX Two Math" w:hAnsi="STIX Two Math" w:cs="STIX Two Math"/>
            </w:rPr>
            <m:t>+</m:t>
          </m:r>
          <m:sSub>
            <m:sSubPr>
              <m:ctrlPr>
                <w:rPr>
                  <w:rFonts w:ascii="STIX Two Math" w:hAnsi="STIX Two Math"/>
                </w:rPr>
              </m:ctrlPr>
            </m:sSubPr>
            <m:e>
              <m:r>
                <w:rPr>
                  <w:rFonts w:ascii="STIX Two Math" w:hAnsi="STIX Two Math" w:cs="STIX Two Math"/>
                </w:rPr>
                <m:t>f</m:t>
              </m:r>
            </m:e>
            <m:sub>
              <m:r>
                <w:rPr>
                  <w:rFonts w:ascii="STIX Two Math" w:hAnsi="STIX Two Math" w:cs="STIX Two Math"/>
                </w:rPr>
                <m:t>4</m:t>
              </m:r>
            </m:sub>
          </m:sSub>
          <m:d>
            <m:dPr>
              <m:ctrlPr>
                <w:rPr>
                  <w:rFonts w:ascii="STIX Two Math" w:hAnsi="STIX Two Math"/>
                </w:rPr>
              </m:ctrlPr>
            </m:dPr>
            <m:e>
              <m:r>
                <w:rPr>
                  <w:rFonts w:ascii="STIX Two Math" w:hAnsi="STIX Two Math" w:cs="STIX Two Math"/>
                </w:rPr>
                <m:t>Load</m:t>
              </m:r>
            </m:e>
          </m:d>
          <m:r>
            <w:rPr>
              <w:rFonts w:ascii="STIX Two Math" w:hAnsi="STIX Two Math" w:cs="STIX Two Math"/>
            </w:rPr>
            <m:t>y</m:t>
          </m:r>
          <m:r>
            <m:rPr>
              <m:sty m:val="p"/>
            </m:rPr>
            <w:rPr>
              <w:rFonts w:ascii="STIX Two Math" w:hAnsi="STIX Two Math" w:cs="STIX Two Math"/>
            </w:rPr>
            <m:t>∼</m:t>
          </m:r>
          <m:r>
            <w:rPr>
              <w:rFonts w:ascii="STIX Two Math" w:hAnsi="STIX Two Math" w:cs="STIX Two Math"/>
            </w:rPr>
            <m:t>Γ</m:t>
          </m:r>
          <m:d>
            <m:dPr>
              <m:ctrlPr>
                <w:rPr>
                  <w:rFonts w:ascii="STIX Two Math" w:hAnsi="STIX Two Math"/>
                </w:rPr>
              </m:ctrlPr>
            </m:dPr>
            <m:e>
              <m:r>
                <w:rPr>
                  <w:rFonts w:ascii="STIX Two Math" w:hAnsi="STIX Two Math" w:cs="STIX Two Math"/>
                </w:rPr>
                <m:t>μ</m:t>
              </m:r>
              <m:r>
                <m:rPr>
                  <m:sty m:val="p"/>
                </m:rPr>
                <w:rPr>
                  <w:rFonts w:ascii="STIX Two Math" w:hAnsi="STIX Two Math" w:cs="STIX Two Math"/>
                </w:rPr>
                <m:t>,</m:t>
              </m:r>
              <m:r>
                <w:rPr>
                  <w:rFonts w:ascii="STIX Two Math" w:hAnsi="STIX Two Math" w:cs="STIX Two Math"/>
                </w:rPr>
                <m:t>λ</m:t>
              </m:r>
            </m:e>
          </m:d>
          <m:r>
            <w:rPr>
              <w:rFonts w:ascii="STIX Two Math" w:hAnsi="STIX Two Math" w:cs="STIX Two Math"/>
            </w:rPr>
            <m:t>  </m:t>
          </m:r>
          <m:d>
            <m:dPr>
              <m:ctrlPr>
                <w:rPr>
                  <w:rFonts w:ascii="STIX Two Math" w:hAnsi="STIX Two Math"/>
                </w:rPr>
              </m:ctrlPr>
            </m:dPr>
            <m:e>
              <m:r>
                <w:rPr>
                  <w:rFonts w:ascii="STIX Two Math" w:hAnsi="STIX Two Math" w:cs="STIX Two Math"/>
                </w:rPr>
                <m:t>7</m:t>
              </m:r>
            </m:e>
          </m:d>
        </m:oMath>
      </m:oMathPara>
      <w:bookmarkEnd w:id="15"/>
    </w:p>
    <w:p w14:paraId="7493C24D" w14:textId="77777777" w:rsidR="00E80F9C" w:rsidRDefault="00000000">
      <w:pPr>
        <w:pStyle w:val="FirstParagraph"/>
      </w:pPr>
      <w:r>
        <w:t xml:space="preserve">where </w:t>
      </w:r>
      <w:r>
        <w:rPr>
          <w:i/>
          <w:iCs/>
        </w:rPr>
        <w:t>μ</w:t>
      </w:r>
      <w:r>
        <w:t xml:space="preserve"> is the conditional expected response (nutrient concentration), </w:t>
      </w:r>
      <w:r>
        <w:rPr>
          <w:i/>
          <w:iCs/>
        </w:rPr>
        <w:t>g()</w:t>
      </w:r>
      <w:r>
        <w:t xml:space="preserve"> is the log link, and response variable was modeled as Gamma distributed with mean </w:t>
      </w:r>
      <w:r>
        <w:rPr>
          <w:i/>
          <w:iCs/>
        </w:rPr>
        <w:t>μ</w:t>
      </w:r>
      <w:r>
        <w:t xml:space="preserve"> and scale </w:t>
      </w:r>
      <w:r>
        <w:rPr>
          <w:i/>
          <w:iCs/>
        </w:rPr>
        <w:t>λ</w:t>
      </w:r>
      <w:r>
        <w:t xml:space="preserve">. </w:t>
      </w:r>
      <w:r>
        <w:rPr>
          <w:i/>
          <w:iCs/>
        </w:rPr>
        <w:t>f</w:t>
      </w:r>
      <w:r>
        <w:rPr>
          <w:i/>
          <w:iCs/>
          <w:vertAlign w:val="subscript"/>
        </w:rPr>
        <w:t>1</w:t>
      </w:r>
      <w:r>
        <w:rPr>
          <w:i/>
          <w:iCs/>
        </w:rPr>
        <w:t>(ddate)</w:t>
      </w:r>
      <w:r>
        <w:t xml:space="preserve"> is decimal date smoothed with a thin-plate regression spline, </w:t>
      </w:r>
      <w:r>
        <w:rPr>
          <w:i/>
          <w:iCs/>
        </w:rPr>
        <w:t>f</w:t>
      </w:r>
      <w:r>
        <w:rPr>
          <w:i/>
          <w:iCs/>
          <w:vertAlign w:val="subscript"/>
        </w:rPr>
        <w:t>2</w:t>
      </w:r>
      <w:r>
        <w:rPr>
          <w:i/>
          <w:iCs/>
        </w:rPr>
        <w:t>(yday)</w:t>
      </w:r>
      <w:r>
        <w:t xml:space="preserve"> is the numeric day of year smoothed with a cyclic cubic regression spline, </w:t>
      </w:r>
      <w:r>
        <w:rPr>
          <w:i/>
          <w:iCs/>
        </w:rPr>
        <w:t>f</w:t>
      </w:r>
      <w:r>
        <w:rPr>
          <w:i/>
          <w:iCs/>
          <w:vertAlign w:val="subscript"/>
        </w:rPr>
        <w:t>3</w:t>
      </w:r>
      <w:r>
        <w:rPr>
          <w:i/>
          <w:iCs/>
        </w:rPr>
        <w:t>(Q)</w:t>
      </w:r>
      <w:r>
        <w:t xml:space="preserve"> is mean daily inflow (the combined measurements from Lavaca River and Navidad River) and </w:t>
      </w:r>
      <w:r>
        <w:rPr>
          <w:i/>
          <w:iCs/>
        </w:rPr>
        <w:t>f</w:t>
      </w:r>
      <w:r>
        <w:rPr>
          <w:i/>
          <w:iCs/>
          <w:vertAlign w:val="subscript"/>
        </w:rPr>
        <w:t>4</w:t>
      </w:r>
      <w:r>
        <w:rPr>
          <w:i/>
          <w:iCs/>
        </w:rPr>
        <w:t>(Load)</w:t>
      </w:r>
      <w:r>
        <w:t xml:space="preserve"> is the total NO</w:t>
      </w:r>
      <w:r>
        <w:rPr>
          <w:vertAlign w:val="subscript"/>
        </w:rPr>
        <w:t>3</w:t>
      </w:r>
      <w:r>
        <w:t xml:space="preserve"> or TP watershed load. The set of models specified for each water quality response are in Table 3.</w:t>
      </w:r>
    </w:p>
    <w:p w14:paraId="639208F8" w14:textId="77777777" w:rsidR="00E80F9C" w:rsidRPr="00FB0257" w:rsidRDefault="00000000">
      <w:pPr>
        <w:pStyle w:val="TableCaption"/>
        <w:rPr>
          <w:b/>
          <w:bCs/>
        </w:rPr>
      </w:pPr>
      <w:bookmarkStart w:id="16" w:name="tbl-table3"/>
      <w:r w:rsidRPr="00FB0257">
        <w:rPr>
          <w:b/>
          <w:bCs/>
        </w:rPr>
        <w:t>Table 3. Set of GAM models specified for each water quality parameter response.</w:t>
      </w:r>
    </w:p>
    <w:tbl>
      <w:tblPr>
        <w:tblStyle w:val="Table"/>
        <w:tblW w:w="5000" w:type="pct"/>
        <w:tblLook w:val="0020" w:firstRow="1" w:lastRow="0" w:firstColumn="0" w:lastColumn="0" w:noHBand="0" w:noVBand="0"/>
        <w:tblCaption w:val="Table 3. Set of GAM models specified for each water quality parameter response."/>
      </w:tblPr>
      <w:tblGrid>
        <w:gridCol w:w="2609"/>
        <w:gridCol w:w="1260"/>
        <w:gridCol w:w="5491"/>
      </w:tblGrid>
      <w:tr w:rsidR="00E80F9C" w:rsidRPr="00C34581" w14:paraId="29DFB9FF" w14:textId="77777777" w:rsidTr="00915C8D">
        <w:trPr>
          <w:tblHeader/>
        </w:trPr>
        <w:tc>
          <w:tcPr>
            <w:tcW w:w="1394" w:type="pct"/>
            <w:tcBorders>
              <w:top w:val="single" w:sz="4" w:space="0" w:color="auto"/>
              <w:bottom w:val="single" w:sz="4" w:space="0" w:color="auto"/>
            </w:tcBorders>
            <w:vAlign w:val="center"/>
          </w:tcPr>
          <w:p w14:paraId="746EFBD1" w14:textId="77777777" w:rsidR="00E80F9C" w:rsidRPr="00C34581" w:rsidRDefault="00000000" w:rsidP="00915C8D">
            <w:pPr>
              <w:pStyle w:val="Compact"/>
              <w:rPr>
                <w:rFonts w:ascii="Arial" w:hAnsi="Arial" w:cs="Arial"/>
                <w:b/>
                <w:bCs/>
              </w:rPr>
            </w:pPr>
            <w:r w:rsidRPr="00C34581">
              <w:rPr>
                <w:rFonts w:ascii="Arial" w:hAnsi="Arial" w:cs="Arial"/>
                <w:b/>
                <w:bCs/>
              </w:rPr>
              <w:t>Water Quality Response Parameter</w:t>
            </w:r>
          </w:p>
        </w:tc>
        <w:tc>
          <w:tcPr>
            <w:tcW w:w="673" w:type="pct"/>
            <w:tcBorders>
              <w:top w:val="single" w:sz="4" w:space="0" w:color="auto"/>
              <w:bottom w:val="single" w:sz="4" w:space="0" w:color="auto"/>
            </w:tcBorders>
            <w:vAlign w:val="center"/>
          </w:tcPr>
          <w:p w14:paraId="60BF6614" w14:textId="77777777" w:rsidR="00E80F9C" w:rsidRPr="00C34581" w:rsidRDefault="00000000" w:rsidP="00915C8D">
            <w:pPr>
              <w:pStyle w:val="Compact"/>
              <w:rPr>
                <w:rFonts w:ascii="Arial" w:hAnsi="Arial" w:cs="Arial"/>
                <w:b/>
                <w:bCs/>
              </w:rPr>
            </w:pPr>
            <w:r w:rsidRPr="00C34581">
              <w:rPr>
                <w:rFonts w:ascii="Arial" w:hAnsi="Arial" w:cs="Arial"/>
                <w:b/>
                <w:bCs/>
              </w:rPr>
              <w:t>Model</w:t>
            </w:r>
          </w:p>
        </w:tc>
        <w:tc>
          <w:tcPr>
            <w:tcW w:w="2933" w:type="pct"/>
            <w:tcBorders>
              <w:top w:val="single" w:sz="4" w:space="0" w:color="auto"/>
              <w:bottom w:val="single" w:sz="4" w:space="0" w:color="auto"/>
            </w:tcBorders>
            <w:vAlign w:val="center"/>
          </w:tcPr>
          <w:p w14:paraId="29BBEF80" w14:textId="77777777" w:rsidR="00E80F9C" w:rsidRPr="00C34581" w:rsidRDefault="00000000" w:rsidP="00915C8D">
            <w:pPr>
              <w:pStyle w:val="Compact"/>
              <w:rPr>
                <w:rFonts w:ascii="Arial" w:hAnsi="Arial" w:cs="Arial"/>
                <w:b/>
                <w:bCs/>
              </w:rPr>
            </w:pPr>
            <w:r w:rsidRPr="00C34581">
              <w:rPr>
                <w:rFonts w:ascii="Arial" w:hAnsi="Arial" w:cs="Arial"/>
                <w:b/>
                <w:bCs/>
              </w:rPr>
              <w:t>Model Terms</w:t>
            </w:r>
          </w:p>
        </w:tc>
      </w:tr>
      <w:tr w:rsidR="00C34581" w:rsidRPr="00C34581" w14:paraId="1A200286" w14:textId="77777777" w:rsidTr="00915C8D">
        <w:tc>
          <w:tcPr>
            <w:tcW w:w="1394" w:type="pct"/>
            <w:vMerge w:val="restart"/>
            <w:tcBorders>
              <w:top w:val="single" w:sz="4" w:space="0" w:color="auto"/>
            </w:tcBorders>
            <w:vAlign w:val="center"/>
          </w:tcPr>
          <w:p w14:paraId="06EF43D5" w14:textId="418E5B0C" w:rsidR="00C34581" w:rsidRPr="00C34581" w:rsidRDefault="00C34581" w:rsidP="00915C8D">
            <w:pPr>
              <w:pStyle w:val="Compact"/>
              <w:rPr>
                <w:rFonts w:ascii="Arial" w:hAnsi="Arial" w:cs="Arial"/>
              </w:rPr>
            </w:pPr>
            <w:r>
              <w:rPr>
                <w:rFonts w:ascii="Arial" w:hAnsi="Arial" w:cs="Arial"/>
              </w:rPr>
              <w:t>TP</w:t>
            </w:r>
          </w:p>
        </w:tc>
        <w:tc>
          <w:tcPr>
            <w:tcW w:w="673" w:type="pct"/>
            <w:tcBorders>
              <w:top w:val="single" w:sz="4" w:space="0" w:color="auto"/>
            </w:tcBorders>
            <w:vAlign w:val="center"/>
          </w:tcPr>
          <w:p w14:paraId="2409EDD7" w14:textId="77777777" w:rsidR="00C34581" w:rsidRPr="00C34581" w:rsidRDefault="00C34581" w:rsidP="00915C8D">
            <w:pPr>
              <w:pStyle w:val="Compact"/>
              <w:rPr>
                <w:rFonts w:ascii="Arial" w:hAnsi="Arial" w:cs="Arial"/>
              </w:rPr>
            </w:pPr>
            <w:r w:rsidRPr="00C34581">
              <w:rPr>
                <w:rFonts w:ascii="Arial" w:hAnsi="Arial" w:cs="Arial"/>
              </w:rPr>
              <w:t>Temporal</w:t>
            </w:r>
          </w:p>
        </w:tc>
        <w:tc>
          <w:tcPr>
            <w:tcW w:w="2933" w:type="pct"/>
            <w:tcBorders>
              <w:top w:val="single" w:sz="4" w:space="0" w:color="auto"/>
            </w:tcBorders>
            <w:vAlign w:val="center"/>
          </w:tcPr>
          <w:p w14:paraId="2BF61212" w14:textId="77777777" w:rsidR="00C34581" w:rsidRPr="00C34581" w:rsidRDefault="00C34581" w:rsidP="00915C8D">
            <w:pPr>
              <w:pStyle w:val="Compact"/>
              <w:rPr>
                <w:rFonts w:ascii="Arial" w:hAnsi="Arial" w:cs="Arial"/>
              </w:rPr>
            </w:pPr>
            <w:r w:rsidRPr="00C34581">
              <w:rPr>
                <w:rFonts w:ascii="Arial" w:hAnsi="Arial" w:cs="Arial"/>
              </w:rPr>
              <w:t>s(ddate) + s(yday)</w:t>
            </w:r>
          </w:p>
        </w:tc>
      </w:tr>
      <w:tr w:rsidR="00C34581" w:rsidRPr="00C34581" w14:paraId="15A8AA2F" w14:textId="77777777" w:rsidTr="00915C8D">
        <w:tc>
          <w:tcPr>
            <w:tcW w:w="1394" w:type="pct"/>
            <w:vMerge/>
            <w:vAlign w:val="center"/>
          </w:tcPr>
          <w:p w14:paraId="590D9B2E" w14:textId="3EDA4D55" w:rsidR="00C34581" w:rsidRPr="00C34581" w:rsidRDefault="00C34581" w:rsidP="00915C8D">
            <w:pPr>
              <w:pStyle w:val="Compact"/>
              <w:rPr>
                <w:rFonts w:ascii="Arial" w:hAnsi="Arial" w:cs="Arial"/>
              </w:rPr>
            </w:pPr>
          </w:p>
        </w:tc>
        <w:tc>
          <w:tcPr>
            <w:tcW w:w="673" w:type="pct"/>
            <w:vAlign w:val="center"/>
          </w:tcPr>
          <w:p w14:paraId="7A071F01" w14:textId="77777777" w:rsidR="00C34581" w:rsidRPr="00C34581" w:rsidRDefault="00C34581" w:rsidP="00915C8D">
            <w:pPr>
              <w:pStyle w:val="Compact"/>
              <w:rPr>
                <w:rFonts w:ascii="Arial" w:hAnsi="Arial" w:cs="Arial"/>
              </w:rPr>
            </w:pPr>
            <w:r w:rsidRPr="00C34581">
              <w:rPr>
                <w:rFonts w:ascii="Arial" w:hAnsi="Arial" w:cs="Arial"/>
              </w:rPr>
              <w:t>Flow</w:t>
            </w:r>
          </w:p>
        </w:tc>
        <w:tc>
          <w:tcPr>
            <w:tcW w:w="2933" w:type="pct"/>
            <w:vAlign w:val="center"/>
          </w:tcPr>
          <w:p w14:paraId="7E3D6DC2" w14:textId="77777777" w:rsidR="00C34581" w:rsidRPr="00C34581" w:rsidRDefault="00C34581" w:rsidP="00915C8D">
            <w:pPr>
              <w:pStyle w:val="Compact"/>
              <w:rPr>
                <w:rFonts w:ascii="Arial" w:hAnsi="Arial" w:cs="Arial"/>
              </w:rPr>
            </w:pPr>
            <w:r w:rsidRPr="00C34581">
              <w:rPr>
                <w:rFonts w:ascii="Arial" w:hAnsi="Arial" w:cs="Arial"/>
              </w:rPr>
              <w:t>s(ddate) + s(yday) + s(Q)</w:t>
            </w:r>
          </w:p>
        </w:tc>
      </w:tr>
      <w:tr w:rsidR="00C34581" w:rsidRPr="00C34581" w14:paraId="47970D94" w14:textId="77777777" w:rsidTr="00915C8D">
        <w:tc>
          <w:tcPr>
            <w:tcW w:w="1394" w:type="pct"/>
            <w:vMerge/>
            <w:tcBorders>
              <w:bottom w:val="single" w:sz="4" w:space="0" w:color="auto"/>
            </w:tcBorders>
            <w:vAlign w:val="center"/>
          </w:tcPr>
          <w:p w14:paraId="0295868C" w14:textId="32870660" w:rsidR="00C34581" w:rsidRPr="00C34581" w:rsidRDefault="00C34581" w:rsidP="00915C8D">
            <w:pPr>
              <w:pStyle w:val="Compact"/>
              <w:rPr>
                <w:rFonts w:ascii="Arial" w:hAnsi="Arial" w:cs="Arial"/>
              </w:rPr>
            </w:pPr>
          </w:p>
        </w:tc>
        <w:tc>
          <w:tcPr>
            <w:tcW w:w="673" w:type="pct"/>
            <w:tcBorders>
              <w:bottom w:val="single" w:sz="4" w:space="0" w:color="auto"/>
            </w:tcBorders>
            <w:vAlign w:val="center"/>
          </w:tcPr>
          <w:p w14:paraId="3D57688D" w14:textId="77777777" w:rsidR="00C34581" w:rsidRPr="00C34581" w:rsidRDefault="00C34581" w:rsidP="00915C8D">
            <w:pPr>
              <w:pStyle w:val="Compact"/>
              <w:rPr>
                <w:rFonts w:ascii="Arial" w:hAnsi="Arial" w:cs="Arial"/>
              </w:rPr>
            </w:pPr>
            <w:r w:rsidRPr="00C34581">
              <w:rPr>
                <w:rFonts w:ascii="Arial" w:hAnsi="Arial" w:cs="Arial"/>
              </w:rPr>
              <w:t>Flow+Load</w:t>
            </w:r>
          </w:p>
        </w:tc>
        <w:tc>
          <w:tcPr>
            <w:tcW w:w="2933" w:type="pct"/>
            <w:tcBorders>
              <w:bottom w:val="single" w:sz="4" w:space="0" w:color="auto"/>
            </w:tcBorders>
            <w:vAlign w:val="center"/>
          </w:tcPr>
          <w:p w14:paraId="5D52ABD6" w14:textId="77777777" w:rsidR="00C34581" w:rsidRPr="00C34581" w:rsidRDefault="00C34581" w:rsidP="00915C8D">
            <w:pPr>
              <w:pStyle w:val="Compact"/>
              <w:rPr>
                <w:rFonts w:ascii="Arial" w:hAnsi="Arial" w:cs="Arial"/>
              </w:rPr>
            </w:pPr>
            <w:r w:rsidRPr="00C34581">
              <w:rPr>
                <w:rFonts w:ascii="Arial" w:hAnsi="Arial" w:cs="Arial"/>
              </w:rPr>
              <w:t>s(ddate) + s(yday) + s(Q) + s(TP Load)</w:t>
            </w:r>
          </w:p>
        </w:tc>
      </w:tr>
      <w:tr w:rsidR="00C34581" w:rsidRPr="00C34581" w14:paraId="76278C19" w14:textId="77777777" w:rsidTr="00915C8D">
        <w:tc>
          <w:tcPr>
            <w:tcW w:w="1394" w:type="pct"/>
            <w:vMerge w:val="restart"/>
            <w:tcBorders>
              <w:top w:val="single" w:sz="4" w:space="0" w:color="auto"/>
            </w:tcBorders>
            <w:vAlign w:val="center"/>
          </w:tcPr>
          <w:p w14:paraId="08F0C2A2" w14:textId="543EB942" w:rsidR="00C34581" w:rsidRPr="00C34581" w:rsidRDefault="00C34581" w:rsidP="00915C8D">
            <w:pPr>
              <w:pStyle w:val="Compact"/>
              <w:rPr>
                <w:rFonts w:ascii="Arial" w:hAnsi="Arial" w:cs="Arial"/>
              </w:rPr>
            </w:pPr>
            <w:r w:rsidRPr="00C34581">
              <w:rPr>
                <w:rFonts w:ascii="Arial" w:hAnsi="Arial" w:cs="Arial"/>
              </w:rPr>
              <w:t>NO</w:t>
            </w:r>
            <w:r w:rsidRPr="00C34581">
              <w:rPr>
                <w:rFonts w:ascii="Arial" w:hAnsi="Arial" w:cs="Arial"/>
                <w:i/>
                <w:iCs/>
                <w:vertAlign w:val="subscript"/>
              </w:rPr>
              <w:t>x</w:t>
            </w:r>
          </w:p>
        </w:tc>
        <w:tc>
          <w:tcPr>
            <w:tcW w:w="673" w:type="pct"/>
            <w:tcBorders>
              <w:top w:val="single" w:sz="4" w:space="0" w:color="auto"/>
            </w:tcBorders>
            <w:vAlign w:val="center"/>
          </w:tcPr>
          <w:p w14:paraId="1767687E" w14:textId="77777777" w:rsidR="00C34581" w:rsidRPr="00C34581" w:rsidRDefault="00C34581" w:rsidP="00915C8D">
            <w:pPr>
              <w:pStyle w:val="Compact"/>
              <w:rPr>
                <w:rFonts w:ascii="Arial" w:hAnsi="Arial" w:cs="Arial"/>
              </w:rPr>
            </w:pPr>
            <w:r w:rsidRPr="00C34581">
              <w:rPr>
                <w:rFonts w:ascii="Arial" w:hAnsi="Arial" w:cs="Arial"/>
              </w:rPr>
              <w:t>Temporal</w:t>
            </w:r>
          </w:p>
        </w:tc>
        <w:tc>
          <w:tcPr>
            <w:tcW w:w="2933" w:type="pct"/>
            <w:tcBorders>
              <w:top w:val="single" w:sz="4" w:space="0" w:color="auto"/>
            </w:tcBorders>
            <w:vAlign w:val="center"/>
          </w:tcPr>
          <w:p w14:paraId="7520609E" w14:textId="77777777" w:rsidR="00C34581" w:rsidRPr="00C34581" w:rsidRDefault="00C34581" w:rsidP="00915C8D">
            <w:pPr>
              <w:pStyle w:val="Compact"/>
              <w:rPr>
                <w:rFonts w:ascii="Arial" w:hAnsi="Arial" w:cs="Arial"/>
              </w:rPr>
            </w:pPr>
            <w:r w:rsidRPr="00C34581">
              <w:rPr>
                <w:rFonts w:ascii="Arial" w:hAnsi="Arial" w:cs="Arial"/>
              </w:rPr>
              <w:t>s(ddate) + s(yday)</w:t>
            </w:r>
          </w:p>
        </w:tc>
      </w:tr>
      <w:tr w:rsidR="00C34581" w:rsidRPr="00C34581" w14:paraId="5DD9C623" w14:textId="77777777" w:rsidTr="00915C8D">
        <w:tc>
          <w:tcPr>
            <w:tcW w:w="1394" w:type="pct"/>
            <w:vMerge/>
            <w:vAlign w:val="center"/>
          </w:tcPr>
          <w:p w14:paraId="6636A147" w14:textId="2B27E48C" w:rsidR="00C34581" w:rsidRPr="00C34581" w:rsidRDefault="00C34581" w:rsidP="00915C8D">
            <w:pPr>
              <w:pStyle w:val="Compact"/>
              <w:rPr>
                <w:rFonts w:ascii="Arial" w:hAnsi="Arial" w:cs="Arial"/>
              </w:rPr>
            </w:pPr>
          </w:p>
        </w:tc>
        <w:tc>
          <w:tcPr>
            <w:tcW w:w="673" w:type="pct"/>
            <w:vAlign w:val="center"/>
          </w:tcPr>
          <w:p w14:paraId="58D606EB" w14:textId="77777777" w:rsidR="00C34581" w:rsidRPr="00C34581" w:rsidRDefault="00C34581" w:rsidP="00915C8D">
            <w:pPr>
              <w:pStyle w:val="Compact"/>
              <w:rPr>
                <w:rFonts w:ascii="Arial" w:hAnsi="Arial" w:cs="Arial"/>
              </w:rPr>
            </w:pPr>
            <w:r w:rsidRPr="00C34581">
              <w:rPr>
                <w:rFonts w:ascii="Arial" w:hAnsi="Arial" w:cs="Arial"/>
              </w:rPr>
              <w:t>Flow</w:t>
            </w:r>
          </w:p>
        </w:tc>
        <w:tc>
          <w:tcPr>
            <w:tcW w:w="2933" w:type="pct"/>
            <w:vAlign w:val="center"/>
          </w:tcPr>
          <w:p w14:paraId="25D45551" w14:textId="77777777" w:rsidR="00C34581" w:rsidRPr="00C34581" w:rsidRDefault="00C34581" w:rsidP="00915C8D">
            <w:pPr>
              <w:pStyle w:val="Compact"/>
              <w:rPr>
                <w:rFonts w:ascii="Arial" w:hAnsi="Arial" w:cs="Arial"/>
              </w:rPr>
            </w:pPr>
            <w:r w:rsidRPr="00C34581">
              <w:rPr>
                <w:rFonts w:ascii="Arial" w:hAnsi="Arial" w:cs="Arial"/>
              </w:rPr>
              <w:t>s(ddate) + s(yday) + s(Q)</w:t>
            </w:r>
          </w:p>
        </w:tc>
      </w:tr>
      <w:tr w:rsidR="00C34581" w:rsidRPr="00C34581" w14:paraId="5BD13B65" w14:textId="77777777" w:rsidTr="00915C8D">
        <w:tc>
          <w:tcPr>
            <w:tcW w:w="1394" w:type="pct"/>
            <w:vMerge/>
            <w:tcBorders>
              <w:bottom w:val="single" w:sz="4" w:space="0" w:color="auto"/>
            </w:tcBorders>
            <w:vAlign w:val="center"/>
          </w:tcPr>
          <w:p w14:paraId="06931206" w14:textId="13A61747" w:rsidR="00C34581" w:rsidRPr="00C34581" w:rsidRDefault="00C34581" w:rsidP="00915C8D">
            <w:pPr>
              <w:pStyle w:val="Compact"/>
              <w:rPr>
                <w:rFonts w:ascii="Arial" w:hAnsi="Arial" w:cs="Arial"/>
              </w:rPr>
            </w:pPr>
          </w:p>
        </w:tc>
        <w:tc>
          <w:tcPr>
            <w:tcW w:w="673" w:type="pct"/>
            <w:tcBorders>
              <w:bottom w:val="single" w:sz="4" w:space="0" w:color="auto"/>
            </w:tcBorders>
            <w:vAlign w:val="center"/>
          </w:tcPr>
          <w:p w14:paraId="53271378" w14:textId="77777777" w:rsidR="00C34581" w:rsidRPr="00C34581" w:rsidRDefault="00C34581" w:rsidP="00915C8D">
            <w:pPr>
              <w:pStyle w:val="Compact"/>
              <w:rPr>
                <w:rFonts w:ascii="Arial" w:hAnsi="Arial" w:cs="Arial"/>
              </w:rPr>
            </w:pPr>
            <w:r w:rsidRPr="00C34581">
              <w:rPr>
                <w:rFonts w:ascii="Arial" w:hAnsi="Arial" w:cs="Arial"/>
              </w:rPr>
              <w:t>Flow+Load</w:t>
            </w:r>
          </w:p>
        </w:tc>
        <w:tc>
          <w:tcPr>
            <w:tcW w:w="2933" w:type="pct"/>
            <w:tcBorders>
              <w:bottom w:val="single" w:sz="4" w:space="0" w:color="auto"/>
            </w:tcBorders>
            <w:vAlign w:val="center"/>
          </w:tcPr>
          <w:p w14:paraId="1D22D1A4" w14:textId="77777777" w:rsidR="00C34581" w:rsidRPr="00C34581" w:rsidRDefault="00C34581" w:rsidP="00915C8D">
            <w:pPr>
              <w:pStyle w:val="Compact"/>
              <w:rPr>
                <w:rFonts w:ascii="Arial" w:hAnsi="Arial" w:cs="Arial"/>
              </w:rPr>
            </w:pPr>
            <w:r w:rsidRPr="00C34581">
              <w:rPr>
                <w:rFonts w:ascii="Arial" w:hAnsi="Arial" w:cs="Arial"/>
              </w:rPr>
              <w:t>s(ddate) + s(yday) + s(Q) + s(NO</w:t>
            </w:r>
            <w:r w:rsidRPr="00C34581">
              <w:rPr>
                <w:rFonts w:ascii="Arial" w:hAnsi="Arial" w:cs="Arial"/>
                <w:vertAlign w:val="subscript"/>
              </w:rPr>
              <w:t>3</w:t>
            </w:r>
            <w:r w:rsidRPr="00C34581">
              <w:rPr>
                <w:rFonts w:ascii="Arial" w:hAnsi="Arial" w:cs="Arial"/>
              </w:rPr>
              <w:t xml:space="preserve"> Load)</w:t>
            </w:r>
          </w:p>
        </w:tc>
      </w:tr>
      <w:tr w:rsidR="00C34581" w:rsidRPr="00C34581" w14:paraId="2463E24B" w14:textId="77777777" w:rsidTr="00915C8D">
        <w:tc>
          <w:tcPr>
            <w:tcW w:w="1394" w:type="pct"/>
            <w:vMerge w:val="restart"/>
            <w:tcBorders>
              <w:top w:val="single" w:sz="4" w:space="0" w:color="auto"/>
            </w:tcBorders>
            <w:vAlign w:val="center"/>
          </w:tcPr>
          <w:p w14:paraId="04E08216" w14:textId="518344C0" w:rsidR="00C34581" w:rsidRPr="00C34581" w:rsidRDefault="00C34581" w:rsidP="00915C8D">
            <w:pPr>
              <w:pStyle w:val="Compact"/>
              <w:rPr>
                <w:rFonts w:ascii="Arial" w:hAnsi="Arial" w:cs="Arial"/>
              </w:rPr>
            </w:pPr>
            <w:r w:rsidRPr="00C34581">
              <w:rPr>
                <w:rFonts w:ascii="Arial" w:hAnsi="Arial" w:cs="Arial"/>
              </w:rPr>
              <w:t>Chlorophyll-a</w:t>
            </w:r>
          </w:p>
        </w:tc>
        <w:tc>
          <w:tcPr>
            <w:tcW w:w="673" w:type="pct"/>
            <w:tcBorders>
              <w:top w:val="single" w:sz="4" w:space="0" w:color="auto"/>
            </w:tcBorders>
            <w:vAlign w:val="center"/>
          </w:tcPr>
          <w:p w14:paraId="33EB4B27" w14:textId="77777777" w:rsidR="00C34581" w:rsidRPr="00C34581" w:rsidRDefault="00C34581" w:rsidP="00915C8D">
            <w:pPr>
              <w:pStyle w:val="Compact"/>
              <w:rPr>
                <w:rFonts w:ascii="Arial" w:hAnsi="Arial" w:cs="Arial"/>
              </w:rPr>
            </w:pPr>
            <w:r w:rsidRPr="00C34581">
              <w:rPr>
                <w:rFonts w:ascii="Arial" w:hAnsi="Arial" w:cs="Arial"/>
              </w:rPr>
              <w:t>Temporal</w:t>
            </w:r>
          </w:p>
        </w:tc>
        <w:tc>
          <w:tcPr>
            <w:tcW w:w="2933" w:type="pct"/>
            <w:tcBorders>
              <w:top w:val="single" w:sz="4" w:space="0" w:color="auto"/>
            </w:tcBorders>
            <w:vAlign w:val="center"/>
          </w:tcPr>
          <w:p w14:paraId="64AEE3BE" w14:textId="77777777" w:rsidR="00C34581" w:rsidRPr="00C34581" w:rsidRDefault="00C34581" w:rsidP="00915C8D">
            <w:pPr>
              <w:pStyle w:val="Compact"/>
              <w:rPr>
                <w:rFonts w:ascii="Arial" w:hAnsi="Arial" w:cs="Arial"/>
              </w:rPr>
            </w:pPr>
            <w:r w:rsidRPr="00C34581">
              <w:rPr>
                <w:rFonts w:ascii="Arial" w:hAnsi="Arial" w:cs="Arial"/>
              </w:rPr>
              <w:t>s(ddate) + s(yday)</w:t>
            </w:r>
          </w:p>
        </w:tc>
      </w:tr>
      <w:tr w:rsidR="00C34581" w:rsidRPr="00C34581" w14:paraId="4EF64991" w14:textId="77777777" w:rsidTr="00915C8D">
        <w:tc>
          <w:tcPr>
            <w:tcW w:w="1394" w:type="pct"/>
            <w:vMerge/>
            <w:vAlign w:val="center"/>
          </w:tcPr>
          <w:p w14:paraId="26ED0ACC" w14:textId="323612C5" w:rsidR="00C34581" w:rsidRPr="00C34581" w:rsidRDefault="00C34581" w:rsidP="00915C8D">
            <w:pPr>
              <w:pStyle w:val="Compact"/>
              <w:rPr>
                <w:rFonts w:ascii="Arial" w:hAnsi="Arial" w:cs="Arial"/>
              </w:rPr>
            </w:pPr>
          </w:p>
        </w:tc>
        <w:tc>
          <w:tcPr>
            <w:tcW w:w="673" w:type="pct"/>
            <w:vAlign w:val="center"/>
          </w:tcPr>
          <w:p w14:paraId="6EC40CBF" w14:textId="77777777" w:rsidR="00C34581" w:rsidRPr="00C34581" w:rsidRDefault="00C34581" w:rsidP="00915C8D">
            <w:pPr>
              <w:pStyle w:val="Compact"/>
              <w:rPr>
                <w:rFonts w:ascii="Arial" w:hAnsi="Arial" w:cs="Arial"/>
              </w:rPr>
            </w:pPr>
            <w:r w:rsidRPr="00C34581">
              <w:rPr>
                <w:rFonts w:ascii="Arial" w:hAnsi="Arial" w:cs="Arial"/>
              </w:rPr>
              <w:t>Flow</w:t>
            </w:r>
          </w:p>
        </w:tc>
        <w:tc>
          <w:tcPr>
            <w:tcW w:w="2933" w:type="pct"/>
            <w:vAlign w:val="center"/>
          </w:tcPr>
          <w:p w14:paraId="7229F704" w14:textId="77777777" w:rsidR="00C34581" w:rsidRPr="00C34581" w:rsidRDefault="00C34581" w:rsidP="00915C8D">
            <w:pPr>
              <w:pStyle w:val="Compact"/>
              <w:rPr>
                <w:rFonts w:ascii="Arial" w:hAnsi="Arial" w:cs="Arial"/>
              </w:rPr>
            </w:pPr>
            <w:r w:rsidRPr="00C34581">
              <w:rPr>
                <w:rFonts w:ascii="Arial" w:hAnsi="Arial" w:cs="Arial"/>
              </w:rPr>
              <w:t>s(ddate) + s(yday) + s(Q)</w:t>
            </w:r>
          </w:p>
        </w:tc>
      </w:tr>
      <w:tr w:rsidR="00C34581" w:rsidRPr="00C34581" w14:paraId="0ACED173" w14:textId="77777777" w:rsidTr="00915C8D">
        <w:tc>
          <w:tcPr>
            <w:tcW w:w="1394" w:type="pct"/>
            <w:vMerge/>
            <w:tcBorders>
              <w:bottom w:val="single" w:sz="4" w:space="0" w:color="auto"/>
            </w:tcBorders>
            <w:vAlign w:val="center"/>
          </w:tcPr>
          <w:p w14:paraId="597115EB" w14:textId="73B5B07B" w:rsidR="00C34581" w:rsidRPr="00C34581" w:rsidRDefault="00C34581" w:rsidP="00915C8D">
            <w:pPr>
              <w:pStyle w:val="Compact"/>
              <w:rPr>
                <w:rFonts w:ascii="Arial" w:hAnsi="Arial" w:cs="Arial"/>
              </w:rPr>
            </w:pPr>
          </w:p>
        </w:tc>
        <w:tc>
          <w:tcPr>
            <w:tcW w:w="673" w:type="pct"/>
            <w:tcBorders>
              <w:bottom w:val="single" w:sz="4" w:space="0" w:color="auto"/>
            </w:tcBorders>
            <w:vAlign w:val="center"/>
          </w:tcPr>
          <w:p w14:paraId="6262B4D5" w14:textId="77777777" w:rsidR="00C34581" w:rsidRPr="00C34581" w:rsidRDefault="00C34581" w:rsidP="00915C8D">
            <w:pPr>
              <w:pStyle w:val="Compact"/>
              <w:rPr>
                <w:rFonts w:ascii="Arial" w:hAnsi="Arial" w:cs="Arial"/>
              </w:rPr>
            </w:pPr>
            <w:r w:rsidRPr="00C34581">
              <w:rPr>
                <w:rFonts w:ascii="Arial" w:hAnsi="Arial" w:cs="Arial"/>
              </w:rPr>
              <w:t>Flow+Load</w:t>
            </w:r>
          </w:p>
        </w:tc>
        <w:tc>
          <w:tcPr>
            <w:tcW w:w="2933" w:type="pct"/>
            <w:tcBorders>
              <w:bottom w:val="single" w:sz="4" w:space="0" w:color="auto"/>
            </w:tcBorders>
            <w:vAlign w:val="center"/>
          </w:tcPr>
          <w:p w14:paraId="7FC02EC2" w14:textId="77777777" w:rsidR="00C34581" w:rsidRPr="00C34581" w:rsidRDefault="00C34581" w:rsidP="00915C8D">
            <w:pPr>
              <w:pStyle w:val="Compact"/>
              <w:rPr>
                <w:rFonts w:ascii="Arial" w:hAnsi="Arial" w:cs="Arial"/>
              </w:rPr>
            </w:pPr>
            <w:r w:rsidRPr="00C34581">
              <w:rPr>
                <w:rFonts w:ascii="Arial" w:hAnsi="Arial" w:cs="Arial"/>
              </w:rPr>
              <w:t>s(ddate) + s(yday) + s(Q) + s(TP Load) + s(NO</w:t>
            </w:r>
            <w:r w:rsidRPr="00C34581">
              <w:rPr>
                <w:rFonts w:ascii="Arial" w:hAnsi="Arial" w:cs="Arial"/>
                <w:vertAlign w:val="subscript"/>
              </w:rPr>
              <w:t>3</w:t>
            </w:r>
            <w:r w:rsidRPr="00C34581">
              <w:rPr>
                <w:rFonts w:ascii="Arial" w:hAnsi="Arial" w:cs="Arial"/>
              </w:rPr>
              <w:t xml:space="preserve"> Load)</w:t>
            </w:r>
          </w:p>
        </w:tc>
      </w:tr>
      <w:tr w:rsidR="00C34581" w:rsidRPr="00C34581" w14:paraId="6A2694ED" w14:textId="77777777" w:rsidTr="00915C8D">
        <w:tc>
          <w:tcPr>
            <w:tcW w:w="1394" w:type="pct"/>
            <w:vMerge w:val="restart"/>
            <w:tcBorders>
              <w:top w:val="single" w:sz="4" w:space="0" w:color="auto"/>
            </w:tcBorders>
            <w:vAlign w:val="center"/>
          </w:tcPr>
          <w:p w14:paraId="3B45DDC1" w14:textId="32867BF7" w:rsidR="00C34581" w:rsidRPr="00C34581" w:rsidRDefault="00C34581" w:rsidP="00915C8D">
            <w:pPr>
              <w:pStyle w:val="Compact"/>
              <w:rPr>
                <w:rFonts w:ascii="Arial" w:hAnsi="Arial" w:cs="Arial"/>
              </w:rPr>
            </w:pPr>
            <w:r>
              <w:rPr>
                <w:rFonts w:ascii="Arial" w:hAnsi="Arial" w:cs="Arial"/>
              </w:rPr>
              <w:t>DO</w:t>
            </w:r>
          </w:p>
        </w:tc>
        <w:tc>
          <w:tcPr>
            <w:tcW w:w="673" w:type="pct"/>
            <w:tcBorders>
              <w:top w:val="single" w:sz="4" w:space="0" w:color="auto"/>
            </w:tcBorders>
            <w:vAlign w:val="center"/>
          </w:tcPr>
          <w:p w14:paraId="0258F8B4" w14:textId="77777777" w:rsidR="00C34581" w:rsidRPr="00C34581" w:rsidRDefault="00C34581" w:rsidP="00915C8D">
            <w:pPr>
              <w:pStyle w:val="Compact"/>
              <w:rPr>
                <w:rFonts w:ascii="Arial" w:hAnsi="Arial" w:cs="Arial"/>
              </w:rPr>
            </w:pPr>
            <w:r w:rsidRPr="00C34581">
              <w:rPr>
                <w:rFonts w:ascii="Arial" w:hAnsi="Arial" w:cs="Arial"/>
              </w:rPr>
              <w:t>Temporal</w:t>
            </w:r>
          </w:p>
        </w:tc>
        <w:tc>
          <w:tcPr>
            <w:tcW w:w="2933" w:type="pct"/>
            <w:tcBorders>
              <w:top w:val="single" w:sz="4" w:space="0" w:color="auto"/>
            </w:tcBorders>
            <w:vAlign w:val="center"/>
          </w:tcPr>
          <w:p w14:paraId="2A49BEB9" w14:textId="77777777" w:rsidR="00C34581" w:rsidRPr="00C34581" w:rsidRDefault="00C34581" w:rsidP="00915C8D">
            <w:pPr>
              <w:pStyle w:val="Compact"/>
              <w:rPr>
                <w:rFonts w:ascii="Arial" w:hAnsi="Arial" w:cs="Arial"/>
              </w:rPr>
            </w:pPr>
            <w:r w:rsidRPr="00C34581">
              <w:rPr>
                <w:rFonts w:ascii="Arial" w:hAnsi="Arial" w:cs="Arial"/>
              </w:rPr>
              <w:t>s(ddate) + s(yday)</w:t>
            </w:r>
          </w:p>
        </w:tc>
      </w:tr>
      <w:tr w:rsidR="00C34581" w:rsidRPr="00C34581" w14:paraId="20E0FE74" w14:textId="77777777" w:rsidTr="00915C8D">
        <w:tc>
          <w:tcPr>
            <w:tcW w:w="1394" w:type="pct"/>
            <w:vMerge/>
            <w:vAlign w:val="center"/>
          </w:tcPr>
          <w:p w14:paraId="652C3125" w14:textId="5D74EC05" w:rsidR="00C34581" w:rsidRPr="00C34581" w:rsidRDefault="00C34581" w:rsidP="00915C8D">
            <w:pPr>
              <w:pStyle w:val="Compact"/>
              <w:rPr>
                <w:rFonts w:ascii="Arial" w:hAnsi="Arial" w:cs="Arial"/>
              </w:rPr>
            </w:pPr>
          </w:p>
        </w:tc>
        <w:tc>
          <w:tcPr>
            <w:tcW w:w="673" w:type="pct"/>
            <w:vAlign w:val="center"/>
          </w:tcPr>
          <w:p w14:paraId="6B664B9B" w14:textId="77777777" w:rsidR="00C34581" w:rsidRPr="00C34581" w:rsidRDefault="00C34581" w:rsidP="00915C8D">
            <w:pPr>
              <w:pStyle w:val="Compact"/>
              <w:rPr>
                <w:rFonts w:ascii="Arial" w:hAnsi="Arial" w:cs="Arial"/>
              </w:rPr>
            </w:pPr>
            <w:r w:rsidRPr="00C34581">
              <w:rPr>
                <w:rFonts w:ascii="Arial" w:hAnsi="Arial" w:cs="Arial"/>
              </w:rPr>
              <w:t>Flow</w:t>
            </w:r>
          </w:p>
        </w:tc>
        <w:tc>
          <w:tcPr>
            <w:tcW w:w="2933" w:type="pct"/>
            <w:vAlign w:val="center"/>
          </w:tcPr>
          <w:p w14:paraId="4E6F5A1E" w14:textId="77777777" w:rsidR="00C34581" w:rsidRPr="00C34581" w:rsidRDefault="00C34581" w:rsidP="00915C8D">
            <w:pPr>
              <w:pStyle w:val="Compact"/>
              <w:rPr>
                <w:rFonts w:ascii="Arial" w:hAnsi="Arial" w:cs="Arial"/>
              </w:rPr>
            </w:pPr>
            <w:r w:rsidRPr="00C34581">
              <w:rPr>
                <w:rFonts w:ascii="Arial" w:hAnsi="Arial" w:cs="Arial"/>
              </w:rPr>
              <w:t>s(ddate) + s(yday) + s(Q)</w:t>
            </w:r>
          </w:p>
        </w:tc>
      </w:tr>
      <w:tr w:rsidR="00C34581" w:rsidRPr="00C34581" w14:paraId="3279055B" w14:textId="77777777" w:rsidTr="00915C8D">
        <w:tc>
          <w:tcPr>
            <w:tcW w:w="1394" w:type="pct"/>
            <w:vMerge/>
            <w:tcBorders>
              <w:bottom w:val="single" w:sz="4" w:space="0" w:color="auto"/>
            </w:tcBorders>
            <w:vAlign w:val="center"/>
          </w:tcPr>
          <w:p w14:paraId="728E5B8A" w14:textId="062CA335" w:rsidR="00C34581" w:rsidRPr="00C34581" w:rsidRDefault="00C34581" w:rsidP="00915C8D">
            <w:pPr>
              <w:pStyle w:val="Compact"/>
              <w:rPr>
                <w:rFonts w:ascii="Arial" w:hAnsi="Arial" w:cs="Arial"/>
              </w:rPr>
            </w:pPr>
          </w:p>
        </w:tc>
        <w:tc>
          <w:tcPr>
            <w:tcW w:w="673" w:type="pct"/>
            <w:tcBorders>
              <w:bottom w:val="single" w:sz="4" w:space="0" w:color="auto"/>
            </w:tcBorders>
            <w:vAlign w:val="center"/>
          </w:tcPr>
          <w:p w14:paraId="5A5AAE33" w14:textId="77777777" w:rsidR="00C34581" w:rsidRPr="00C34581" w:rsidRDefault="00C34581" w:rsidP="00915C8D">
            <w:pPr>
              <w:pStyle w:val="Compact"/>
              <w:rPr>
                <w:rFonts w:ascii="Arial" w:hAnsi="Arial" w:cs="Arial"/>
              </w:rPr>
            </w:pPr>
            <w:r w:rsidRPr="00C34581">
              <w:rPr>
                <w:rFonts w:ascii="Arial" w:hAnsi="Arial" w:cs="Arial"/>
              </w:rPr>
              <w:t>Flow+Load</w:t>
            </w:r>
          </w:p>
        </w:tc>
        <w:tc>
          <w:tcPr>
            <w:tcW w:w="2933" w:type="pct"/>
            <w:tcBorders>
              <w:bottom w:val="single" w:sz="4" w:space="0" w:color="auto"/>
            </w:tcBorders>
            <w:vAlign w:val="center"/>
          </w:tcPr>
          <w:p w14:paraId="63D9B81C" w14:textId="77777777" w:rsidR="00C34581" w:rsidRPr="00C34581" w:rsidRDefault="00C34581" w:rsidP="00915C8D">
            <w:pPr>
              <w:pStyle w:val="Compact"/>
              <w:rPr>
                <w:rFonts w:ascii="Arial" w:hAnsi="Arial" w:cs="Arial"/>
              </w:rPr>
            </w:pPr>
            <w:r w:rsidRPr="00C34581">
              <w:rPr>
                <w:rFonts w:ascii="Arial" w:hAnsi="Arial" w:cs="Arial"/>
              </w:rPr>
              <w:t>s(ddate) + s(yday) + s(Q) + s(TP Load) + s(NO</w:t>
            </w:r>
            <w:r w:rsidRPr="00C34581">
              <w:rPr>
                <w:rFonts w:ascii="Arial" w:hAnsi="Arial" w:cs="Arial"/>
                <w:vertAlign w:val="subscript"/>
              </w:rPr>
              <w:t>3</w:t>
            </w:r>
            <w:r w:rsidRPr="00C34581">
              <w:rPr>
                <w:rFonts w:ascii="Arial" w:hAnsi="Arial" w:cs="Arial"/>
              </w:rPr>
              <w:t xml:space="preserve"> Load)</w:t>
            </w:r>
          </w:p>
        </w:tc>
      </w:tr>
      <w:tr w:rsidR="00C34581" w:rsidRPr="00C34581" w14:paraId="483A095A" w14:textId="77777777" w:rsidTr="00915C8D">
        <w:tc>
          <w:tcPr>
            <w:tcW w:w="1394" w:type="pct"/>
            <w:vMerge w:val="restart"/>
            <w:tcBorders>
              <w:top w:val="single" w:sz="4" w:space="0" w:color="auto"/>
            </w:tcBorders>
            <w:vAlign w:val="center"/>
          </w:tcPr>
          <w:p w14:paraId="67CF3F36" w14:textId="5E0D75BD" w:rsidR="00C34581" w:rsidRPr="00C34581" w:rsidRDefault="00C34581" w:rsidP="00915C8D">
            <w:pPr>
              <w:pStyle w:val="Compact"/>
              <w:rPr>
                <w:rFonts w:ascii="Arial" w:hAnsi="Arial" w:cs="Arial"/>
              </w:rPr>
            </w:pPr>
            <w:r w:rsidRPr="00C34581">
              <w:rPr>
                <w:rFonts w:ascii="Arial" w:hAnsi="Arial" w:cs="Arial"/>
              </w:rPr>
              <w:t>TKN</w:t>
            </w:r>
          </w:p>
        </w:tc>
        <w:tc>
          <w:tcPr>
            <w:tcW w:w="673" w:type="pct"/>
            <w:tcBorders>
              <w:top w:val="single" w:sz="4" w:space="0" w:color="auto"/>
            </w:tcBorders>
            <w:vAlign w:val="center"/>
          </w:tcPr>
          <w:p w14:paraId="14B8DB94" w14:textId="77777777" w:rsidR="00C34581" w:rsidRPr="00C34581" w:rsidRDefault="00C34581" w:rsidP="00915C8D">
            <w:pPr>
              <w:pStyle w:val="Compact"/>
              <w:rPr>
                <w:rFonts w:ascii="Arial" w:hAnsi="Arial" w:cs="Arial"/>
              </w:rPr>
            </w:pPr>
            <w:r w:rsidRPr="00C34581">
              <w:rPr>
                <w:rFonts w:ascii="Arial" w:hAnsi="Arial" w:cs="Arial"/>
              </w:rPr>
              <w:t>Temporal</w:t>
            </w:r>
          </w:p>
        </w:tc>
        <w:tc>
          <w:tcPr>
            <w:tcW w:w="2933" w:type="pct"/>
            <w:tcBorders>
              <w:top w:val="single" w:sz="4" w:space="0" w:color="auto"/>
            </w:tcBorders>
            <w:vAlign w:val="center"/>
          </w:tcPr>
          <w:p w14:paraId="12CC71E5" w14:textId="77777777" w:rsidR="00C34581" w:rsidRPr="00C34581" w:rsidRDefault="00C34581" w:rsidP="00915C8D">
            <w:pPr>
              <w:pStyle w:val="Compact"/>
              <w:rPr>
                <w:rFonts w:ascii="Arial" w:hAnsi="Arial" w:cs="Arial"/>
              </w:rPr>
            </w:pPr>
            <w:r w:rsidRPr="00C34581">
              <w:rPr>
                <w:rFonts w:ascii="Arial" w:hAnsi="Arial" w:cs="Arial"/>
              </w:rPr>
              <w:t>s(ddate) + s(yday)</w:t>
            </w:r>
          </w:p>
        </w:tc>
      </w:tr>
      <w:tr w:rsidR="00C34581" w:rsidRPr="00C34581" w14:paraId="2800E617" w14:textId="77777777" w:rsidTr="00915C8D">
        <w:tc>
          <w:tcPr>
            <w:tcW w:w="1394" w:type="pct"/>
            <w:vMerge/>
            <w:tcBorders>
              <w:bottom w:val="single" w:sz="4" w:space="0" w:color="auto"/>
            </w:tcBorders>
            <w:vAlign w:val="center"/>
          </w:tcPr>
          <w:p w14:paraId="75858D25" w14:textId="273AB13A" w:rsidR="00C34581" w:rsidRPr="00C34581" w:rsidRDefault="00C34581" w:rsidP="00915C8D">
            <w:pPr>
              <w:pStyle w:val="Compact"/>
              <w:rPr>
                <w:rFonts w:ascii="Arial" w:hAnsi="Arial" w:cs="Arial"/>
              </w:rPr>
            </w:pPr>
          </w:p>
        </w:tc>
        <w:tc>
          <w:tcPr>
            <w:tcW w:w="673" w:type="pct"/>
            <w:tcBorders>
              <w:bottom w:val="single" w:sz="4" w:space="0" w:color="auto"/>
            </w:tcBorders>
            <w:vAlign w:val="center"/>
          </w:tcPr>
          <w:p w14:paraId="1F84C146" w14:textId="77777777" w:rsidR="00C34581" w:rsidRPr="00C34581" w:rsidRDefault="00C34581" w:rsidP="00915C8D">
            <w:pPr>
              <w:pStyle w:val="Compact"/>
              <w:rPr>
                <w:rFonts w:ascii="Arial" w:hAnsi="Arial" w:cs="Arial"/>
              </w:rPr>
            </w:pPr>
            <w:r w:rsidRPr="00C34581">
              <w:rPr>
                <w:rFonts w:ascii="Arial" w:hAnsi="Arial" w:cs="Arial"/>
              </w:rPr>
              <w:t>Flow</w:t>
            </w:r>
          </w:p>
        </w:tc>
        <w:tc>
          <w:tcPr>
            <w:tcW w:w="2933" w:type="pct"/>
            <w:tcBorders>
              <w:bottom w:val="single" w:sz="4" w:space="0" w:color="auto"/>
            </w:tcBorders>
            <w:vAlign w:val="center"/>
          </w:tcPr>
          <w:p w14:paraId="42F76595" w14:textId="77777777" w:rsidR="00C34581" w:rsidRPr="00C34581" w:rsidRDefault="00C34581" w:rsidP="00915C8D">
            <w:pPr>
              <w:pStyle w:val="Compact"/>
              <w:rPr>
                <w:rFonts w:ascii="Arial" w:hAnsi="Arial" w:cs="Arial"/>
              </w:rPr>
            </w:pPr>
            <w:r w:rsidRPr="00C34581">
              <w:rPr>
                <w:rFonts w:ascii="Arial" w:hAnsi="Arial" w:cs="Arial"/>
              </w:rPr>
              <w:t>s(ddate) + s(yday) + s(Q)</w:t>
            </w:r>
          </w:p>
        </w:tc>
      </w:tr>
    </w:tbl>
    <w:bookmarkEnd w:id="16"/>
    <w:p w14:paraId="4587B57B" w14:textId="77777777" w:rsidR="00E80F9C" w:rsidRDefault="00000000">
      <w:pPr>
        <w:pStyle w:val="BodyText"/>
      </w:pPr>
      <w:r>
        <w:t xml:space="preserve">Because streamflow and nutrient loads are tightly correlated, freshwater inflow can mask signals from nutrient loads alone. Following the methodology implemented by [40], both streamflow and nutrient loads were prepossessed to account for season and flow. Freshwater inflow and nutrient loads were replaced by seasonally adjusted log transformed inflow and flow-adjusted log </w:t>
      </w:r>
      <w:r>
        <w:lastRenderedPageBreak/>
        <w:t>transformed nutrient loads obtained by fitting a GAM relating season (day of year) to log transformed daily freshwater inflow values:</w:t>
      </w:r>
    </w:p>
    <w:p w14:paraId="024A0136" w14:textId="77777777" w:rsidR="00E80F9C" w:rsidRDefault="00000000">
      <w:pPr>
        <w:pStyle w:val="BodyText"/>
      </w:pPr>
      <w:bookmarkStart w:id="17" w:name="eq-eq8"/>
      <m:oMathPara>
        <m:oMathParaPr>
          <m:jc m:val="center"/>
        </m:oMathParaPr>
        <m:oMath>
          <m:r>
            <w:rPr>
              <w:rFonts w:ascii="STIX Two Math" w:hAnsi="STIX Two Math" w:cs="STIX Two Math"/>
            </w:rPr>
            <m:t>g</m:t>
          </m:r>
          <m:d>
            <m:dPr>
              <m:ctrlPr>
                <w:rPr>
                  <w:rFonts w:ascii="STIX Two Math" w:hAnsi="STIX Two Math"/>
                </w:rPr>
              </m:ctrlPr>
            </m:dPr>
            <m:e>
              <m:r>
                <w:rPr>
                  <w:rFonts w:ascii="STIX Two Math" w:hAnsi="STIX Two Math" w:cs="STIX Two Math"/>
                </w:rPr>
                <m:t>μ</m:t>
              </m:r>
            </m:e>
          </m:d>
          <m:r>
            <m:rPr>
              <m:sty m:val="p"/>
            </m:rPr>
            <w:rPr>
              <w:rFonts w:ascii="STIX Two Math" w:hAnsi="STIX Two Math" w:cs="STIX Two Math"/>
            </w:rPr>
            <m:t>=</m:t>
          </m:r>
          <m:r>
            <w:rPr>
              <w:rFonts w:ascii="STIX Two Math" w:hAnsi="STIX Two Math" w:cs="STIX Two Math"/>
            </w:rPr>
            <m:t>α</m:t>
          </m:r>
          <m:r>
            <m:rPr>
              <m:sty m:val="p"/>
            </m:rPr>
            <w:rPr>
              <w:rFonts w:ascii="STIX Two Math" w:hAnsi="STIX Two Math" w:cs="STIX Two Math"/>
            </w:rPr>
            <m:t>+</m:t>
          </m:r>
          <m:sSub>
            <m:sSubPr>
              <m:ctrlPr>
                <w:rPr>
                  <w:rFonts w:ascii="STIX Two Math" w:hAnsi="STIX Two Math"/>
                </w:rPr>
              </m:ctrlPr>
            </m:sSubPr>
            <m:e>
              <m:r>
                <w:rPr>
                  <w:rFonts w:ascii="STIX Two Math" w:hAnsi="STIX Two Math" w:cs="STIX Two Math"/>
                </w:rPr>
                <m:t>f</m:t>
              </m:r>
            </m:e>
            <m:sub>
              <m:r>
                <w:rPr>
                  <w:rFonts w:ascii="STIX Two Math" w:hAnsi="STIX Two Math" w:cs="STIX Two Math"/>
                </w:rPr>
                <m:t>1</m:t>
              </m:r>
            </m:sub>
          </m:sSub>
          <m:d>
            <m:dPr>
              <m:ctrlPr>
                <w:rPr>
                  <w:rFonts w:ascii="STIX Two Math" w:hAnsi="STIX Two Math"/>
                </w:rPr>
              </m:ctrlPr>
            </m:dPr>
            <m:e>
              <m:r>
                <w:rPr>
                  <w:rFonts w:ascii="STIX Two Math" w:hAnsi="STIX Two Math" w:cs="STIX Two Math"/>
                </w:rPr>
                <m:t>yday</m:t>
              </m:r>
            </m:e>
          </m:d>
          <m:r>
            <m:rPr>
              <m:sty m:val="p"/>
            </m:rPr>
            <w:rPr>
              <w:rFonts w:ascii="STIX Two Math" w:hAnsi="STIX Two Math" w:cs="STIX Two Math"/>
            </w:rPr>
            <m:t>,</m:t>
          </m:r>
          <m:r>
            <w:rPr>
              <w:rFonts w:ascii="STIX Two Math" w:hAnsi="STIX Two Math" w:cs="STIX Two Math"/>
            </w:rPr>
            <m:t>  </m:t>
          </m:r>
          <m:d>
            <m:dPr>
              <m:ctrlPr>
                <w:rPr>
                  <w:rFonts w:ascii="STIX Two Math" w:hAnsi="STIX Two Math"/>
                </w:rPr>
              </m:ctrlPr>
            </m:dPr>
            <m:e>
              <m:r>
                <w:rPr>
                  <w:rFonts w:ascii="STIX Two Math" w:hAnsi="STIX Two Math" w:cs="STIX Two Math"/>
                </w:rPr>
                <m:t>8</m:t>
              </m:r>
            </m:e>
          </m:d>
        </m:oMath>
      </m:oMathPara>
      <w:bookmarkEnd w:id="17"/>
    </w:p>
    <w:p w14:paraId="6C1D19B4" w14:textId="77777777" w:rsidR="00E80F9C" w:rsidRDefault="00000000">
      <w:pPr>
        <w:pStyle w:val="FirstParagraph"/>
      </w:pPr>
      <w:r>
        <w:t>and a GAM relating log transformed NO</w:t>
      </w:r>
      <w:r>
        <w:rPr>
          <w:vertAlign w:val="subscript"/>
        </w:rPr>
        <w:t>3</w:t>
      </w:r>
      <w:r>
        <w:t xml:space="preserve"> or TP loads to log transformed daily inflow:</w:t>
      </w:r>
    </w:p>
    <w:p w14:paraId="33700B39" w14:textId="77777777" w:rsidR="00E80F9C" w:rsidRDefault="00000000">
      <w:pPr>
        <w:pStyle w:val="BodyText"/>
      </w:pPr>
      <w:bookmarkStart w:id="18" w:name="eq-eq9"/>
      <m:oMathPara>
        <m:oMathParaPr>
          <m:jc m:val="center"/>
        </m:oMathParaPr>
        <m:oMath>
          <m:r>
            <w:rPr>
              <w:rFonts w:ascii="STIX Two Math" w:hAnsi="STIX Two Math" w:cs="STIX Two Math"/>
            </w:rPr>
            <m:t>g</m:t>
          </m:r>
          <m:d>
            <m:dPr>
              <m:ctrlPr>
                <w:rPr>
                  <w:rFonts w:ascii="STIX Two Math" w:hAnsi="STIX Two Math"/>
                </w:rPr>
              </m:ctrlPr>
            </m:dPr>
            <m:e>
              <m:r>
                <w:rPr>
                  <w:rFonts w:ascii="STIX Two Math" w:hAnsi="STIX Two Math" w:cs="STIX Two Math"/>
                </w:rPr>
                <m:t>μ</m:t>
              </m:r>
            </m:e>
          </m:d>
          <m:r>
            <m:rPr>
              <m:sty m:val="p"/>
            </m:rPr>
            <w:rPr>
              <w:rFonts w:ascii="STIX Two Math" w:hAnsi="STIX Two Math" w:cs="STIX Two Math"/>
            </w:rPr>
            <m:t>=</m:t>
          </m:r>
          <m:r>
            <w:rPr>
              <w:rFonts w:ascii="STIX Two Math" w:hAnsi="STIX Two Math" w:cs="STIX Two Math"/>
            </w:rPr>
            <m:t>α</m:t>
          </m:r>
          <m:r>
            <m:rPr>
              <m:sty m:val="p"/>
            </m:rPr>
            <w:rPr>
              <w:rFonts w:ascii="STIX Two Math" w:hAnsi="STIX Two Math" w:cs="STIX Two Math"/>
            </w:rPr>
            <m:t>+</m:t>
          </m:r>
          <m:sSub>
            <m:sSubPr>
              <m:ctrlPr>
                <w:rPr>
                  <w:rFonts w:ascii="STIX Two Math" w:hAnsi="STIX Two Math"/>
                </w:rPr>
              </m:ctrlPr>
            </m:sSubPr>
            <m:e>
              <m:r>
                <w:rPr>
                  <w:rFonts w:ascii="STIX Two Math" w:hAnsi="STIX Two Math" w:cs="STIX Two Math"/>
                </w:rPr>
                <m:t>f</m:t>
              </m:r>
            </m:e>
            <m:sub>
              <m:r>
                <w:rPr>
                  <w:rFonts w:ascii="STIX Two Math" w:hAnsi="STIX Two Math" w:cs="STIX Two Math"/>
                </w:rPr>
                <m:t>1</m:t>
              </m:r>
            </m:sub>
          </m:sSub>
          <m:d>
            <m:dPr>
              <m:ctrlPr>
                <w:rPr>
                  <w:rFonts w:ascii="STIX Two Math" w:hAnsi="STIX Two Math"/>
                </w:rPr>
              </m:ctrlPr>
            </m:dPr>
            <m:e>
              <m:r>
                <w:rPr>
                  <w:rFonts w:ascii="STIX Two Math" w:hAnsi="STIX Two Math" w:cs="STIX Two Math"/>
                </w:rPr>
                <m:t>log</m:t>
              </m:r>
              <m:d>
                <m:dPr>
                  <m:ctrlPr>
                    <w:rPr>
                      <w:rFonts w:ascii="STIX Two Math" w:hAnsi="STIX Two Math"/>
                    </w:rPr>
                  </m:ctrlPr>
                </m:dPr>
                <m:e>
                  <m:r>
                    <w:rPr>
                      <w:rFonts w:ascii="STIX Two Math" w:hAnsi="STIX Two Math" w:cs="STIX Two Math"/>
                    </w:rPr>
                    <m:t>Q</m:t>
                  </m:r>
                </m:e>
              </m:d>
            </m:e>
          </m:d>
          <m:r>
            <m:rPr>
              <m:sty m:val="p"/>
            </m:rPr>
            <w:rPr>
              <w:rFonts w:ascii="STIX Two Math" w:hAnsi="STIX Two Math" w:cs="STIX Two Math"/>
            </w:rPr>
            <m:t>,</m:t>
          </m:r>
          <m:r>
            <w:rPr>
              <w:rFonts w:ascii="STIX Two Math" w:hAnsi="STIX Two Math" w:cs="STIX Two Math"/>
            </w:rPr>
            <m:t>  </m:t>
          </m:r>
          <m:d>
            <m:dPr>
              <m:ctrlPr>
                <w:rPr>
                  <w:rFonts w:ascii="STIX Two Math" w:hAnsi="STIX Two Math"/>
                </w:rPr>
              </m:ctrlPr>
            </m:dPr>
            <m:e>
              <m:r>
                <w:rPr>
                  <w:rFonts w:ascii="STIX Two Math" w:hAnsi="STIX Two Math" w:cs="STIX Two Math"/>
                </w:rPr>
                <m:t>9</m:t>
              </m:r>
            </m:e>
          </m:d>
        </m:oMath>
      </m:oMathPara>
      <w:bookmarkEnd w:id="18"/>
    </w:p>
    <w:p w14:paraId="6C6B6BC9" w14:textId="77777777" w:rsidR="00E80F9C" w:rsidRDefault="00000000">
      <w:pPr>
        <w:pStyle w:val="FirstParagraph"/>
      </w:pPr>
      <w:r>
        <w:t xml:space="preserve">where the response variables were modeled as normally distributed with an identity link function. Response residuals from the respective GAM models were used as </w:t>
      </w:r>
      <w:r>
        <w:rPr>
          <w:i/>
          <w:iCs/>
        </w:rPr>
        <w:t>Q</w:t>
      </w:r>
      <w:r>
        <w:t xml:space="preserve"> and </w:t>
      </w:r>
      <w:r>
        <w:rPr>
          <w:i/>
          <w:iCs/>
        </w:rPr>
        <w:t>Load</w:t>
      </w:r>
      <w:r>
        <w:t xml:space="preserve"> in Equation 6 and Equation 7.</w:t>
      </w:r>
    </w:p>
    <w:p w14:paraId="7012F54E" w14:textId="77777777" w:rsidR="00E80F9C" w:rsidRDefault="00000000">
      <w:pPr>
        <w:pStyle w:val="BodyText"/>
      </w:pPr>
      <w:r>
        <w:t>This study used an information theoretic approach to evaluate if nutrient loads and/or freshwater inflows provided evidence of effects on water quality concentrations in Lavaca Bay. Model probabilities were calculated and compared using the AIC</w:t>
      </w:r>
      <w:r>
        <w:rPr>
          <w:vertAlign w:val="subscript"/>
        </w:rPr>
        <w:t>c</w:t>
      </w:r>
      <w:r>
        <w:t xml:space="preserve"> scores between each group of temporal, flow, and flow+load models [41]. Improvements in model probabilities provide evidence that the terms explain additional variation in the response variable. If model probabilities were tied, there wasn’t evidence the more complicated model explains additional variation in water quality.</w:t>
      </w:r>
    </w:p>
    <w:p w14:paraId="225991C5" w14:textId="77777777" w:rsidR="00E80F9C" w:rsidRDefault="00000000">
      <w:pPr>
        <w:pStyle w:val="Heading1"/>
      </w:pPr>
      <w:bookmarkStart w:id="19" w:name="results"/>
      <w:bookmarkEnd w:id="2"/>
      <w:bookmarkEnd w:id="12"/>
      <w:r>
        <w:t>Results</w:t>
      </w:r>
    </w:p>
    <w:p w14:paraId="613A03B6" w14:textId="77777777" w:rsidR="00E80F9C" w:rsidRDefault="00000000">
      <w:pPr>
        <w:pStyle w:val="Heading2"/>
      </w:pPr>
      <w:bookmarkStart w:id="20" w:name="watershed-nutrient-loads"/>
      <w:r>
        <w:t>Watershed Nutrient Loads</w:t>
      </w:r>
    </w:p>
    <w:p w14:paraId="09AD5275" w14:textId="77777777" w:rsidR="00E80F9C" w:rsidRDefault="00000000">
      <w:pPr>
        <w:pStyle w:val="FirstParagraph"/>
      </w:pPr>
      <w:r>
        <w:t>Using evaluation criteria from [42], predictive performance of nutrient loading GAMs ranged from “satisfactory” to “very good” based on median NSE, r</w:t>
      </w:r>
      <w:r>
        <w:rPr>
          <w:vertAlign w:val="superscript"/>
        </w:rPr>
        <w:t>2</w:t>
      </w:r>
      <w:r>
        <w:t>, and PBIAS metrics calculated using 5-fold cross validation. Median NSE values were 0.34 (Lavaca River) and 0.48 (Navidad River) for NO</w:t>
      </w:r>
      <w:r>
        <w:rPr>
          <w:vertAlign w:val="subscript"/>
        </w:rPr>
        <w:t>3</w:t>
      </w:r>
      <w:r>
        <w:t xml:space="preserve"> loads and 0.81 (Lavaca River) and 0.91 (Navidad River) for TP loads. Median r</w:t>
      </w:r>
      <w:r>
        <w:rPr>
          <w:vertAlign w:val="superscript"/>
        </w:rPr>
        <w:t>2</w:t>
      </w:r>
      <w:r>
        <w:t xml:space="preserve"> </w:t>
      </w:r>
      <w:r>
        <w:lastRenderedPageBreak/>
        <w:t>values were 0.70 (Lavaca River) and 0.87 (Navidad River) for NO</w:t>
      </w:r>
      <w:r>
        <w:rPr>
          <w:vertAlign w:val="subscript"/>
        </w:rPr>
        <w:t>3</w:t>
      </w:r>
      <w:r>
        <w:t xml:space="preserve"> loads and 0.93 (Lavaca River) and 0.99 (Navidad River) for TP loads. Median PBIAS values were 2.00 (Lavaca River) and 10.90 (Navidad River) for NO</w:t>
      </w:r>
      <w:r>
        <w:rPr>
          <w:vertAlign w:val="subscript"/>
        </w:rPr>
        <w:t>3</w:t>
      </w:r>
      <w:r>
        <w:t xml:space="preserve"> loads and -7.20 (Lavaca River) and -3.30 (Navidad River) for TP loads. Density plots of metrics show similar distribution of values between sites for the same parameter, with the exception r</w:t>
      </w:r>
      <w:r>
        <w:rPr>
          <w:vertAlign w:val="superscript"/>
        </w:rPr>
        <w:t>2</w:t>
      </w:r>
      <w:r>
        <w:t xml:space="preserve"> values for NO</w:t>
      </w:r>
      <w:r>
        <w:rPr>
          <w:vertAlign w:val="subscript"/>
        </w:rPr>
        <w:t>3</w:t>
      </w:r>
      <w:r>
        <w:t xml:space="preserve"> loads where Lavaca River had a much larger variance in values compared to the Navidad River (Fig 2). TP GAMS had higher average NSE and r</w:t>
      </w:r>
      <w:r>
        <w:rPr>
          <w:vertAlign w:val="superscript"/>
        </w:rPr>
        <w:t>2</w:t>
      </w:r>
      <w:r>
        <w:t xml:space="preserve"> values and lower variance in metric values compared to NO</w:t>
      </w:r>
      <w:r>
        <w:rPr>
          <w:vertAlign w:val="subscript"/>
        </w:rPr>
        <w:t>3</w:t>
      </w:r>
      <w:r>
        <w:t>.</w:t>
      </w:r>
    </w:p>
    <w:tbl>
      <w:tblPr>
        <w:tblStyle w:val="Table"/>
        <w:tblW w:w="5000" w:type="pct"/>
        <w:tblLook w:val="0000" w:firstRow="0" w:lastRow="0" w:firstColumn="0" w:lastColumn="0" w:noHBand="0" w:noVBand="0"/>
      </w:tblPr>
      <w:tblGrid>
        <w:gridCol w:w="9360"/>
      </w:tblGrid>
      <w:tr w:rsidR="00E80F9C" w14:paraId="5BD4B0CD" w14:textId="77777777">
        <w:tc>
          <w:tcPr>
            <w:tcW w:w="0" w:type="auto"/>
          </w:tcPr>
          <w:p w14:paraId="59411736" w14:textId="5A30341B" w:rsidR="00E80F9C" w:rsidRDefault="00E80F9C">
            <w:pPr>
              <w:pStyle w:val="Figure"/>
              <w:jc w:val="center"/>
            </w:pPr>
            <w:bookmarkStart w:id="21" w:name="fig-fig2"/>
          </w:p>
          <w:p w14:paraId="3124621D" w14:textId="77777777" w:rsidR="00E80F9C" w:rsidRDefault="00000000">
            <w:pPr>
              <w:pStyle w:val="ImageCaption"/>
              <w:spacing w:before="200"/>
              <w:jc w:val="left"/>
            </w:pPr>
            <w:r w:rsidRPr="00FB0257">
              <w:rPr>
                <w:b/>
                <w:bCs/>
              </w:rPr>
              <w:t>Figure 2. Density plots of goodness-of-fit metrics (NSE, r</w:t>
            </w:r>
            <w:r w:rsidRPr="00FB0257">
              <w:rPr>
                <w:b/>
                <w:bCs/>
                <w:vertAlign w:val="superscript"/>
              </w:rPr>
              <w:t>2</w:t>
            </w:r>
            <w:r w:rsidRPr="00FB0257">
              <w:rPr>
                <w:b/>
                <w:bCs/>
              </w:rPr>
              <w:t>, and PBIAS) from repeated 5-fold cross validation between predicted nutrient loads from GAM models and measured nutrient loads.</w:t>
            </w:r>
            <w:r>
              <w:t xml:space="preserve"> Color indicates the tail probability calcualted from the empirical cumulative distribution of the goodness-of-fit metrics.</w:t>
            </w:r>
          </w:p>
        </w:tc>
        <w:bookmarkEnd w:id="21"/>
      </w:tr>
    </w:tbl>
    <w:p w14:paraId="098F8024" w14:textId="77777777" w:rsidR="00E80F9C" w:rsidRDefault="00000000">
      <w:pPr>
        <w:pStyle w:val="BodyText"/>
      </w:pPr>
      <w:r>
        <w:t>Predicted annual NO</w:t>
      </w:r>
      <w:r>
        <w:rPr>
          <w:vertAlign w:val="subscript"/>
        </w:rPr>
        <w:t>3</w:t>
      </w:r>
      <w:r>
        <w:t xml:space="preserve"> and TP loads show considerable variation, generally following patterns in discharge (Fig 3; Fig 4). Flow-normalized TP loads at both sites and flow-normalized NO</w:t>
      </w:r>
      <w:r>
        <w:rPr>
          <w:vertAlign w:val="subscript"/>
        </w:rPr>
        <w:t>3</w:t>
      </w:r>
      <w:r>
        <w:t xml:space="preserve"> loads in the Lavaca River indicated watershed based loads did not change much over time when accounting for variation driven by streamflow (Fig 3). Flow-normalized loads in the Lavaca River showed small variation over time with some decreases in NO</w:t>
      </w:r>
      <w:r>
        <w:rPr>
          <w:vertAlign w:val="subscript"/>
        </w:rPr>
        <w:t>3</w:t>
      </w:r>
      <w:r>
        <w:t xml:space="preserve"> loads since 2013.</w:t>
      </w:r>
    </w:p>
    <w:tbl>
      <w:tblPr>
        <w:tblStyle w:val="Table"/>
        <w:tblW w:w="5000" w:type="pct"/>
        <w:tblLook w:val="0000" w:firstRow="0" w:lastRow="0" w:firstColumn="0" w:lastColumn="0" w:noHBand="0" w:noVBand="0"/>
      </w:tblPr>
      <w:tblGrid>
        <w:gridCol w:w="9360"/>
      </w:tblGrid>
      <w:tr w:rsidR="00E80F9C" w14:paraId="6C143148" w14:textId="77777777">
        <w:tc>
          <w:tcPr>
            <w:tcW w:w="0" w:type="auto"/>
          </w:tcPr>
          <w:p w14:paraId="6133AC7C" w14:textId="45C14218" w:rsidR="00E80F9C" w:rsidRDefault="00E80F9C">
            <w:pPr>
              <w:pStyle w:val="Figure"/>
              <w:jc w:val="center"/>
            </w:pPr>
            <w:bookmarkStart w:id="22" w:name="fig-fig3"/>
          </w:p>
          <w:p w14:paraId="166CEEDC" w14:textId="77777777" w:rsidR="00E80F9C" w:rsidRPr="00FB0257" w:rsidRDefault="00000000">
            <w:pPr>
              <w:pStyle w:val="ImageCaption"/>
              <w:spacing w:before="200"/>
              <w:jc w:val="left"/>
              <w:rPr>
                <w:b/>
                <w:bCs/>
              </w:rPr>
            </w:pPr>
            <w:r w:rsidRPr="00FB0257">
              <w:rPr>
                <w:b/>
                <w:bCs/>
              </w:rPr>
              <w:t>Figure 3. Aggregated estimated annual and flow-normalized annual NO</w:t>
            </w:r>
            <w:r w:rsidRPr="00FB0257">
              <w:rPr>
                <w:b/>
                <w:bCs/>
                <w:vertAlign w:val="subscript"/>
              </w:rPr>
              <w:t>3</w:t>
            </w:r>
            <w:r w:rsidRPr="00FB0257">
              <w:rPr>
                <w:b/>
                <w:bCs/>
              </w:rPr>
              <w:t xml:space="preserve"> and TP loads for USGS-08164000 and USGS-08164525.</w:t>
            </w:r>
          </w:p>
        </w:tc>
        <w:bookmarkEnd w:id="22"/>
      </w:tr>
    </w:tbl>
    <w:p w14:paraId="5DB37C4F" w14:textId="77777777" w:rsidR="00E80F9C" w:rsidRDefault="00000000">
      <w:pPr>
        <w:pStyle w:val="BodyText"/>
      </w:pPr>
      <w:r>
        <w:t>Aggregated across both sites, the mean annual NO</w:t>
      </w:r>
      <w:r>
        <w:rPr>
          <w:vertAlign w:val="subscript"/>
        </w:rPr>
        <w:t>3</w:t>
      </w:r>
      <w:r>
        <w:t xml:space="preserve"> load 2005 through 2020 was 205,405 kg (126,867 kg - 341,569 kg, 90% CI). Annual NO</w:t>
      </w:r>
      <w:r>
        <w:rPr>
          <w:vertAlign w:val="subscript"/>
        </w:rPr>
        <w:t>3</w:t>
      </w:r>
      <w:r>
        <w:t xml:space="preserve"> loads ranged from 12,574 kg in 2011 to 794,510 kg in 2007. Total annual TP loads ranged from 7,839 kg in 2011 to 595,075 kg in 2007. Mean annual TP loading from 2005 through 2020 was 182,673 kg (152,227 kg - 219,310 kg, 90% CI). On average, the Navidad River accounted for 68% of NO</w:t>
      </w:r>
      <w:r>
        <w:rPr>
          <w:vertAlign w:val="subscript"/>
        </w:rPr>
        <w:t>3</w:t>
      </w:r>
      <w:r>
        <w:t xml:space="preserve"> loads and 59% of TP loads from 2005 through 2020. However, during periods of extreme drought the Lavaca River became </w:t>
      </w:r>
      <w:r>
        <w:lastRenderedPageBreak/>
        <w:t>the primary source of nutrient loading in the watershed with the Navidad River only accounting for 15% and 25% of NO</w:t>
      </w:r>
      <w:r>
        <w:rPr>
          <w:vertAlign w:val="subscript"/>
        </w:rPr>
        <w:t>3</w:t>
      </w:r>
      <w:r>
        <w:t xml:space="preserve"> and TP loads in 2011 (Fig 4).</w:t>
      </w:r>
    </w:p>
    <w:tbl>
      <w:tblPr>
        <w:tblStyle w:val="Table"/>
        <w:tblW w:w="5000" w:type="pct"/>
        <w:tblLook w:val="0000" w:firstRow="0" w:lastRow="0" w:firstColumn="0" w:lastColumn="0" w:noHBand="0" w:noVBand="0"/>
      </w:tblPr>
      <w:tblGrid>
        <w:gridCol w:w="9360"/>
      </w:tblGrid>
      <w:tr w:rsidR="00E80F9C" w14:paraId="3FB2CAFB" w14:textId="77777777">
        <w:tc>
          <w:tcPr>
            <w:tcW w:w="0" w:type="auto"/>
          </w:tcPr>
          <w:p w14:paraId="49B4C4EE" w14:textId="432192E9" w:rsidR="00E80F9C" w:rsidRDefault="00E80F9C">
            <w:pPr>
              <w:pStyle w:val="Figure"/>
              <w:jc w:val="center"/>
            </w:pPr>
            <w:bookmarkStart w:id="23" w:name="fig-fig4"/>
          </w:p>
          <w:p w14:paraId="36F3BD52" w14:textId="77777777" w:rsidR="00E80F9C" w:rsidRPr="00FB0257" w:rsidRDefault="00000000">
            <w:pPr>
              <w:pStyle w:val="ImageCaption"/>
              <w:spacing w:before="200"/>
              <w:jc w:val="left"/>
              <w:rPr>
                <w:b/>
                <w:bCs/>
              </w:rPr>
            </w:pPr>
            <w:r w:rsidRPr="00FB0257">
              <w:rPr>
                <w:b/>
                <w:bCs/>
              </w:rPr>
              <w:t>Figure 4. Comparison of delivered annual loads and annual discharge at the Lavaca (USGS-08164000) and Navidad (USGS-08164525) Rivers.</w:t>
            </w:r>
          </w:p>
        </w:tc>
        <w:bookmarkEnd w:id="23"/>
      </w:tr>
    </w:tbl>
    <w:p w14:paraId="4921D101" w14:textId="77777777" w:rsidR="00E80F9C" w:rsidRDefault="00000000">
      <w:pPr>
        <w:pStyle w:val="Heading2"/>
      </w:pPr>
      <w:bookmarkStart w:id="24" w:name="Xa1ae9cf32673fa9adfdb2c7e51c02160a9c08d5"/>
      <w:bookmarkEnd w:id="20"/>
      <w:r>
        <w:t>Linkages Between Water Quality and Watershed Flows and Loads</w:t>
      </w:r>
    </w:p>
    <w:p w14:paraId="315BFAB1" w14:textId="77777777" w:rsidR="00E80F9C" w:rsidRDefault="00000000">
      <w:pPr>
        <w:pStyle w:val="FirstParagraph"/>
      </w:pPr>
      <w:r>
        <w:t>GAMs did not identify significant changes in TP or DO concentrations at any of the Lavaca Bay sites from 2005 through 2020 (Fig 5). The upper-bay site, TCEQ-13563, had a linear increase in NO</w:t>
      </w:r>
      <w:r>
        <w:rPr>
          <w:vertAlign w:val="subscript"/>
        </w:rPr>
        <w:t>x</w:t>
      </w:r>
      <w:r>
        <w:t xml:space="preserve"> concentration and and decrease in chlorophyll-</w:t>
      </w:r>
      <w:r>
        <w:rPr>
          <w:i/>
          <w:iCs/>
        </w:rPr>
        <w:t>a</w:t>
      </w:r>
      <w:r>
        <w:t xml:space="preserve"> from 2005 through 2014. The mid-bay site, TCEQ-13383, showed a periodic pattern in NO</w:t>
      </w:r>
      <w:r>
        <w:rPr>
          <w:vertAlign w:val="subscript"/>
        </w:rPr>
        <w:t>x</w:t>
      </w:r>
      <w:r>
        <w:t xml:space="preserve"> concentration that appeared similar to precipitation/inflow patterns, as well as a post 2011 increase in TKN concentrations. No significant long-term trends in concentrations were identified by GAMs for the lower-bay TCEQ-13384 site.</w:t>
      </w:r>
    </w:p>
    <w:tbl>
      <w:tblPr>
        <w:tblStyle w:val="Table"/>
        <w:tblW w:w="5000" w:type="pct"/>
        <w:tblLook w:val="0000" w:firstRow="0" w:lastRow="0" w:firstColumn="0" w:lastColumn="0" w:noHBand="0" w:noVBand="0"/>
      </w:tblPr>
      <w:tblGrid>
        <w:gridCol w:w="9360"/>
      </w:tblGrid>
      <w:tr w:rsidR="00E80F9C" w14:paraId="61CDE21D" w14:textId="77777777">
        <w:tc>
          <w:tcPr>
            <w:tcW w:w="0" w:type="auto"/>
          </w:tcPr>
          <w:p w14:paraId="30AD1E49" w14:textId="6A1F3DC2" w:rsidR="00E80F9C" w:rsidRDefault="00E80F9C">
            <w:pPr>
              <w:pStyle w:val="Figure"/>
              <w:jc w:val="center"/>
            </w:pPr>
            <w:bookmarkStart w:id="25" w:name="fig-fig5"/>
          </w:p>
          <w:p w14:paraId="7C6FA305" w14:textId="77777777" w:rsidR="00E80F9C" w:rsidRDefault="00000000">
            <w:pPr>
              <w:pStyle w:val="ImageCaption"/>
              <w:spacing w:before="200"/>
              <w:jc w:val="left"/>
            </w:pPr>
            <w:r w:rsidRPr="00FB0257">
              <w:rPr>
                <w:b/>
                <w:bCs/>
              </w:rPr>
              <w:t>Figure 5. Smoothed temporal trend component for water quality paramaters obtained from temporal estuary GAMs</w:t>
            </w:r>
            <w:r>
              <w:t>.</w:t>
            </w:r>
          </w:p>
        </w:tc>
        <w:bookmarkEnd w:id="25"/>
      </w:tr>
    </w:tbl>
    <w:p w14:paraId="32685092" w14:textId="77777777" w:rsidR="00E80F9C" w:rsidRDefault="00000000">
      <w:pPr>
        <w:pStyle w:val="BodyText"/>
      </w:pPr>
      <w:r>
        <w:t>Freshwater inflow provided additional explanation for changes in TP and NO</w:t>
      </w:r>
      <w:r>
        <w:rPr>
          <w:i/>
          <w:iCs/>
          <w:vertAlign w:val="subscript"/>
        </w:rPr>
        <w:t>x</w:t>
      </w:r>
      <w:r>
        <w:t xml:space="preserve"> concentration at all of the Lavaca Bay sites according to AIC</w:t>
      </w:r>
      <w:r>
        <w:rPr>
          <w:vertAlign w:val="subscript"/>
        </w:rPr>
        <w:t>c</w:t>
      </w:r>
      <w:r>
        <w:t xml:space="preserve"> and model probability values (Table 4). TCEQ-13563, the site closest to the river outlet, was the only site that had improvements in the explanations of DO and TKN concentration with the inclusion of inflow. Both TCEQ-13563 and TCEQ-13383, the mid-bay site, saw improvements in explanations for variations in chlorophyll-</w:t>
      </w:r>
      <w:r>
        <w:rPr>
          <w:i/>
          <w:iCs/>
        </w:rPr>
        <w:t>a</w:t>
      </w:r>
      <w:r>
        <w:t xml:space="preserve"> with the inclusion of freshwater inflow. The addition of nutrient loads (both TP and NO</w:t>
      </w:r>
      <w:r>
        <w:rPr>
          <w:vertAlign w:val="subscript"/>
        </w:rPr>
        <w:t>3</w:t>
      </w:r>
      <w:r>
        <w:t>) terms did not provide additional explanation for changes in chlorophyll-</w:t>
      </w:r>
      <w:r>
        <w:rPr>
          <w:i/>
          <w:iCs/>
        </w:rPr>
        <w:t>a</w:t>
      </w:r>
      <w:r>
        <w:t xml:space="preserve"> or DO concentrations. Inclusion of TP loads provided additional explanation of TP concentrations at the upper- and </w:t>
      </w:r>
      <w:r>
        <w:lastRenderedPageBreak/>
        <w:t>mid-bay sites, TCEQ-13563 and TCEQ-13383. Inclusion of NO</w:t>
      </w:r>
      <w:r>
        <w:rPr>
          <w:vertAlign w:val="subscript"/>
        </w:rPr>
        <w:t>3</w:t>
      </w:r>
      <w:r>
        <w:t xml:space="preserve"> loads only provided marginal improvements in the explanation of NO</w:t>
      </w:r>
      <w:r>
        <w:rPr>
          <w:i/>
          <w:iCs/>
          <w:vertAlign w:val="subscript"/>
        </w:rPr>
        <w:t>X</w:t>
      </w:r>
      <w:r>
        <w:t xml:space="preserve"> concentration at the lower-bay TCEQ-13384 site.</w:t>
      </w:r>
    </w:p>
    <w:p w14:paraId="66E7C94D" w14:textId="77777777" w:rsidR="00E80F9C" w:rsidRDefault="00000000">
      <w:pPr>
        <w:pStyle w:val="TableCaption"/>
      </w:pPr>
      <w:bookmarkStart w:id="26" w:name="tbl-table4"/>
      <w:r w:rsidRPr="00FB0257">
        <w:rPr>
          <w:b/>
          <w:bCs/>
        </w:rPr>
        <w:t>Table 4. Estuary GAM AIC</w:t>
      </w:r>
      <w:r w:rsidRPr="00FB0257">
        <w:rPr>
          <w:b/>
          <w:bCs/>
          <w:vertAlign w:val="subscript"/>
        </w:rPr>
        <w:t>c</w:t>
      </w:r>
      <w:r w:rsidRPr="00FB0257">
        <w:rPr>
          <w:b/>
          <w:bCs/>
        </w:rPr>
        <w:t xml:space="preserve"> values and associated model probabilities (in parenthesis).</w:t>
      </w:r>
      <w:r>
        <w:t xml:space="preserve"> Models with the highest probability for each site and water quality parameter combination are bolded and italicized for emphasis.</w:t>
      </w:r>
    </w:p>
    <w:tbl>
      <w:tblPr>
        <w:tblStyle w:val="Table"/>
        <w:tblW w:w="5000" w:type="pct"/>
        <w:tblLook w:val="0020" w:firstRow="1" w:lastRow="0" w:firstColumn="0" w:lastColumn="0" w:noHBand="0" w:noVBand="0"/>
        <w:tblCaption w:val="Table 4. Estuary GAM AICc values and associated model probabilities (in parenthesis). Models with the highest probability for each site and water quality parameter combination are bolded and italicized for emphasis."/>
      </w:tblPr>
      <w:tblGrid>
        <w:gridCol w:w="1894"/>
        <w:gridCol w:w="1895"/>
        <w:gridCol w:w="1850"/>
        <w:gridCol w:w="1850"/>
        <w:gridCol w:w="1871"/>
      </w:tblGrid>
      <w:tr w:rsidR="00E80F9C" w:rsidRPr="00915C8D" w14:paraId="15C72EBD" w14:textId="77777777" w:rsidTr="00915C8D">
        <w:trPr>
          <w:tblHeader/>
        </w:trPr>
        <w:tc>
          <w:tcPr>
            <w:tcW w:w="0" w:type="auto"/>
            <w:tcBorders>
              <w:top w:val="single" w:sz="4" w:space="0" w:color="auto"/>
              <w:bottom w:val="single" w:sz="4" w:space="0" w:color="auto"/>
            </w:tcBorders>
            <w:vAlign w:val="center"/>
          </w:tcPr>
          <w:p w14:paraId="65228E20" w14:textId="77777777" w:rsidR="00E80F9C" w:rsidRPr="00915C8D" w:rsidRDefault="00000000" w:rsidP="00915C8D">
            <w:pPr>
              <w:pStyle w:val="Compact"/>
              <w:rPr>
                <w:rFonts w:ascii="Arial" w:hAnsi="Arial" w:cs="Arial"/>
                <w:b/>
                <w:bCs/>
              </w:rPr>
            </w:pPr>
            <w:r w:rsidRPr="00915C8D">
              <w:rPr>
                <w:rFonts w:ascii="Arial" w:hAnsi="Arial" w:cs="Arial"/>
                <w:b/>
                <w:bCs/>
              </w:rPr>
              <w:t>Parameter</w:t>
            </w:r>
          </w:p>
        </w:tc>
        <w:tc>
          <w:tcPr>
            <w:tcW w:w="0" w:type="auto"/>
            <w:tcBorders>
              <w:top w:val="single" w:sz="4" w:space="0" w:color="auto"/>
              <w:bottom w:val="single" w:sz="4" w:space="0" w:color="auto"/>
            </w:tcBorders>
            <w:vAlign w:val="center"/>
          </w:tcPr>
          <w:p w14:paraId="79B344D4" w14:textId="77777777" w:rsidR="00E80F9C" w:rsidRPr="00915C8D" w:rsidRDefault="00000000" w:rsidP="00915C8D">
            <w:pPr>
              <w:pStyle w:val="Compact"/>
              <w:rPr>
                <w:rFonts w:ascii="Arial" w:hAnsi="Arial" w:cs="Arial"/>
                <w:b/>
                <w:bCs/>
              </w:rPr>
            </w:pPr>
            <w:r w:rsidRPr="00915C8D">
              <w:rPr>
                <w:rFonts w:ascii="Arial" w:hAnsi="Arial" w:cs="Arial"/>
                <w:b/>
                <w:bCs/>
              </w:rPr>
              <w:t>Site</w:t>
            </w:r>
          </w:p>
        </w:tc>
        <w:tc>
          <w:tcPr>
            <w:tcW w:w="0" w:type="auto"/>
            <w:tcBorders>
              <w:top w:val="single" w:sz="4" w:space="0" w:color="auto"/>
              <w:bottom w:val="single" w:sz="4" w:space="0" w:color="auto"/>
            </w:tcBorders>
            <w:vAlign w:val="center"/>
          </w:tcPr>
          <w:p w14:paraId="6D6465BC" w14:textId="77777777" w:rsidR="00E80F9C" w:rsidRPr="00915C8D" w:rsidRDefault="00000000" w:rsidP="00915C8D">
            <w:pPr>
              <w:pStyle w:val="Compact"/>
              <w:jc w:val="right"/>
              <w:rPr>
                <w:rFonts w:ascii="Arial" w:hAnsi="Arial" w:cs="Arial"/>
                <w:b/>
                <w:bCs/>
              </w:rPr>
            </w:pPr>
            <w:r w:rsidRPr="00915C8D">
              <w:rPr>
                <w:rFonts w:ascii="Arial" w:hAnsi="Arial" w:cs="Arial"/>
                <w:b/>
                <w:bCs/>
              </w:rPr>
              <w:t>Temporal</w:t>
            </w:r>
          </w:p>
        </w:tc>
        <w:tc>
          <w:tcPr>
            <w:tcW w:w="0" w:type="auto"/>
            <w:tcBorders>
              <w:top w:val="single" w:sz="4" w:space="0" w:color="auto"/>
              <w:bottom w:val="single" w:sz="4" w:space="0" w:color="auto"/>
            </w:tcBorders>
            <w:vAlign w:val="center"/>
          </w:tcPr>
          <w:p w14:paraId="3F9FCCB7" w14:textId="77777777" w:rsidR="00E80F9C" w:rsidRPr="00915C8D" w:rsidRDefault="00000000" w:rsidP="00915C8D">
            <w:pPr>
              <w:pStyle w:val="Compact"/>
              <w:jc w:val="right"/>
              <w:rPr>
                <w:rFonts w:ascii="Arial" w:hAnsi="Arial" w:cs="Arial"/>
                <w:b/>
                <w:bCs/>
              </w:rPr>
            </w:pPr>
            <w:r w:rsidRPr="00915C8D">
              <w:rPr>
                <w:rFonts w:ascii="Arial" w:hAnsi="Arial" w:cs="Arial"/>
                <w:b/>
                <w:bCs/>
              </w:rPr>
              <w:t>Flow</w:t>
            </w:r>
          </w:p>
        </w:tc>
        <w:tc>
          <w:tcPr>
            <w:tcW w:w="0" w:type="auto"/>
            <w:tcBorders>
              <w:top w:val="single" w:sz="4" w:space="0" w:color="auto"/>
              <w:bottom w:val="single" w:sz="4" w:space="0" w:color="auto"/>
            </w:tcBorders>
            <w:vAlign w:val="center"/>
          </w:tcPr>
          <w:p w14:paraId="707D6637" w14:textId="77777777" w:rsidR="00E80F9C" w:rsidRPr="00915C8D" w:rsidRDefault="00000000" w:rsidP="00915C8D">
            <w:pPr>
              <w:pStyle w:val="Compact"/>
              <w:jc w:val="right"/>
              <w:rPr>
                <w:rFonts w:ascii="Arial" w:hAnsi="Arial" w:cs="Arial"/>
                <w:b/>
                <w:bCs/>
              </w:rPr>
            </w:pPr>
            <w:r w:rsidRPr="00915C8D">
              <w:rPr>
                <w:rFonts w:ascii="Arial" w:hAnsi="Arial" w:cs="Arial"/>
                <w:b/>
                <w:bCs/>
              </w:rPr>
              <w:t>Flow + Load</w:t>
            </w:r>
          </w:p>
        </w:tc>
      </w:tr>
      <w:tr w:rsidR="00915C8D" w:rsidRPr="00915C8D" w14:paraId="608C3205" w14:textId="77777777" w:rsidTr="00915C8D">
        <w:tc>
          <w:tcPr>
            <w:tcW w:w="0" w:type="auto"/>
            <w:vMerge w:val="restart"/>
            <w:tcBorders>
              <w:top w:val="single" w:sz="4" w:space="0" w:color="auto"/>
            </w:tcBorders>
            <w:vAlign w:val="center"/>
          </w:tcPr>
          <w:p w14:paraId="1558CBB9" w14:textId="2D540B71" w:rsidR="00915C8D" w:rsidRPr="00915C8D" w:rsidRDefault="00915C8D" w:rsidP="00915C8D">
            <w:pPr>
              <w:pStyle w:val="Compact"/>
              <w:rPr>
                <w:rFonts w:ascii="Arial" w:hAnsi="Arial" w:cs="Arial"/>
              </w:rPr>
            </w:pPr>
            <w:r w:rsidRPr="00915C8D">
              <w:rPr>
                <w:rFonts w:ascii="Arial" w:hAnsi="Arial" w:cs="Arial"/>
              </w:rPr>
              <w:t>TP</w:t>
            </w:r>
          </w:p>
        </w:tc>
        <w:tc>
          <w:tcPr>
            <w:tcW w:w="0" w:type="auto"/>
            <w:tcBorders>
              <w:top w:val="single" w:sz="4" w:space="0" w:color="auto"/>
            </w:tcBorders>
            <w:vAlign w:val="center"/>
          </w:tcPr>
          <w:p w14:paraId="0A8C417E" w14:textId="77777777" w:rsidR="00915C8D" w:rsidRPr="00915C8D" w:rsidRDefault="00915C8D" w:rsidP="00915C8D">
            <w:pPr>
              <w:pStyle w:val="Compact"/>
              <w:rPr>
                <w:rFonts w:ascii="Arial" w:hAnsi="Arial" w:cs="Arial"/>
              </w:rPr>
            </w:pPr>
            <w:r w:rsidRPr="00915C8D">
              <w:rPr>
                <w:rFonts w:ascii="Arial" w:hAnsi="Arial" w:cs="Arial"/>
              </w:rPr>
              <w:t>TCEQ-13383</w:t>
            </w:r>
          </w:p>
        </w:tc>
        <w:tc>
          <w:tcPr>
            <w:tcW w:w="0" w:type="auto"/>
            <w:tcBorders>
              <w:top w:val="single" w:sz="4" w:space="0" w:color="auto"/>
            </w:tcBorders>
            <w:vAlign w:val="center"/>
          </w:tcPr>
          <w:p w14:paraId="41B9249D" w14:textId="77777777" w:rsidR="00915C8D" w:rsidRPr="00915C8D" w:rsidRDefault="00915C8D" w:rsidP="00915C8D">
            <w:pPr>
              <w:pStyle w:val="Compact"/>
              <w:jc w:val="right"/>
              <w:rPr>
                <w:rFonts w:ascii="Arial" w:hAnsi="Arial" w:cs="Arial"/>
              </w:rPr>
            </w:pPr>
            <w:r w:rsidRPr="00915C8D">
              <w:rPr>
                <w:rFonts w:ascii="Arial" w:hAnsi="Arial" w:cs="Arial"/>
              </w:rPr>
              <w:t>-152.1 (0.03)</w:t>
            </w:r>
          </w:p>
        </w:tc>
        <w:tc>
          <w:tcPr>
            <w:tcW w:w="0" w:type="auto"/>
            <w:tcBorders>
              <w:top w:val="single" w:sz="4" w:space="0" w:color="auto"/>
            </w:tcBorders>
            <w:vAlign w:val="center"/>
          </w:tcPr>
          <w:p w14:paraId="76BE6A75" w14:textId="77777777" w:rsidR="00915C8D" w:rsidRPr="00915C8D" w:rsidRDefault="00915C8D" w:rsidP="00915C8D">
            <w:pPr>
              <w:pStyle w:val="Compact"/>
              <w:jc w:val="right"/>
              <w:rPr>
                <w:rFonts w:ascii="Arial" w:hAnsi="Arial" w:cs="Arial"/>
              </w:rPr>
            </w:pPr>
            <w:r w:rsidRPr="00915C8D">
              <w:rPr>
                <w:rFonts w:ascii="Arial" w:hAnsi="Arial" w:cs="Arial"/>
              </w:rPr>
              <w:t>-156.1 (0.24)</w:t>
            </w:r>
          </w:p>
        </w:tc>
        <w:tc>
          <w:tcPr>
            <w:tcW w:w="0" w:type="auto"/>
            <w:tcBorders>
              <w:top w:val="single" w:sz="4" w:space="0" w:color="auto"/>
            </w:tcBorders>
            <w:vAlign w:val="center"/>
          </w:tcPr>
          <w:p w14:paraId="0206F907" w14:textId="77777777" w:rsidR="00915C8D" w:rsidRPr="00915C8D" w:rsidRDefault="00915C8D" w:rsidP="00915C8D">
            <w:pPr>
              <w:pStyle w:val="Compact"/>
              <w:jc w:val="right"/>
              <w:rPr>
                <w:rFonts w:ascii="Arial" w:hAnsi="Arial" w:cs="Arial"/>
                <w:b/>
                <w:bCs/>
                <w:i/>
                <w:iCs/>
              </w:rPr>
            </w:pPr>
            <w:r w:rsidRPr="00915C8D">
              <w:rPr>
                <w:rFonts w:ascii="Arial" w:hAnsi="Arial" w:cs="Arial"/>
                <w:b/>
                <w:bCs/>
                <w:i/>
                <w:iCs/>
              </w:rPr>
              <w:t>-158.2 (0.72)</w:t>
            </w:r>
          </w:p>
        </w:tc>
      </w:tr>
      <w:tr w:rsidR="00915C8D" w:rsidRPr="00915C8D" w14:paraId="43D585D6" w14:textId="77777777" w:rsidTr="00915C8D">
        <w:tc>
          <w:tcPr>
            <w:tcW w:w="0" w:type="auto"/>
            <w:vMerge/>
            <w:vAlign w:val="center"/>
          </w:tcPr>
          <w:p w14:paraId="7D67D7A9" w14:textId="2D878FCB" w:rsidR="00915C8D" w:rsidRPr="00915C8D" w:rsidRDefault="00915C8D" w:rsidP="00915C8D">
            <w:pPr>
              <w:pStyle w:val="Compact"/>
              <w:rPr>
                <w:rFonts w:ascii="Arial" w:hAnsi="Arial" w:cs="Arial"/>
              </w:rPr>
            </w:pPr>
          </w:p>
        </w:tc>
        <w:tc>
          <w:tcPr>
            <w:tcW w:w="0" w:type="auto"/>
            <w:vAlign w:val="center"/>
          </w:tcPr>
          <w:p w14:paraId="13C96A2E" w14:textId="77777777" w:rsidR="00915C8D" w:rsidRPr="00915C8D" w:rsidRDefault="00915C8D" w:rsidP="00915C8D">
            <w:pPr>
              <w:pStyle w:val="Compact"/>
              <w:rPr>
                <w:rFonts w:ascii="Arial" w:hAnsi="Arial" w:cs="Arial"/>
              </w:rPr>
            </w:pPr>
            <w:r w:rsidRPr="00915C8D">
              <w:rPr>
                <w:rFonts w:ascii="Arial" w:hAnsi="Arial" w:cs="Arial"/>
              </w:rPr>
              <w:t>TCEQ-13384</w:t>
            </w:r>
          </w:p>
        </w:tc>
        <w:tc>
          <w:tcPr>
            <w:tcW w:w="0" w:type="auto"/>
            <w:vAlign w:val="center"/>
          </w:tcPr>
          <w:p w14:paraId="30FB1CE3" w14:textId="77777777" w:rsidR="00915C8D" w:rsidRPr="00915C8D" w:rsidRDefault="00915C8D" w:rsidP="00915C8D">
            <w:pPr>
              <w:pStyle w:val="Compact"/>
              <w:jc w:val="right"/>
              <w:rPr>
                <w:rFonts w:ascii="Arial" w:hAnsi="Arial" w:cs="Arial"/>
              </w:rPr>
            </w:pPr>
            <w:r w:rsidRPr="00915C8D">
              <w:rPr>
                <w:rFonts w:ascii="Arial" w:hAnsi="Arial" w:cs="Arial"/>
              </w:rPr>
              <w:t>-194.4 (0.03)</w:t>
            </w:r>
          </w:p>
        </w:tc>
        <w:tc>
          <w:tcPr>
            <w:tcW w:w="0" w:type="auto"/>
            <w:vAlign w:val="center"/>
          </w:tcPr>
          <w:p w14:paraId="2C8FF075" w14:textId="77777777" w:rsidR="00915C8D" w:rsidRPr="00915C8D" w:rsidRDefault="00915C8D" w:rsidP="00915C8D">
            <w:pPr>
              <w:pStyle w:val="Compact"/>
              <w:jc w:val="right"/>
              <w:rPr>
                <w:rFonts w:ascii="Arial" w:hAnsi="Arial" w:cs="Arial"/>
              </w:rPr>
            </w:pPr>
            <w:r w:rsidRPr="00915C8D">
              <w:rPr>
                <w:rFonts w:ascii="Arial" w:hAnsi="Arial" w:cs="Arial"/>
                <w:b/>
                <w:bCs/>
                <w:i/>
                <w:iCs/>
              </w:rPr>
              <w:t>-200.2 (0.49</w:t>
            </w:r>
            <w:r w:rsidRPr="00915C8D">
              <w:rPr>
                <w:rFonts w:ascii="Arial" w:hAnsi="Arial" w:cs="Arial"/>
              </w:rPr>
              <w:t>)</w:t>
            </w:r>
          </w:p>
        </w:tc>
        <w:tc>
          <w:tcPr>
            <w:tcW w:w="0" w:type="auto"/>
            <w:vAlign w:val="center"/>
          </w:tcPr>
          <w:p w14:paraId="290870A0" w14:textId="77777777" w:rsidR="00915C8D" w:rsidRPr="00915C8D" w:rsidRDefault="00915C8D" w:rsidP="00915C8D">
            <w:pPr>
              <w:pStyle w:val="Compact"/>
              <w:jc w:val="right"/>
              <w:rPr>
                <w:rFonts w:ascii="Arial" w:hAnsi="Arial" w:cs="Arial"/>
              </w:rPr>
            </w:pPr>
            <w:r w:rsidRPr="00915C8D">
              <w:rPr>
                <w:rFonts w:ascii="Arial" w:hAnsi="Arial" w:cs="Arial"/>
              </w:rPr>
              <w:t>-200.2 (0.49)</w:t>
            </w:r>
          </w:p>
        </w:tc>
      </w:tr>
      <w:tr w:rsidR="00915C8D" w:rsidRPr="00915C8D" w14:paraId="35D7FFA2" w14:textId="77777777" w:rsidTr="00915C8D">
        <w:tc>
          <w:tcPr>
            <w:tcW w:w="0" w:type="auto"/>
            <w:vMerge/>
            <w:tcBorders>
              <w:bottom w:val="single" w:sz="4" w:space="0" w:color="auto"/>
            </w:tcBorders>
            <w:vAlign w:val="center"/>
          </w:tcPr>
          <w:p w14:paraId="717C492B" w14:textId="0EACC379" w:rsidR="00915C8D" w:rsidRPr="00915C8D" w:rsidRDefault="00915C8D" w:rsidP="00915C8D">
            <w:pPr>
              <w:pStyle w:val="Compact"/>
              <w:rPr>
                <w:rFonts w:ascii="Arial" w:hAnsi="Arial" w:cs="Arial"/>
              </w:rPr>
            </w:pPr>
          </w:p>
        </w:tc>
        <w:tc>
          <w:tcPr>
            <w:tcW w:w="0" w:type="auto"/>
            <w:tcBorders>
              <w:bottom w:val="single" w:sz="4" w:space="0" w:color="auto"/>
            </w:tcBorders>
            <w:vAlign w:val="center"/>
          </w:tcPr>
          <w:p w14:paraId="480FDC13" w14:textId="77777777" w:rsidR="00915C8D" w:rsidRPr="00915C8D" w:rsidRDefault="00915C8D" w:rsidP="00915C8D">
            <w:pPr>
              <w:pStyle w:val="Compact"/>
              <w:rPr>
                <w:rFonts w:ascii="Arial" w:hAnsi="Arial" w:cs="Arial"/>
              </w:rPr>
            </w:pPr>
            <w:r w:rsidRPr="00915C8D">
              <w:rPr>
                <w:rFonts w:ascii="Arial" w:hAnsi="Arial" w:cs="Arial"/>
              </w:rPr>
              <w:t>TCEQ-13563</w:t>
            </w:r>
          </w:p>
        </w:tc>
        <w:tc>
          <w:tcPr>
            <w:tcW w:w="0" w:type="auto"/>
            <w:tcBorders>
              <w:bottom w:val="single" w:sz="4" w:space="0" w:color="auto"/>
            </w:tcBorders>
            <w:vAlign w:val="center"/>
          </w:tcPr>
          <w:p w14:paraId="237A9CA5" w14:textId="77777777" w:rsidR="00915C8D" w:rsidRPr="00915C8D" w:rsidRDefault="00915C8D" w:rsidP="00915C8D">
            <w:pPr>
              <w:pStyle w:val="Compact"/>
              <w:jc w:val="right"/>
              <w:rPr>
                <w:rFonts w:ascii="Arial" w:hAnsi="Arial" w:cs="Arial"/>
              </w:rPr>
            </w:pPr>
            <w:r w:rsidRPr="00915C8D">
              <w:rPr>
                <w:rFonts w:ascii="Arial" w:hAnsi="Arial" w:cs="Arial"/>
              </w:rPr>
              <w:t>-145.3 (0)</w:t>
            </w:r>
          </w:p>
        </w:tc>
        <w:tc>
          <w:tcPr>
            <w:tcW w:w="0" w:type="auto"/>
            <w:tcBorders>
              <w:bottom w:val="single" w:sz="4" w:space="0" w:color="auto"/>
            </w:tcBorders>
            <w:vAlign w:val="center"/>
          </w:tcPr>
          <w:p w14:paraId="31D83451" w14:textId="77777777" w:rsidR="00915C8D" w:rsidRPr="00915C8D" w:rsidRDefault="00915C8D" w:rsidP="00915C8D">
            <w:pPr>
              <w:pStyle w:val="Compact"/>
              <w:jc w:val="right"/>
              <w:rPr>
                <w:rFonts w:ascii="Arial" w:hAnsi="Arial" w:cs="Arial"/>
              </w:rPr>
            </w:pPr>
            <w:r w:rsidRPr="00915C8D">
              <w:rPr>
                <w:rFonts w:ascii="Arial" w:hAnsi="Arial" w:cs="Arial"/>
              </w:rPr>
              <w:t>-156.6 (0.41)</w:t>
            </w:r>
          </w:p>
        </w:tc>
        <w:tc>
          <w:tcPr>
            <w:tcW w:w="0" w:type="auto"/>
            <w:tcBorders>
              <w:bottom w:val="single" w:sz="4" w:space="0" w:color="auto"/>
            </w:tcBorders>
            <w:vAlign w:val="center"/>
          </w:tcPr>
          <w:p w14:paraId="4E5BE11D" w14:textId="77777777" w:rsidR="00915C8D" w:rsidRPr="00915C8D" w:rsidRDefault="00915C8D" w:rsidP="00915C8D">
            <w:pPr>
              <w:pStyle w:val="Compact"/>
              <w:jc w:val="right"/>
              <w:rPr>
                <w:rFonts w:ascii="Arial" w:hAnsi="Arial" w:cs="Arial"/>
                <w:b/>
                <w:bCs/>
                <w:i/>
                <w:iCs/>
              </w:rPr>
            </w:pPr>
            <w:r w:rsidRPr="00915C8D">
              <w:rPr>
                <w:rFonts w:ascii="Arial" w:hAnsi="Arial" w:cs="Arial"/>
                <w:b/>
                <w:bCs/>
                <w:i/>
                <w:iCs/>
              </w:rPr>
              <w:t>-157.3 (0.59)</w:t>
            </w:r>
          </w:p>
        </w:tc>
      </w:tr>
      <w:tr w:rsidR="00915C8D" w:rsidRPr="00915C8D" w14:paraId="0024B408" w14:textId="77777777" w:rsidTr="00915C8D">
        <w:tc>
          <w:tcPr>
            <w:tcW w:w="0" w:type="auto"/>
            <w:vMerge w:val="restart"/>
            <w:tcBorders>
              <w:top w:val="single" w:sz="4" w:space="0" w:color="auto"/>
            </w:tcBorders>
            <w:vAlign w:val="center"/>
          </w:tcPr>
          <w:p w14:paraId="3A76CB7C" w14:textId="1E23AFE7" w:rsidR="00915C8D" w:rsidRPr="00915C8D" w:rsidRDefault="00915C8D" w:rsidP="00915C8D">
            <w:pPr>
              <w:pStyle w:val="Compact"/>
              <w:rPr>
                <w:rFonts w:ascii="Arial" w:hAnsi="Arial" w:cs="Arial"/>
              </w:rPr>
            </w:pPr>
            <w:r w:rsidRPr="00915C8D">
              <w:rPr>
                <w:rFonts w:ascii="Arial" w:hAnsi="Arial" w:cs="Arial"/>
              </w:rPr>
              <w:t>NO</w:t>
            </w:r>
            <w:r w:rsidRPr="00915C8D">
              <w:rPr>
                <w:rFonts w:ascii="Arial" w:hAnsi="Arial" w:cs="Arial"/>
                <w:i/>
                <w:iCs/>
                <w:vertAlign w:val="subscript"/>
              </w:rPr>
              <w:t>x</w:t>
            </w:r>
          </w:p>
        </w:tc>
        <w:tc>
          <w:tcPr>
            <w:tcW w:w="0" w:type="auto"/>
            <w:tcBorders>
              <w:top w:val="single" w:sz="4" w:space="0" w:color="auto"/>
            </w:tcBorders>
            <w:vAlign w:val="center"/>
          </w:tcPr>
          <w:p w14:paraId="7A692185" w14:textId="77777777" w:rsidR="00915C8D" w:rsidRPr="00915C8D" w:rsidRDefault="00915C8D" w:rsidP="00915C8D">
            <w:pPr>
              <w:pStyle w:val="Compact"/>
              <w:rPr>
                <w:rFonts w:ascii="Arial" w:hAnsi="Arial" w:cs="Arial"/>
              </w:rPr>
            </w:pPr>
            <w:r w:rsidRPr="00915C8D">
              <w:rPr>
                <w:rFonts w:ascii="Arial" w:hAnsi="Arial" w:cs="Arial"/>
              </w:rPr>
              <w:t>TCEQ-13383</w:t>
            </w:r>
          </w:p>
        </w:tc>
        <w:tc>
          <w:tcPr>
            <w:tcW w:w="0" w:type="auto"/>
            <w:tcBorders>
              <w:top w:val="single" w:sz="4" w:space="0" w:color="auto"/>
            </w:tcBorders>
            <w:vAlign w:val="center"/>
          </w:tcPr>
          <w:p w14:paraId="2E37E47A" w14:textId="77777777" w:rsidR="00915C8D" w:rsidRPr="00915C8D" w:rsidRDefault="00915C8D" w:rsidP="00915C8D">
            <w:pPr>
              <w:pStyle w:val="Compact"/>
              <w:jc w:val="right"/>
              <w:rPr>
                <w:rFonts w:ascii="Arial" w:hAnsi="Arial" w:cs="Arial"/>
              </w:rPr>
            </w:pPr>
            <w:r w:rsidRPr="00915C8D">
              <w:rPr>
                <w:rFonts w:ascii="Arial" w:hAnsi="Arial" w:cs="Arial"/>
              </w:rPr>
              <w:t>-218.9 (0)</w:t>
            </w:r>
          </w:p>
        </w:tc>
        <w:tc>
          <w:tcPr>
            <w:tcW w:w="0" w:type="auto"/>
            <w:tcBorders>
              <w:top w:val="single" w:sz="4" w:space="0" w:color="auto"/>
            </w:tcBorders>
            <w:vAlign w:val="center"/>
          </w:tcPr>
          <w:p w14:paraId="3144EB39" w14:textId="77777777" w:rsidR="00915C8D" w:rsidRPr="00915C8D" w:rsidRDefault="00915C8D" w:rsidP="00915C8D">
            <w:pPr>
              <w:pStyle w:val="Compact"/>
              <w:jc w:val="right"/>
              <w:rPr>
                <w:rFonts w:ascii="Arial" w:hAnsi="Arial" w:cs="Arial"/>
                <w:b/>
                <w:bCs/>
                <w:i/>
                <w:iCs/>
              </w:rPr>
            </w:pPr>
            <w:r w:rsidRPr="00915C8D">
              <w:rPr>
                <w:rFonts w:ascii="Arial" w:hAnsi="Arial" w:cs="Arial"/>
                <w:b/>
                <w:bCs/>
                <w:i/>
                <w:iCs/>
              </w:rPr>
              <w:t>-244.8 (0.5)</w:t>
            </w:r>
          </w:p>
        </w:tc>
        <w:tc>
          <w:tcPr>
            <w:tcW w:w="0" w:type="auto"/>
            <w:tcBorders>
              <w:top w:val="single" w:sz="4" w:space="0" w:color="auto"/>
            </w:tcBorders>
            <w:vAlign w:val="center"/>
          </w:tcPr>
          <w:p w14:paraId="3C00A773" w14:textId="77777777" w:rsidR="00915C8D" w:rsidRPr="00915C8D" w:rsidRDefault="00915C8D" w:rsidP="00915C8D">
            <w:pPr>
              <w:pStyle w:val="Compact"/>
              <w:jc w:val="right"/>
              <w:rPr>
                <w:rFonts w:ascii="Arial" w:hAnsi="Arial" w:cs="Arial"/>
              </w:rPr>
            </w:pPr>
            <w:r w:rsidRPr="00915C8D">
              <w:rPr>
                <w:rFonts w:ascii="Arial" w:hAnsi="Arial" w:cs="Arial"/>
              </w:rPr>
              <w:t>-244.8 (0.5)</w:t>
            </w:r>
          </w:p>
        </w:tc>
      </w:tr>
      <w:tr w:rsidR="00915C8D" w:rsidRPr="00915C8D" w14:paraId="3D10BCF4" w14:textId="77777777" w:rsidTr="00915C8D">
        <w:tc>
          <w:tcPr>
            <w:tcW w:w="0" w:type="auto"/>
            <w:vMerge/>
            <w:vAlign w:val="center"/>
          </w:tcPr>
          <w:p w14:paraId="1B1B54CD" w14:textId="066F7D02" w:rsidR="00915C8D" w:rsidRPr="00915C8D" w:rsidRDefault="00915C8D" w:rsidP="00915C8D">
            <w:pPr>
              <w:pStyle w:val="Compact"/>
              <w:rPr>
                <w:rFonts w:ascii="Arial" w:hAnsi="Arial" w:cs="Arial"/>
              </w:rPr>
            </w:pPr>
          </w:p>
        </w:tc>
        <w:tc>
          <w:tcPr>
            <w:tcW w:w="0" w:type="auto"/>
            <w:vAlign w:val="center"/>
          </w:tcPr>
          <w:p w14:paraId="0290F14D" w14:textId="77777777" w:rsidR="00915C8D" w:rsidRPr="00915C8D" w:rsidRDefault="00915C8D" w:rsidP="00915C8D">
            <w:pPr>
              <w:pStyle w:val="Compact"/>
              <w:rPr>
                <w:rFonts w:ascii="Arial" w:hAnsi="Arial" w:cs="Arial"/>
              </w:rPr>
            </w:pPr>
            <w:r w:rsidRPr="00915C8D">
              <w:rPr>
                <w:rFonts w:ascii="Arial" w:hAnsi="Arial" w:cs="Arial"/>
              </w:rPr>
              <w:t>TCEQ-13384</w:t>
            </w:r>
          </w:p>
        </w:tc>
        <w:tc>
          <w:tcPr>
            <w:tcW w:w="0" w:type="auto"/>
            <w:vAlign w:val="center"/>
          </w:tcPr>
          <w:p w14:paraId="0D85DB03" w14:textId="77777777" w:rsidR="00915C8D" w:rsidRPr="00915C8D" w:rsidRDefault="00915C8D" w:rsidP="00915C8D">
            <w:pPr>
              <w:pStyle w:val="Compact"/>
              <w:jc w:val="right"/>
              <w:rPr>
                <w:rFonts w:ascii="Arial" w:hAnsi="Arial" w:cs="Arial"/>
              </w:rPr>
            </w:pPr>
            <w:r w:rsidRPr="00915C8D">
              <w:rPr>
                <w:rFonts w:ascii="Arial" w:hAnsi="Arial" w:cs="Arial"/>
              </w:rPr>
              <w:t>-263.4 (0)</w:t>
            </w:r>
          </w:p>
        </w:tc>
        <w:tc>
          <w:tcPr>
            <w:tcW w:w="0" w:type="auto"/>
            <w:vAlign w:val="center"/>
          </w:tcPr>
          <w:p w14:paraId="632FB2DE" w14:textId="77777777" w:rsidR="00915C8D" w:rsidRPr="00915C8D" w:rsidRDefault="00915C8D" w:rsidP="00915C8D">
            <w:pPr>
              <w:pStyle w:val="Compact"/>
              <w:jc w:val="right"/>
              <w:rPr>
                <w:rFonts w:ascii="Arial" w:hAnsi="Arial" w:cs="Arial"/>
              </w:rPr>
            </w:pPr>
            <w:r w:rsidRPr="00915C8D">
              <w:rPr>
                <w:rFonts w:ascii="Arial" w:hAnsi="Arial" w:cs="Arial"/>
              </w:rPr>
              <w:t>-311.7 (0.48)</w:t>
            </w:r>
          </w:p>
        </w:tc>
        <w:tc>
          <w:tcPr>
            <w:tcW w:w="0" w:type="auto"/>
            <w:vAlign w:val="center"/>
          </w:tcPr>
          <w:p w14:paraId="37EDE902" w14:textId="77777777" w:rsidR="00915C8D" w:rsidRPr="00915C8D" w:rsidRDefault="00915C8D" w:rsidP="00915C8D">
            <w:pPr>
              <w:pStyle w:val="Compact"/>
              <w:jc w:val="right"/>
              <w:rPr>
                <w:rFonts w:ascii="Arial" w:hAnsi="Arial" w:cs="Arial"/>
                <w:b/>
                <w:bCs/>
                <w:i/>
                <w:iCs/>
              </w:rPr>
            </w:pPr>
            <w:r w:rsidRPr="00915C8D">
              <w:rPr>
                <w:rFonts w:ascii="Arial" w:hAnsi="Arial" w:cs="Arial"/>
                <w:b/>
                <w:bCs/>
                <w:i/>
                <w:iCs/>
              </w:rPr>
              <w:t>-311.9 (0.52)</w:t>
            </w:r>
          </w:p>
        </w:tc>
      </w:tr>
      <w:tr w:rsidR="00915C8D" w:rsidRPr="00915C8D" w14:paraId="55635B4A" w14:textId="77777777" w:rsidTr="00915C8D">
        <w:tc>
          <w:tcPr>
            <w:tcW w:w="0" w:type="auto"/>
            <w:vMerge/>
            <w:tcBorders>
              <w:bottom w:val="single" w:sz="4" w:space="0" w:color="auto"/>
            </w:tcBorders>
            <w:vAlign w:val="center"/>
          </w:tcPr>
          <w:p w14:paraId="462DC491" w14:textId="15DC83A7" w:rsidR="00915C8D" w:rsidRPr="00915C8D" w:rsidRDefault="00915C8D" w:rsidP="00915C8D">
            <w:pPr>
              <w:pStyle w:val="Compact"/>
              <w:rPr>
                <w:rFonts w:ascii="Arial" w:hAnsi="Arial" w:cs="Arial"/>
              </w:rPr>
            </w:pPr>
          </w:p>
        </w:tc>
        <w:tc>
          <w:tcPr>
            <w:tcW w:w="0" w:type="auto"/>
            <w:tcBorders>
              <w:bottom w:val="single" w:sz="4" w:space="0" w:color="auto"/>
            </w:tcBorders>
            <w:vAlign w:val="center"/>
          </w:tcPr>
          <w:p w14:paraId="64DAC60A" w14:textId="77777777" w:rsidR="00915C8D" w:rsidRPr="00915C8D" w:rsidRDefault="00915C8D" w:rsidP="00915C8D">
            <w:pPr>
              <w:pStyle w:val="Compact"/>
              <w:rPr>
                <w:rFonts w:ascii="Arial" w:hAnsi="Arial" w:cs="Arial"/>
              </w:rPr>
            </w:pPr>
            <w:r w:rsidRPr="00915C8D">
              <w:rPr>
                <w:rFonts w:ascii="Arial" w:hAnsi="Arial" w:cs="Arial"/>
              </w:rPr>
              <w:t>TCEQ-13563</w:t>
            </w:r>
          </w:p>
        </w:tc>
        <w:tc>
          <w:tcPr>
            <w:tcW w:w="0" w:type="auto"/>
            <w:tcBorders>
              <w:bottom w:val="single" w:sz="4" w:space="0" w:color="auto"/>
            </w:tcBorders>
            <w:vAlign w:val="center"/>
          </w:tcPr>
          <w:p w14:paraId="37EC65E5" w14:textId="77777777" w:rsidR="00915C8D" w:rsidRPr="00915C8D" w:rsidRDefault="00915C8D" w:rsidP="00915C8D">
            <w:pPr>
              <w:pStyle w:val="Compact"/>
              <w:jc w:val="right"/>
              <w:rPr>
                <w:rFonts w:ascii="Arial" w:hAnsi="Arial" w:cs="Arial"/>
              </w:rPr>
            </w:pPr>
            <w:r w:rsidRPr="00915C8D">
              <w:rPr>
                <w:rFonts w:ascii="Arial" w:hAnsi="Arial" w:cs="Arial"/>
              </w:rPr>
              <w:t>-175.1 (0)</w:t>
            </w:r>
          </w:p>
        </w:tc>
        <w:tc>
          <w:tcPr>
            <w:tcW w:w="0" w:type="auto"/>
            <w:tcBorders>
              <w:bottom w:val="single" w:sz="4" w:space="0" w:color="auto"/>
            </w:tcBorders>
            <w:vAlign w:val="center"/>
          </w:tcPr>
          <w:p w14:paraId="030DCA20" w14:textId="77777777" w:rsidR="00915C8D" w:rsidRPr="00915C8D" w:rsidRDefault="00915C8D" w:rsidP="00915C8D">
            <w:pPr>
              <w:pStyle w:val="Compact"/>
              <w:jc w:val="right"/>
              <w:rPr>
                <w:rFonts w:ascii="Arial" w:hAnsi="Arial" w:cs="Arial"/>
                <w:b/>
                <w:bCs/>
                <w:i/>
                <w:iCs/>
              </w:rPr>
            </w:pPr>
            <w:r w:rsidRPr="00915C8D">
              <w:rPr>
                <w:rFonts w:ascii="Arial" w:hAnsi="Arial" w:cs="Arial"/>
                <w:b/>
                <w:bCs/>
                <w:i/>
                <w:iCs/>
              </w:rPr>
              <w:t>-190.2 (0.5)</w:t>
            </w:r>
          </w:p>
        </w:tc>
        <w:tc>
          <w:tcPr>
            <w:tcW w:w="0" w:type="auto"/>
            <w:tcBorders>
              <w:bottom w:val="single" w:sz="4" w:space="0" w:color="auto"/>
            </w:tcBorders>
            <w:vAlign w:val="center"/>
          </w:tcPr>
          <w:p w14:paraId="430FEF7D" w14:textId="77777777" w:rsidR="00915C8D" w:rsidRPr="00915C8D" w:rsidRDefault="00915C8D" w:rsidP="00915C8D">
            <w:pPr>
              <w:pStyle w:val="Compact"/>
              <w:jc w:val="right"/>
              <w:rPr>
                <w:rFonts w:ascii="Arial" w:hAnsi="Arial" w:cs="Arial"/>
              </w:rPr>
            </w:pPr>
            <w:r w:rsidRPr="00915C8D">
              <w:rPr>
                <w:rFonts w:ascii="Arial" w:hAnsi="Arial" w:cs="Arial"/>
              </w:rPr>
              <w:t>-190.2 (0.5)</w:t>
            </w:r>
          </w:p>
        </w:tc>
      </w:tr>
      <w:tr w:rsidR="00915C8D" w:rsidRPr="00915C8D" w14:paraId="1618980E" w14:textId="77777777" w:rsidTr="00915C8D">
        <w:tc>
          <w:tcPr>
            <w:tcW w:w="0" w:type="auto"/>
            <w:vMerge w:val="restart"/>
            <w:tcBorders>
              <w:top w:val="single" w:sz="4" w:space="0" w:color="auto"/>
            </w:tcBorders>
            <w:vAlign w:val="center"/>
          </w:tcPr>
          <w:p w14:paraId="5FB1FE4C" w14:textId="586B6984" w:rsidR="00915C8D" w:rsidRPr="00915C8D" w:rsidRDefault="00915C8D" w:rsidP="00915C8D">
            <w:pPr>
              <w:pStyle w:val="Compact"/>
              <w:rPr>
                <w:rFonts w:ascii="Arial" w:hAnsi="Arial" w:cs="Arial"/>
              </w:rPr>
            </w:pPr>
            <w:r w:rsidRPr="00915C8D">
              <w:rPr>
                <w:rFonts w:ascii="Arial" w:hAnsi="Arial" w:cs="Arial"/>
              </w:rPr>
              <w:t>Chlorophyll-</w:t>
            </w:r>
            <w:r w:rsidRPr="00915C8D">
              <w:rPr>
                <w:rFonts w:ascii="Arial" w:hAnsi="Arial" w:cs="Arial"/>
                <w:i/>
                <w:iCs/>
              </w:rPr>
              <w:t>a</w:t>
            </w:r>
          </w:p>
        </w:tc>
        <w:tc>
          <w:tcPr>
            <w:tcW w:w="0" w:type="auto"/>
            <w:tcBorders>
              <w:top w:val="single" w:sz="4" w:space="0" w:color="auto"/>
            </w:tcBorders>
            <w:vAlign w:val="center"/>
          </w:tcPr>
          <w:p w14:paraId="4A759056" w14:textId="77777777" w:rsidR="00915C8D" w:rsidRPr="00915C8D" w:rsidRDefault="00915C8D" w:rsidP="00915C8D">
            <w:pPr>
              <w:pStyle w:val="Compact"/>
              <w:rPr>
                <w:rFonts w:ascii="Arial" w:hAnsi="Arial" w:cs="Arial"/>
              </w:rPr>
            </w:pPr>
            <w:r w:rsidRPr="00915C8D">
              <w:rPr>
                <w:rFonts w:ascii="Arial" w:hAnsi="Arial" w:cs="Arial"/>
              </w:rPr>
              <w:t>TCEQ-13383</w:t>
            </w:r>
          </w:p>
        </w:tc>
        <w:tc>
          <w:tcPr>
            <w:tcW w:w="0" w:type="auto"/>
            <w:tcBorders>
              <w:top w:val="single" w:sz="4" w:space="0" w:color="auto"/>
            </w:tcBorders>
            <w:vAlign w:val="center"/>
          </w:tcPr>
          <w:p w14:paraId="1B2F0E35" w14:textId="77777777" w:rsidR="00915C8D" w:rsidRPr="00915C8D" w:rsidRDefault="00915C8D" w:rsidP="00915C8D">
            <w:pPr>
              <w:pStyle w:val="Compact"/>
              <w:jc w:val="right"/>
              <w:rPr>
                <w:rFonts w:ascii="Arial" w:hAnsi="Arial" w:cs="Arial"/>
              </w:rPr>
            </w:pPr>
            <w:r w:rsidRPr="00915C8D">
              <w:rPr>
                <w:rFonts w:ascii="Arial" w:hAnsi="Arial" w:cs="Arial"/>
              </w:rPr>
              <w:t>279.7 (0.18)</w:t>
            </w:r>
          </w:p>
        </w:tc>
        <w:tc>
          <w:tcPr>
            <w:tcW w:w="0" w:type="auto"/>
            <w:tcBorders>
              <w:top w:val="single" w:sz="4" w:space="0" w:color="auto"/>
            </w:tcBorders>
            <w:vAlign w:val="center"/>
          </w:tcPr>
          <w:p w14:paraId="7740CE5C" w14:textId="77777777" w:rsidR="00915C8D" w:rsidRPr="00915C8D" w:rsidRDefault="00915C8D" w:rsidP="00915C8D">
            <w:pPr>
              <w:pStyle w:val="Compact"/>
              <w:jc w:val="right"/>
              <w:rPr>
                <w:rFonts w:ascii="Arial" w:hAnsi="Arial" w:cs="Arial"/>
                <w:b/>
                <w:bCs/>
                <w:i/>
                <w:iCs/>
              </w:rPr>
            </w:pPr>
            <w:r w:rsidRPr="00915C8D">
              <w:rPr>
                <w:rFonts w:ascii="Arial" w:hAnsi="Arial" w:cs="Arial"/>
                <w:b/>
                <w:bCs/>
                <w:i/>
                <w:iCs/>
              </w:rPr>
              <w:t>278.1 (0.41)</w:t>
            </w:r>
          </w:p>
        </w:tc>
        <w:tc>
          <w:tcPr>
            <w:tcW w:w="0" w:type="auto"/>
            <w:tcBorders>
              <w:top w:val="single" w:sz="4" w:space="0" w:color="auto"/>
            </w:tcBorders>
            <w:vAlign w:val="center"/>
          </w:tcPr>
          <w:p w14:paraId="0C3987BA" w14:textId="77777777" w:rsidR="00915C8D" w:rsidRPr="00915C8D" w:rsidRDefault="00915C8D" w:rsidP="00915C8D">
            <w:pPr>
              <w:pStyle w:val="Compact"/>
              <w:jc w:val="right"/>
              <w:rPr>
                <w:rFonts w:ascii="Arial" w:hAnsi="Arial" w:cs="Arial"/>
              </w:rPr>
            </w:pPr>
            <w:r w:rsidRPr="00915C8D">
              <w:rPr>
                <w:rFonts w:ascii="Arial" w:hAnsi="Arial" w:cs="Arial"/>
              </w:rPr>
              <w:t>278.1 (0.41)</w:t>
            </w:r>
          </w:p>
        </w:tc>
      </w:tr>
      <w:tr w:rsidR="00915C8D" w:rsidRPr="00915C8D" w14:paraId="0A642B11" w14:textId="77777777" w:rsidTr="00915C8D">
        <w:tc>
          <w:tcPr>
            <w:tcW w:w="0" w:type="auto"/>
            <w:vMerge/>
            <w:vAlign w:val="center"/>
          </w:tcPr>
          <w:p w14:paraId="488E0E61" w14:textId="63188F2D" w:rsidR="00915C8D" w:rsidRPr="00915C8D" w:rsidRDefault="00915C8D" w:rsidP="00915C8D">
            <w:pPr>
              <w:pStyle w:val="Compact"/>
              <w:rPr>
                <w:rFonts w:ascii="Arial" w:hAnsi="Arial" w:cs="Arial"/>
              </w:rPr>
            </w:pPr>
          </w:p>
        </w:tc>
        <w:tc>
          <w:tcPr>
            <w:tcW w:w="0" w:type="auto"/>
            <w:vAlign w:val="center"/>
          </w:tcPr>
          <w:p w14:paraId="0CCA690C" w14:textId="77777777" w:rsidR="00915C8D" w:rsidRPr="00915C8D" w:rsidRDefault="00915C8D" w:rsidP="00915C8D">
            <w:pPr>
              <w:pStyle w:val="Compact"/>
              <w:rPr>
                <w:rFonts w:ascii="Arial" w:hAnsi="Arial" w:cs="Arial"/>
              </w:rPr>
            </w:pPr>
            <w:r w:rsidRPr="00915C8D">
              <w:rPr>
                <w:rFonts w:ascii="Arial" w:hAnsi="Arial" w:cs="Arial"/>
              </w:rPr>
              <w:t>TCEQ-13384</w:t>
            </w:r>
          </w:p>
        </w:tc>
        <w:tc>
          <w:tcPr>
            <w:tcW w:w="0" w:type="auto"/>
            <w:vAlign w:val="center"/>
          </w:tcPr>
          <w:p w14:paraId="4C2CA19D" w14:textId="77777777" w:rsidR="00915C8D" w:rsidRPr="00915C8D" w:rsidRDefault="00915C8D" w:rsidP="00915C8D">
            <w:pPr>
              <w:pStyle w:val="Compact"/>
              <w:jc w:val="right"/>
              <w:rPr>
                <w:rFonts w:ascii="Arial" w:hAnsi="Arial" w:cs="Arial"/>
                <w:b/>
                <w:bCs/>
                <w:i/>
                <w:iCs/>
              </w:rPr>
            </w:pPr>
            <w:r w:rsidRPr="00915C8D">
              <w:rPr>
                <w:rFonts w:ascii="Arial" w:hAnsi="Arial" w:cs="Arial"/>
                <w:b/>
                <w:bCs/>
                <w:i/>
                <w:iCs/>
              </w:rPr>
              <w:t>268.2 (0.33)</w:t>
            </w:r>
          </w:p>
        </w:tc>
        <w:tc>
          <w:tcPr>
            <w:tcW w:w="0" w:type="auto"/>
            <w:vAlign w:val="center"/>
          </w:tcPr>
          <w:p w14:paraId="6740DCF9" w14:textId="77777777" w:rsidR="00915C8D" w:rsidRPr="00915C8D" w:rsidRDefault="00915C8D" w:rsidP="00915C8D">
            <w:pPr>
              <w:pStyle w:val="Compact"/>
              <w:jc w:val="right"/>
              <w:rPr>
                <w:rFonts w:ascii="Arial" w:hAnsi="Arial" w:cs="Arial"/>
              </w:rPr>
            </w:pPr>
            <w:r w:rsidRPr="00915C8D">
              <w:rPr>
                <w:rFonts w:ascii="Arial" w:hAnsi="Arial" w:cs="Arial"/>
              </w:rPr>
              <w:t>268.2 (0.33)</w:t>
            </w:r>
          </w:p>
        </w:tc>
        <w:tc>
          <w:tcPr>
            <w:tcW w:w="0" w:type="auto"/>
            <w:vAlign w:val="center"/>
          </w:tcPr>
          <w:p w14:paraId="3E6A2D99" w14:textId="77777777" w:rsidR="00915C8D" w:rsidRPr="00915C8D" w:rsidRDefault="00915C8D" w:rsidP="00915C8D">
            <w:pPr>
              <w:pStyle w:val="Compact"/>
              <w:jc w:val="right"/>
              <w:rPr>
                <w:rFonts w:ascii="Arial" w:hAnsi="Arial" w:cs="Arial"/>
              </w:rPr>
            </w:pPr>
            <w:r w:rsidRPr="00915C8D">
              <w:rPr>
                <w:rFonts w:ascii="Arial" w:hAnsi="Arial" w:cs="Arial"/>
              </w:rPr>
              <w:t>268.2 (0.33)</w:t>
            </w:r>
          </w:p>
        </w:tc>
      </w:tr>
      <w:tr w:rsidR="00915C8D" w:rsidRPr="00915C8D" w14:paraId="379088BA" w14:textId="77777777" w:rsidTr="00915C8D">
        <w:tc>
          <w:tcPr>
            <w:tcW w:w="0" w:type="auto"/>
            <w:vMerge/>
            <w:tcBorders>
              <w:bottom w:val="single" w:sz="4" w:space="0" w:color="auto"/>
            </w:tcBorders>
            <w:vAlign w:val="center"/>
          </w:tcPr>
          <w:p w14:paraId="3FD4CE8B" w14:textId="1CC63846" w:rsidR="00915C8D" w:rsidRPr="00915C8D" w:rsidRDefault="00915C8D" w:rsidP="00915C8D">
            <w:pPr>
              <w:pStyle w:val="Compact"/>
              <w:rPr>
                <w:rFonts w:ascii="Arial" w:hAnsi="Arial" w:cs="Arial"/>
              </w:rPr>
            </w:pPr>
          </w:p>
        </w:tc>
        <w:tc>
          <w:tcPr>
            <w:tcW w:w="0" w:type="auto"/>
            <w:tcBorders>
              <w:bottom w:val="single" w:sz="4" w:space="0" w:color="auto"/>
            </w:tcBorders>
            <w:vAlign w:val="center"/>
          </w:tcPr>
          <w:p w14:paraId="62047A25" w14:textId="77777777" w:rsidR="00915C8D" w:rsidRPr="00915C8D" w:rsidRDefault="00915C8D" w:rsidP="00915C8D">
            <w:pPr>
              <w:pStyle w:val="Compact"/>
              <w:rPr>
                <w:rFonts w:ascii="Arial" w:hAnsi="Arial" w:cs="Arial"/>
              </w:rPr>
            </w:pPr>
            <w:r w:rsidRPr="00915C8D">
              <w:rPr>
                <w:rFonts w:ascii="Arial" w:hAnsi="Arial" w:cs="Arial"/>
              </w:rPr>
              <w:t>TCEQ-13563</w:t>
            </w:r>
          </w:p>
        </w:tc>
        <w:tc>
          <w:tcPr>
            <w:tcW w:w="0" w:type="auto"/>
            <w:tcBorders>
              <w:bottom w:val="single" w:sz="4" w:space="0" w:color="auto"/>
            </w:tcBorders>
            <w:vAlign w:val="center"/>
          </w:tcPr>
          <w:p w14:paraId="60CEBA80" w14:textId="77777777" w:rsidR="00915C8D" w:rsidRPr="00915C8D" w:rsidRDefault="00915C8D" w:rsidP="00915C8D">
            <w:pPr>
              <w:pStyle w:val="Compact"/>
              <w:jc w:val="right"/>
              <w:rPr>
                <w:rFonts w:ascii="Arial" w:hAnsi="Arial" w:cs="Arial"/>
              </w:rPr>
            </w:pPr>
            <w:r w:rsidRPr="00915C8D">
              <w:rPr>
                <w:rFonts w:ascii="Arial" w:hAnsi="Arial" w:cs="Arial"/>
              </w:rPr>
              <w:t>289.5 (0.08)</w:t>
            </w:r>
          </w:p>
        </w:tc>
        <w:tc>
          <w:tcPr>
            <w:tcW w:w="0" w:type="auto"/>
            <w:tcBorders>
              <w:bottom w:val="single" w:sz="4" w:space="0" w:color="auto"/>
            </w:tcBorders>
            <w:vAlign w:val="center"/>
          </w:tcPr>
          <w:p w14:paraId="75D5B144" w14:textId="77777777" w:rsidR="00915C8D" w:rsidRPr="00915C8D" w:rsidRDefault="00915C8D" w:rsidP="00915C8D">
            <w:pPr>
              <w:pStyle w:val="Compact"/>
              <w:jc w:val="right"/>
              <w:rPr>
                <w:rFonts w:ascii="Arial" w:hAnsi="Arial" w:cs="Arial"/>
                <w:b/>
                <w:bCs/>
                <w:i/>
                <w:iCs/>
              </w:rPr>
            </w:pPr>
            <w:r w:rsidRPr="00915C8D">
              <w:rPr>
                <w:rFonts w:ascii="Arial" w:hAnsi="Arial" w:cs="Arial"/>
                <w:b/>
                <w:bCs/>
                <w:i/>
                <w:iCs/>
              </w:rPr>
              <w:t>286.1 (0.46)</w:t>
            </w:r>
          </w:p>
        </w:tc>
        <w:tc>
          <w:tcPr>
            <w:tcW w:w="0" w:type="auto"/>
            <w:tcBorders>
              <w:bottom w:val="single" w:sz="4" w:space="0" w:color="auto"/>
            </w:tcBorders>
            <w:vAlign w:val="center"/>
          </w:tcPr>
          <w:p w14:paraId="21FE65B5" w14:textId="77777777" w:rsidR="00915C8D" w:rsidRPr="00915C8D" w:rsidRDefault="00915C8D" w:rsidP="00915C8D">
            <w:pPr>
              <w:pStyle w:val="Compact"/>
              <w:jc w:val="right"/>
              <w:rPr>
                <w:rFonts w:ascii="Arial" w:hAnsi="Arial" w:cs="Arial"/>
              </w:rPr>
            </w:pPr>
            <w:r w:rsidRPr="00915C8D">
              <w:rPr>
                <w:rFonts w:ascii="Arial" w:hAnsi="Arial" w:cs="Arial"/>
              </w:rPr>
              <w:t>286.1 (0.46)</w:t>
            </w:r>
          </w:p>
        </w:tc>
      </w:tr>
      <w:tr w:rsidR="00915C8D" w:rsidRPr="00915C8D" w14:paraId="13E3EB47" w14:textId="77777777" w:rsidTr="00915C8D">
        <w:tc>
          <w:tcPr>
            <w:tcW w:w="0" w:type="auto"/>
            <w:vMerge w:val="restart"/>
            <w:tcBorders>
              <w:top w:val="single" w:sz="4" w:space="0" w:color="auto"/>
            </w:tcBorders>
            <w:vAlign w:val="center"/>
          </w:tcPr>
          <w:p w14:paraId="3EDA1559" w14:textId="47CBAFC1" w:rsidR="00915C8D" w:rsidRPr="00915C8D" w:rsidRDefault="00915C8D" w:rsidP="00915C8D">
            <w:pPr>
              <w:pStyle w:val="Compact"/>
              <w:rPr>
                <w:rFonts w:ascii="Arial" w:hAnsi="Arial" w:cs="Arial"/>
              </w:rPr>
            </w:pPr>
            <w:r w:rsidRPr="00915C8D">
              <w:rPr>
                <w:rFonts w:ascii="Arial" w:hAnsi="Arial" w:cs="Arial"/>
              </w:rPr>
              <w:t>TKN</w:t>
            </w:r>
          </w:p>
        </w:tc>
        <w:tc>
          <w:tcPr>
            <w:tcW w:w="0" w:type="auto"/>
            <w:tcBorders>
              <w:top w:val="single" w:sz="4" w:space="0" w:color="auto"/>
            </w:tcBorders>
            <w:vAlign w:val="center"/>
          </w:tcPr>
          <w:p w14:paraId="4F71BFA3" w14:textId="77777777" w:rsidR="00915C8D" w:rsidRPr="00915C8D" w:rsidRDefault="00915C8D" w:rsidP="00915C8D">
            <w:pPr>
              <w:pStyle w:val="Compact"/>
              <w:rPr>
                <w:rFonts w:ascii="Arial" w:hAnsi="Arial" w:cs="Arial"/>
              </w:rPr>
            </w:pPr>
            <w:r w:rsidRPr="00915C8D">
              <w:rPr>
                <w:rFonts w:ascii="Arial" w:hAnsi="Arial" w:cs="Arial"/>
              </w:rPr>
              <w:t>TCEQ-13383</w:t>
            </w:r>
          </w:p>
        </w:tc>
        <w:tc>
          <w:tcPr>
            <w:tcW w:w="0" w:type="auto"/>
            <w:tcBorders>
              <w:top w:val="single" w:sz="4" w:space="0" w:color="auto"/>
            </w:tcBorders>
            <w:vAlign w:val="center"/>
          </w:tcPr>
          <w:p w14:paraId="59D1B4EB" w14:textId="77777777" w:rsidR="00915C8D" w:rsidRPr="00915C8D" w:rsidRDefault="00915C8D" w:rsidP="00915C8D">
            <w:pPr>
              <w:pStyle w:val="Compact"/>
              <w:jc w:val="right"/>
              <w:rPr>
                <w:rFonts w:ascii="Arial" w:hAnsi="Arial" w:cs="Arial"/>
                <w:b/>
                <w:bCs/>
                <w:i/>
                <w:iCs/>
              </w:rPr>
            </w:pPr>
            <w:r w:rsidRPr="00915C8D">
              <w:rPr>
                <w:rFonts w:ascii="Arial" w:hAnsi="Arial" w:cs="Arial"/>
                <w:b/>
                <w:bCs/>
                <w:i/>
                <w:iCs/>
              </w:rPr>
              <w:t>42.2 (0.66)</w:t>
            </w:r>
          </w:p>
        </w:tc>
        <w:tc>
          <w:tcPr>
            <w:tcW w:w="0" w:type="auto"/>
            <w:tcBorders>
              <w:top w:val="single" w:sz="4" w:space="0" w:color="auto"/>
            </w:tcBorders>
            <w:vAlign w:val="center"/>
          </w:tcPr>
          <w:p w14:paraId="5D167A01" w14:textId="77777777" w:rsidR="00915C8D" w:rsidRPr="00915C8D" w:rsidRDefault="00915C8D" w:rsidP="00915C8D">
            <w:pPr>
              <w:pStyle w:val="Compact"/>
              <w:jc w:val="right"/>
              <w:rPr>
                <w:rFonts w:ascii="Arial" w:hAnsi="Arial" w:cs="Arial"/>
              </w:rPr>
            </w:pPr>
            <w:r w:rsidRPr="00915C8D">
              <w:rPr>
                <w:rFonts w:ascii="Arial" w:hAnsi="Arial" w:cs="Arial"/>
              </w:rPr>
              <w:t>43.5 (0.34)</w:t>
            </w:r>
          </w:p>
        </w:tc>
        <w:tc>
          <w:tcPr>
            <w:tcW w:w="0" w:type="auto"/>
            <w:tcBorders>
              <w:top w:val="single" w:sz="4" w:space="0" w:color="auto"/>
            </w:tcBorders>
            <w:vAlign w:val="center"/>
          </w:tcPr>
          <w:p w14:paraId="42536203" w14:textId="77777777" w:rsidR="00915C8D" w:rsidRPr="00915C8D" w:rsidRDefault="00915C8D" w:rsidP="00915C8D">
            <w:pPr>
              <w:pStyle w:val="Compact"/>
              <w:jc w:val="right"/>
              <w:rPr>
                <w:rFonts w:ascii="Arial" w:hAnsi="Arial" w:cs="Arial"/>
              </w:rPr>
            </w:pPr>
            <w:r w:rsidRPr="00915C8D">
              <w:rPr>
                <w:rFonts w:ascii="Arial" w:hAnsi="Arial" w:cs="Arial"/>
              </w:rPr>
              <w:t>-</w:t>
            </w:r>
          </w:p>
        </w:tc>
      </w:tr>
      <w:tr w:rsidR="00915C8D" w:rsidRPr="00915C8D" w14:paraId="4D0F7E72" w14:textId="77777777" w:rsidTr="00915C8D">
        <w:tc>
          <w:tcPr>
            <w:tcW w:w="0" w:type="auto"/>
            <w:vMerge/>
            <w:vAlign w:val="center"/>
          </w:tcPr>
          <w:p w14:paraId="29C5C2A2" w14:textId="3A6D7967" w:rsidR="00915C8D" w:rsidRPr="00915C8D" w:rsidRDefault="00915C8D" w:rsidP="00915C8D">
            <w:pPr>
              <w:pStyle w:val="Compact"/>
              <w:rPr>
                <w:rFonts w:ascii="Arial" w:hAnsi="Arial" w:cs="Arial"/>
              </w:rPr>
            </w:pPr>
          </w:p>
        </w:tc>
        <w:tc>
          <w:tcPr>
            <w:tcW w:w="0" w:type="auto"/>
            <w:vAlign w:val="center"/>
          </w:tcPr>
          <w:p w14:paraId="22C89167" w14:textId="77777777" w:rsidR="00915C8D" w:rsidRPr="00915C8D" w:rsidRDefault="00915C8D" w:rsidP="00915C8D">
            <w:pPr>
              <w:pStyle w:val="Compact"/>
              <w:rPr>
                <w:rFonts w:ascii="Arial" w:hAnsi="Arial" w:cs="Arial"/>
              </w:rPr>
            </w:pPr>
            <w:r w:rsidRPr="00915C8D">
              <w:rPr>
                <w:rFonts w:ascii="Arial" w:hAnsi="Arial" w:cs="Arial"/>
              </w:rPr>
              <w:t>TCEQ-13384</w:t>
            </w:r>
          </w:p>
        </w:tc>
        <w:tc>
          <w:tcPr>
            <w:tcW w:w="0" w:type="auto"/>
            <w:vAlign w:val="center"/>
          </w:tcPr>
          <w:p w14:paraId="037EDA03" w14:textId="77777777" w:rsidR="00915C8D" w:rsidRPr="00915C8D" w:rsidRDefault="00915C8D" w:rsidP="00915C8D">
            <w:pPr>
              <w:pStyle w:val="Compact"/>
              <w:jc w:val="right"/>
              <w:rPr>
                <w:rFonts w:ascii="Arial" w:hAnsi="Arial" w:cs="Arial"/>
                <w:b/>
                <w:bCs/>
                <w:i/>
                <w:iCs/>
              </w:rPr>
            </w:pPr>
            <w:r w:rsidRPr="00915C8D">
              <w:rPr>
                <w:rFonts w:ascii="Arial" w:hAnsi="Arial" w:cs="Arial"/>
                <w:b/>
                <w:bCs/>
                <w:i/>
                <w:iCs/>
              </w:rPr>
              <w:t>34.3 (0.57)</w:t>
            </w:r>
          </w:p>
        </w:tc>
        <w:tc>
          <w:tcPr>
            <w:tcW w:w="0" w:type="auto"/>
            <w:vAlign w:val="center"/>
          </w:tcPr>
          <w:p w14:paraId="347E6468" w14:textId="77777777" w:rsidR="00915C8D" w:rsidRPr="00915C8D" w:rsidRDefault="00915C8D" w:rsidP="00915C8D">
            <w:pPr>
              <w:pStyle w:val="Compact"/>
              <w:jc w:val="right"/>
              <w:rPr>
                <w:rFonts w:ascii="Arial" w:hAnsi="Arial" w:cs="Arial"/>
              </w:rPr>
            </w:pPr>
            <w:r w:rsidRPr="00915C8D">
              <w:rPr>
                <w:rFonts w:ascii="Arial" w:hAnsi="Arial" w:cs="Arial"/>
              </w:rPr>
              <w:t>34.8 (0.43)</w:t>
            </w:r>
          </w:p>
        </w:tc>
        <w:tc>
          <w:tcPr>
            <w:tcW w:w="0" w:type="auto"/>
            <w:vAlign w:val="center"/>
          </w:tcPr>
          <w:p w14:paraId="6FDEAFE9" w14:textId="77777777" w:rsidR="00915C8D" w:rsidRPr="00915C8D" w:rsidRDefault="00915C8D" w:rsidP="00915C8D">
            <w:pPr>
              <w:pStyle w:val="Compact"/>
              <w:jc w:val="right"/>
              <w:rPr>
                <w:rFonts w:ascii="Arial" w:hAnsi="Arial" w:cs="Arial"/>
              </w:rPr>
            </w:pPr>
            <w:r w:rsidRPr="00915C8D">
              <w:rPr>
                <w:rFonts w:ascii="Arial" w:hAnsi="Arial" w:cs="Arial"/>
              </w:rPr>
              <w:t>-</w:t>
            </w:r>
          </w:p>
        </w:tc>
      </w:tr>
      <w:tr w:rsidR="00915C8D" w:rsidRPr="00915C8D" w14:paraId="375FE6A8" w14:textId="77777777" w:rsidTr="00915C8D">
        <w:tc>
          <w:tcPr>
            <w:tcW w:w="0" w:type="auto"/>
            <w:vMerge/>
            <w:tcBorders>
              <w:bottom w:val="single" w:sz="4" w:space="0" w:color="auto"/>
            </w:tcBorders>
            <w:vAlign w:val="center"/>
          </w:tcPr>
          <w:p w14:paraId="6672BE8B" w14:textId="3BB4FB1C" w:rsidR="00915C8D" w:rsidRPr="00915C8D" w:rsidRDefault="00915C8D" w:rsidP="00915C8D">
            <w:pPr>
              <w:pStyle w:val="Compact"/>
              <w:rPr>
                <w:rFonts w:ascii="Arial" w:hAnsi="Arial" w:cs="Arial"/>
              </w:rPr>
            </w:pPr>
          </w:p>
        </w:tc>
        <w:tc>
          <w:tcPr>
            <w:tcW w:w="0" w:type="auto"/>
            <w:tcBorders>
              <w:bottom w:val="single" w:sz="4" w:space="0" w:color="auto"/>
            </w:tcBorders>
            <w:vAlign w:val="center"/>
          </w:tcPr>
          <w:p w14:paraId="5B04C03F" w14:textId="77777777" w:rsidR="00915C8D" w:rsidRPr="00915C8D" w:rsidRDefault="00915C8D" w:rsidP="00915C8D">
            <w:pPr>
              <w:pStyle w:val="Compact"/>
              <w:rPr>
                <w:rFonts w:ascii="Arial" w:hAnsi="Arial" w:cs="Arial"/>
              </w:rPr>
            </w:pPr>
            <w:r w:rsidRPr="00915C8D">
              <w:rPr>
                <w:rFonts w:ascii="Arial" w:hAnsi="Arial" w:cs="Arial"/>
              </w:rPr>
              <w:t>TCEQ-13563</w:t>
            </w:r>
          </w:p>
        </w:tc>
        <w:tc>
          <w:tcPr>
            <w:tcW w:w="0" w:type="auto"/>
            <w:tcBorders>
              <w:bottom w:val="single" w:sz="4" w:space="0" w:color="auto"/>
            </w:tcBorders>
            <w:vAlign w:val="center"/>
          </w:tcPr>
          <w:p w14:paraId="60502459" w14:textId="77777777" w:rsidR="00915C8D" w:rsidRPr="00915C8D" w:rsidRDefault="00915C8D" w:rsidP="00915C8D">
            <w:pPr>
              <w:pStyle w:val="Compact"/>
              <w:jc w:val="right"/>
              <w:rPr>
                <w:rFonts w:ascii="Arial" w:hAnsi="Arial" w:cs="Arial"/>
              </w:rPr>
            </w:pPr>
            <w:r w:rsidRPr="00915C8D">
              <w:rPr>
                <w:rFonts w:ascii="Arial" w:hAnsi="Arial" w:cs="Arial"/>
              </w:rPr>
              <w:t>31.1 (0.22)</w:t>
            </w:r>
          </w:p>
        </w:tc>
        <w:tc>
          <w:tcPr>
            <w:tcW w:w="0" w:type="auto"/>
            <w:tcBorders>
              <w:bottom w:val="single" w:sz="4" w:space="0" w:color="auto"/>
            </w:tcBorders>
            <w:vAlign w:val="center"/>
          </w:tcPr>
          <w:p w14:paraId="7D8F6702" w14:textId="77777777" w:rsidR="00915C8D" w:rsidRPr="00915C8D" w:rsidRDefault="00915C8D" w:rsidP="00915C8D">
            <w:pPr>
              <w:pStyle w:val="Compact"/>
              <w:jc w:val="right"/>
              <w:rPr>
                <w:rFonts w:ascii="Arial" w:hAnsi="Arial" w:cs="Arial"/>
                <w:b/>
                <w:bCs/>
                <w:i/>
                <w:iCs/>
              </w:rPr>
            </w:pPr>
            <w:r w:rsidRPr="00915C8D">
              <w:rPr>
                <w:rFonts w:ascii="Arial" w:hAnsi="Arial" w:cs="Arial"/>
                <w:b/>
                <w:bCs/>
                <w:i/>
                <w:iCs/>
              </w:rPr>
              <w:t>28.7 (0.78)</w:t>
            </w:r>
          </w:p>
        </w:tc>
        <w:tc>
          <w:tcPr>
            <w:tcW w:w="0" w:type="auto"/>
            <w:tcBorders>
              <w:bottom w:val="single" w:sz="4" w:space="0" w:color="auto"/>
            </w:tcBorders>
            <w:vAlign w:val="center"/>
          </w:tcPr>
          <w:p w14:paraId="016FC186" w14:textId="77777777" w:rsidR="00915C8D" w:rsidRPr="00915C8D" w:rsidRDefault="00915C8D" w:rsidP="00915C8D">
            <w:pPr>
              <w:pStyle w:val="Compact"/>
              <w:jc w:val="right"/>
              <w:rPr>
                <w:rFonts w:ascii="Arial" w:hAnsi="Arial" w:cs="Arial"/>
              </w:rPr>
            </w:pPr>
            <w:r w:rsidRPr="00915C8D">
              <w:rPr>
                <w:rFonts w:ascii="Arial" w:hAnsi="Arial" w:cs="Arial"/>
              </w:rPr>
              <w:t>-</w:t>
            </w:r>
          </w:p>
        </w:tc>
      </w:tr>
      <w:tr w:rsidR="00915C8D" w:rsidRPr="00915C8D" w14:paraId="74C7ADFE" w14:textId="77777777" w:rsidTr="00915C8D">
        <w:tc>
          <w:tcPr>
            <w:tcW w:w="0" w:type="auto"/>
            <w:vMerge w:val="restart"/>
            <w:tcBorders>
              <w:top w:val="single" w:sz="4" w:space="0" w:color="auto"/>
            </w:tcBorders>
            <w:vAlign w:val="center"/>
          </w:tcPr>
          <w:p w14:paraId="75207E9D" w14:textId="3083C4D5" w:rsidR="00915C8D" w:rsidRPr="00915C8D" w:rsidRDefault="00915C8D" w:rsidP="00915C8D">
            <w:pPr>
              <w:pStyle w:val="Compact"/>
              <w:rPr>
                <w:rFonts w:ascii="Arial" w:hAnsi="Arial" w:cs="Arial"/>
              </w:rPr>
            </w:pPr>
            <w:r w:rsidRPr="00915C8D">
              <w:rPr>
                <w:rFonts w:ascii="Arial" w:hAnsi="Arial" w:cs="Arial"/>
              </w:rPr>
              <w:t>DO</w:t>
            </w:r>
          </w:p>
        </w:tc>
        <w:tc>
          <w:tcPr>
            <w:tcW w:w="0" w:type="auto"/>
            <w:tcBorders>
              <w:top w:val="single" w:sz="4" w:space="0" w:color="auto"/>
            </w:tcBorders>
            <w:vAlign w:val="center"/>
          </w:tcPr>
          <w:p w14:paraId="7AA6528E" w14:textId="77777777" w:rsidR="00915C8D" w:rsidRPr="00915C8D" w:rsidRDefault="00915C8D" w:rsidP="00915C8D">
            <w:pPr>
              <w:pStyle w:val="Compact"/>
              <w:rPr>
                <w:rFonts w:ascii="Arial" w:hAnsi="Arial" w:cs="Arial"/>
              </w:rPr>
            </w:pPr>
            <w:r w:rsidRPr="00915C8D">
              <w:rPr>
                <w:rFonts w:ascii="Arial" w:hAnsi="Arial" w:cs="Arial"/>
              </w:rPr>
              <w:t>TCEQ-13383</w:t>
            </w:r>
          </w:p>
        </w:tc>
        <w:tc>
          <w:tcPr>
            <w:tcW w:w="0" w:type="auto"/>
            <w:tcBorders>
              <w:top w:val="single" w:sz="4" w:space="0" w:color="auto"/>
            </w:tcBorders>
            <w:vAlign w:val="center"/>
          </w:tcPr>
          <w:p w14:paraId="59BA05CC" w14:textId="77777777" w:rsidR="00915C8D" w:rsidRPr="00915C8D" w:rsidRDefault="00915C8D" w:rsidP="00915C8D">
            <w:pPr>
              <w:pStyle w:val="Compact"/>
              <w:jc w:val="right"/>
              <w:rPr>
                <w:rFonts w:ascii="Arial" w:hAnsi="Arial" w:cs="Arial"/>
                <w:b/>
                <w:bCs/>
                <w:i/>
                <w:iCs/>
              </w:rPr>
            </w:pPr>
            <w:r w:rsidRPr="00915C8D">
              <w:rPr>
                <w:rFonts w:ascii="Arial" w:hAnsi="Arial" w:cs="Arial"/>
                <w:b/>
                <w:bCs/>
                <w:i/>
                <w:iCs/>
              </w:rPr>
              <w:t>146.4 (0.34)</w:t>
            </w:r>
          </w:p>
        </w:tc>
        <w:tc>
          <w:tcPr>
            <w:tcW w:w="0" w:type="auto"/>
            <w:tcBorders>
              <w:top w:val="single" w:sz="4" w:space="0" w:color="auto"/>
            </w:tcBorders>
            <w:vAlign w:val="center"/>
          </w:tcPr>
          <w:p w14:paraId="507D58D2" w14:textId="77777777" w:rsidR="00915C8D" w:rsidRPr="00915C8D" w:rsidRDefault="00915C8D" w:rsidP="00915C8D">
            <w:pPr>
              <w:pStyle w:val="Compact"/>
              <w:jc w:val="right"/>
              <w:rPr>
                <w:rFonts w:ascii="Arial" w:hAnsi="Arial" w:cs="Arial"/>
              </w:rPr>
            </w:pPr>
            <w:r w:rsidRPr="00915C8D">
              <w:rPr>
                <w:rFonts w:ascii="Arial" w:hAnsi="Arial" w:cs="Arial"/>
              </w:rPr>
              <w:t>146.4 (0.34)</w:t>
            </w:r>
          </w:p>
        </w:tc>
        <w:tc>
          <w:tcPr>
            <w:tcW w:w="0" w:type="auto"/>
            <w:tcBorders>
              <w:top w:val="single" w:sz="4" w:space="0" w:color="auto"/>
            </w:tcBorders>
            <w:vAlign w:val="center"/>
          </w:tcPr>
          <w:p w14:paraId="73C557D6" w14:textId="77777777" w:rsidR="00915C8D" w:rsidRPr="00915C8D" w:rsidRDefault="00915C8D" w:rsidP="00915C8D">
            <w:pPr>
              <w:pStyle w:val="Compact"/>
              <w:jc w:val="right"/>
              <w:rPr>
                <w:rFonts w:ascii="Arial" w:hAnsi="Arial" w:cs="Arial"/>
              </w:rPr>
            </w:pPr>
            <w:r w:rsidRPr="00915C8D">
              <w:rPr>
                <w:rFonts w:ascii="Arial" w:hAnsi="Arial" w:cs="Arial"/>
              </w:rPr>
              <w:t>146.5 (0.32)</w:t>
            </w:r>
          </w:p>
        </w:tc>
      </w:tr>
      <w:tr w:rsidR="00915C8D" w:rsidRPr="00915C8D" w14:paraId="0BBB2852" w14:textId="77777777" w:rsidTr="00915C8D">
        <w:tc>
          <w:tcPr>
            <w:tcW w:w="0" w:type="auto"/>
            <w:vMerge/>
          </w:tcPr>
          <w:p w14:paraId="2B6ACFDA" w14:textId="1E41BACD" w:rsidR="00915C8D" w:rsidRPr="00915C8D" w:rsidRDefault="00915C8D" w:rsidP="00A2193B">
            <w:pPr>
              <w:pStyle w:val="Compact"/>
              <w:rPr>
                <w:rFonts w:ascii="Arial" w:hAnsi="Arial" w:cs="Arial"/>
              </w:rPr>
            </w:pPr>
          </w:p>
        </w:tc>
        <w:tc>
          <w:tcPr>
            <w:tcW w:w="0" w:type="auto"/>
            <w:vAlign w:val="center"/>
          </w:tcPr>
          <w:p w14:paraId="3BB4AB4C" w14:textId="77777777" w:rsidR="00915C8D" w:rsidRPr="00915C8D" w:rsidRDefault="00915C8D" w:rsidP="00915C8D">
            <w:pPr>
              <w:pStyle w:val="Compact"/>
              <w:rPr>
                <w:rFonts w:ascii="Arial" w:hAnsi="Arial" w:cs="Arial"/>
              </w:rPr>
            </w:pPr>
            <w:r w:rsidRPr="00915C8D">
              <w:rPr>
                <w:rFonts w:ascii="Arial" w:hAnsi="Arial" w:cs="Arial"/>
              </w:rPr>
              <w:t>TCEQ-13384</w:t>
            </w:r>
          </w:p>
        </w:tc>
        <w:tc>
          <w:tcPr>
            <w:tcW w:w="0" w:type="auto"/>
            <w:vAlign w:val="center"/>
          </w:tcPr>
          <w:p w14:paraId="1D1C58EE" w14:textId="77777777" w:rsidR="00915C8D" w:rsidRPr="00915C8D" w:rsidRDefault="00915C8D" w:rsidP="00915C8D">
            <w:pPr>
              <w:pStyle w:val="Compact"/>
              <w:jc w:val="right"/>
              <w:rPr>
                <w:rFonts w:ascii="Arial" w:hAnsi="Arial" w:cs="Arial"/>
                <w:b/>
                <w:bCs/>
                <w:i/>
                <w:iCs/>
              </w:rPr>
            </w:pPr>
            <w:r w:rsidRPr="00915C8D">
              <w:rPr>
                <w:rFonts w:ascii="Arial" w:hAnsi="Arial" w:cs="Arial"/>
                <w:b/>
                <w:bCs/>
                <w:i/>
                <w:iCs/>
              </w:rPr>
              <w:t>135.9 (0.47)</w:t>
            </w:r>
          </w:p>
        </w:tc>
        <w:tc>
          <w:tcPr>
            <w:tcW w:w="0" w:type="auto"/>
            <w:vAlign w:val="center"/>
          </w:tcPr>
          <w:p w14:paraId="638C5F87" w14:textId="77777777" w:rsidR="00915C8D" w:rsidRPr="00915C8D" w:rsidRDefault="00915C8D" w:rsidP="00915C8D">
            <w:pPr>
              <w:pStyle w:val="Compact"/>
              <w:jc w:val="right"/>
              <w:rPr>
                <w:rFonts w:ascii="Arial" w:hAnsi="Arial" w:cs="Arial"/>
              </w:rPr>
            </w:pPr>
            <w:r w:rsidRPr="00915C8D">
              <w:rPr>
                <w:rFonts w:ascii="Arial" w:hAnsi="Arial" w:cs="Arial"/>
              </w:rPr>
              <w:t>137 (0.27)</w:t>
            </w:r>
          </w:p>
        </w:tc>
        <w:tc>
          <w:tcPr>
            <w:tcW w:w="0" w:type="auto"/>
            <w:vAlign w:val="center"/>
          </w:tcPr>
          <w:p w14:paraId="1B39994F" w14:textId="77777777" w:rsidR="00915C8D" w:rsidRPr="00915C8D" w:rsidRDefault="00915C8D" w:rsidP="00915C8D">
            <w:pPr>
              <w:pStyle w:val="Compact"/>
              <w:jc w:val="right"/>
              <w:rPr>
                <w:rFonts w:ascii="Arial" w:hAnsi="Arial" w:cs="Arial"/>
              </w:rPr>
            </w:pPr>
            <w:r w:rsidRPr="00915C8D">
              <w:rPr>
                <w:rFonts w:ascii="Arial" w:hAnsi="Arial" w:cs="Arial"/>
              </w:rPr>
              <w:t>137 (0.27)</w:t>
            </w:r>
          </w:p>
        </w:tc>
      </w:tr>
      <w:tr w:rsidR="00915C8D" w:rsidRPr="00915C8D" w14:paraId="10B2367D" w14:textId="77777777" w:rsidTr="00915C8D">
        <w:tc>
          <w:tcPr>
            <w:tcW w:w="0" w:type="auto"/>
            <w:vMerge/>
            <w:tcBorders>
              <w:bottom w:val="single" w:sz="4" w:space="0" w:color="auto"/>
            </w:tcBorders>
          </w:tcPr>
          <w:p w14:paraId="2606833E" w14:textId="1547E226" w:rsidR="00915C8D" w:rsidRPr="00915C8D" w:rsidRDefault="00915C8D">
            <w:pPr>
              <w:pStyle w:val="Compact"/>
              <w:rPr>
                <w:rFonts w:ascii="Arial" w:hAnsi="Arial" w:cs="Arial"/>
              </w:rPr>
            </w:pPr>
          </w:p>
        </w:tc>
        <w:tc>
          <w:tcPr>
            <w:tcW w:w="0" w:type="auto"/>
            <w:tcBorders>
              <w:bottom w:val="single" w:sz="4" w:space="0" w:color="auto"/>
            </w:tcBorders>
            <w:vAlign w:val="center"/>
          </w:tcPr>
          <w:p w14:paraId="62E5B6DD" w14:textId="77777777" w:rsidR="00915C8D" w:rsidRPr="00915C8D" w:rsidRDefault="00915C8D" w:rsidP="00915C8D">
            <w:pPr>
              <w:pStyle w:val="Compact"/>
              <w:rPr>
                <w:rFonts w:ascii="Arial" w:hAnsi="Arial" w:cs="Arial"/>
              </w:rPr>
            </w:pPr>
            <w:r w:rsidRPr="00915C8D">
              <w:rPr>
                <w:rFonts w:ascii="Arial" w:hAnsi="Arial" w:cs="Arial"/>
              </w:rPr>
              <w:t>TCEQ-13563</w:t>
            </w:r>
          </w:p>
        </w:tc>
        <w:tc>
          <w:tcPr>
            <w:tcW w:w="0" w:type="auto"/>
            <w:tcBorders>
              <w:bottom w:val="single" w:sz="4" w:space="0" w:color="auto"/>
            </w:tcBorders>
            <w:vAlign w:val="center"/>
          </w:tcPr>
          <w:p w14:paraId="21A53838" w14:textId="77777777" w:rsidR="00915C8D" w:rsidRPr="00915C8D" w:rsidRDefault="00915C8D" w:rsidP="00915C8D">
            <w:pPr>
              <w:pStyle w:val="Compact"/>
              <w:jc w:val="right"/>
              <w:rPr>
                <w:rFonts w:ascii="Arial" w:hAnsi="Arial" w:cs="Arial"/>
              </w:rPr>
            </w:pPr>
            <w:r w:rsidRPr="00915C8D">
              <w:rPr>
                <w:rFonts w:ascii="Arial" w:hAnsi="Arial" w:cs="Arial"/>
              </w:rPr>
              <w:t>138.3 (0.25)</w:t>
            </w:r>
          </w:p>
        </w:tc>
        <w:tc>
          <w:tcPr>
            <w:tcW w:w="0" w:type="auto"/>
            <w:tcBorders>
              <w:bottom w:val="single" w:sz="4" w:space="0" w:color="auto"/>
            </w:tcBorders>
            <w:vAlign w:val="center"/>
          </w:tcPr>
          <w:p w14:paraId="5A6A8074" w14:textId="77777777" w:rsidR="00915C8D" w:rsidRPr="00915C8D" w:rsidRDefault="00915C8D" w:rsidP="00915C8D">
            <w:pPr>
              <w:pStyle w:val="Compact"/>
              <w:jc w:val="right"/>
              <w:rPr>
                <w:rFonts w:ascii="Arial" w:hAnsi="Arial" w:cs="Arial"/>
                <w:b/>
                <w:bCs/>
                <w:i/>
                <w:iCs/>
              </w:rPr>
            </w:pPr>
            <w:r w:rsidRPr="00915C8D">
              <w:rPr>
                <w:rFonts w:ascii="Arial" w:hAnsi="Arial" w:cs="Arial"/>
                <w:b/>
                <w:bCs/>
                <w:i/>
                <w:iCs/>
              </w:rPr>
              <w:t>137.2 (0.43)</w:t>
            </w:r>
          </w:p>
        </w:tc>
        <w:tc>
          <w:tcPr>
            <w:tcW w:w="0" w:type="auto"/>
            <w:tcBorders>
              <w:bottom w:val="single" w:sz="4" w:space="0" w:color="auto"/>
            </w:tcBorders>
            <w:vAlign w:val="center"/>
          </w:tcPr>
          <w:p w14:paraId="42CEC040" w14:textId="77777777" w:rsidR="00915C8D" w:rsidRPr="00915C8D" w:rsidRDefault="00915C8D" w:rsidP="00915C8D">
            <w:pPr>
              <w:pStyle w:val="Compact"/>
              <w:jc w:val="right"/>
              <w:rPr>
                <w:rFonts w:ascii="Arial" w:hAnsi="Arial" w:cs="Arial"/>
              </w:rPr>
            </w:pPr>
            <w:r w:rsidRPr="00915C8D">
              <w:rPr>
                <w:rFonts w:ascii="Arial" w:hAnsi="Arial" w:cs="Arial"/>
              </w:rPr>
              <w:t>137.8 (0.32)</w:t>
            </w:r>
          </w:p>
        </w:tc>
      </w:tr>
    </w:tbl>
    <w:bookmarkEnd w:id="26"/>
    <w:p w14:paraId="1FE107B8" w14:textId="77777777" w:rsidR="00E80F9C" w:rsidRDefault="00000000">
      <w:pPr>
        <w:pStyle w:val="BodyText"/>
      </w:pPr>
      <w:r>
        <w:t>GAMs showed increases in freshwater inflow resulted in nearly linear increases in TP and NO</w:t>
      </w:r>
      <w:r>
        <w:rPr>
          <w:i/>
          <w:iCs/>
          <w:vertAlign w:val="subscript"/>
        </w:rPr>
        <w:t>x</w:t>
      </w:r>
      <w:r>
        <w:t xml:space="preserve"> concentration at all three sites (Fig 6). At the upper-bay TCEQ-13563 site, GAMs showed increases in freshwater inflow initially increased chlorophyll-</w:t>
      </w:r>
      <w:r>
        <w:rPr>
          <w:i/>
          <w:iCs/>
        </w:rPr>
        <w:t>a</w:t>
      </w:r>
      <w:r>
        <w:t xml:space="preserve"> and DO concentration but concentrations leveled and potentially decreased at higher flows. The mid-bay TCEQ-13383 site showed a nearly linear increased in chlorophyll-</w:t>
      </w:r>
      <w:r>
        <w:rPr>
          <w:i/>
          <w:iCs/>
        </w:rPr>
        <w:t>a</w:t>
      </w:r>
      <w:r>
        <w:t xml:space="preserve"> concentration in response to increases freshwater inflow. Freshwater flow did not have significant effects on chlorophyll-</w:t>
      </w:r>
      <w:r>
        <w:rPr>
          <w:i/>
          <w:iCs/>
        </w:rPr>
        <w:t>a</w:t>
      </w:r>
      <w:r>
        <w:t>, TKN, or DO at the lower-bay TCEQ-13384 site.</w:t>
      </w:r>
    </w:p>
    <w:tbl>
      <w:tblPr>
        <w:tblStyle w:val="Table"/>
        <w:tblW w:w="5000" w:type="pct"/>
        <w:tblLook w:val="0000" w:firstRow="0" w:lastRow="0" w:firstColumn="0" w:lastColumn="0" w:noHBand="0" w:noVBand="0"/>
      </w:tblPr>
      <w:tblGrid>
        <w:gridCol w:w="9360"/>
      </w:tblGrid>
      <w:tr w:rsidR="00E80F9C" w14:paraId="272B360B" w14:textId="77777777">
        <w:tc>
          <w:tcPr>
            <w:tcW w:w="0" w:type="auto"/>
          </w:tcPr>
          <w:p w14:paraId="16F1DB10" w14:textId="05EB2AF0" w:rsidR="00E80F9C" w:rsidRDefault="00E80F9C">
            <w:pPr>
              <w:pStyle w:val="Figure"/>
              <w:jc w:val="center"/>
            </w:pPr>
            <w:bookmarkStart w:id="27" w:name="fig-fig6"/>
          </w:p>
          <w:p w14:paraId="576DB7A6" w14:textId="77777777" w:rsidR="00E80F9C" w:rsidRPr="00FB0257" w:rsidRDefault="00000000">
            <w:pPr>
              <w:pStyle w:val="ImageCaption"/>
              <w:spacing w:before="200"/>
              <w:jc w:val="left"/>
              <w:rPr>
                <w:b/>
                <w:bCs/>
              </w:rPr>
            </w:pPr>
            <w:r w:rsidRPr="00FB0257">
              <w:rPr>
                <w:b/>
                <w:bCs/>
              </w:rPr>
              <w:t>Figure 6. Estimated effects of mean daily inflow residuals on mean TP, NO</w:t>
            </w:r>
            <w:r w:rsidRPr="00FB0257">
              <w:rPr>
                <w:b/>
                <w:bCs/>
                <w:i/>
                <w:iCs/>
                <w:vertAlign w:val="subscript"/>
              </w:rPr>
              <w:t>x</w:t>
            </w:r>
            <w:r w:rsidRPr="00FB0257">
              <w:rPr>
                <w:b/>
                <w:bCs/>
              </w:rPr>
              <w:t>, chlorophyll-</w:t>
            </w:r>
            <w:r w:rsidRPr="00FB0257">
              <w:rPr>
                <w:b/>
                <w:bCs/>
                <w:i/>
                <w:iCs/>
              </w:rPr>
              <w:t>a</w:t>
            </w:r>
            <w:r w:rsidRPr="00FB0257">
              <w:rPr>
                <w:b/>
                <w:bCs/>
              </w:rPr>
              <w:t>, TKN, and DO concentrations in Lavaca Bay obtained from flow estuary GAMs.</w:t>
            </w:r>
          </w:p>
        </w:tc>
        <w:bookmarkEnd w:id="27"/>
      </w:tr>
    </w:tbl>
    <w:p w14:paraId="3FC51C90" w14:textId="77777777" w:rsidR="00E80F9C" w:rsidRDefault="00000000">
      <w:pPr>
        <w:pStyle w:val="BodyText"/>
      </w:pPr>
      <w:r>
        <w:lastRenderedPageBreak/>
        <w:t>Increased TP loads resulted in nearly linear increases of TP concentration at the upper- and mid-bay sites, TCEQ-13563 and TCEQ-13383 respectively (Fig 7). The relative effect size appeared to much smaller than the effect of freshwater inflow alone. Increased NO</w:t>
      </w:r>
      <w:r>
        <w:rPr>
          <w:vertAlign w:val="subscript"/>
        </w:rPr>
        <w:t>3</w:t>
      </w:r>
      <w:r>
        <w:t xml:space="preserve"> loads only showed an effect at the lower-bay TCEQ-13384 site. The effect was quite small compared to streamflow and provided only small improvements to the model (Table 4). As noted above, nutrient loadings did not provide any explanation in changes in the remaining assessed water quality parameters.</w:t>
      </w:r>
    </w:p>
    <w:tbl>
      <w:tblPr>
        <w:tblStyle w:val="Table"/>
        <w:tblW w:w="5000" w:type="pct"/>
        <w:tblLook w:val="0000" w:firstRow="0" w:lastRow="0" w:firstColumn="0" w:lastColumn="0" w:noHBand="0" w:noVBand="0"/>
      </w:tblPr>
      <w:tblGrid>
        <w:gridCol w:w="9360"/>
      </w:tblGrid>
      <w:tr w:rsidR="00E80F9C" w14:paraId="7BA6AD54" w14:textId="77777777">
        <w:tc>
          <w:tcPr>
            <w:tcW w:w="0" w:type="auto"/>
          </w:tcPr>
          <w:p w14:paraId="07E58E9E" w14:textId="4E1CD4E8" w:rsidR="00E80F9C" w:rsidRDefault="00E80F9C">
            <w:pPr>
              <w:pStyle w:val="Figure"/>
              <w:jc w:val="center"/>
            </w:pPr>
            <w:bookmarkStart w:id="28" w:name="fig-fig7"/>
          </w:p>
          <w:p w14:paraId="0C9CEFC2" w14:textId="77777777" w:rsidR="00E80F9C" w:rsidRPr="00FB0257" w:rsidRDefault="00000000">
            <w:pPr>
              <w:pStyle w:val="ImageCaption"/>
              <w:spacing w:before="200"/>
              <w:jc w:val="left"/>
              <w:rPr>
                <w:b/>
                <w:bCs/>
              </w:rPr>
            </w:pPr>
            <w:r w:rsidRPr="00FB0257">
              <w:rPr>
                <w:b/>
                <w:bCs/>
              </w:rPr>
              <w:t>Figure 7. Estimated effects of nutrient load residuals on TP and NO</w:t>
            </w:r>
            <w:r w:rsidRPr="00FB0257">
              <w:rPr>
                <w:b/>
                <w:bCs/>
                <w:i/>
                <w:iCs/>
                <w:vertAlign w:val="subscript"/>
              </w:rPr>
              <w:t>x</w:t>
            </w:r>
            <w:r w:rsidRPr="00FB0257">
              <w:rPr>
                <w:b/>
                <w:bCs/>
              </w:rPr>
              <w:t xml:space="preserve"> concentrations in Lavaca Bay obtained from flow+load estuary GAMs.</w:t>
            </w:r>
          </w:p>
        </w:tc>
        <w:bookmarkEnd w:id="28"/>
      </w:tr>
    </w:tbl>
    <w:p w14:paraId="44547723" w14:textId="77777777" w:rsidR="00E80F9C" w:rsidRDefault="00000000">
      <w:pPr>
        <w:pStyle w:val="Heading1"/>
      </w:pPr>
      <w:bookmarkStart w:id="29" w:name="discussion"/>
      <w:bookmarkEnd w:id="19"/>
      <w:bookmarkEnd w:id="24"/>
      <w:r>
        <w:t>Discussion</w:t>
      </w:r>
    </w:p>
    <w:p w14:paraId="776B4ADC" w14:textId="77777777" w:rsidR="00E80F9C" w:rsidRDefault="00000000">
      <w:pPr>
        <w:pStyle w:val="FirstParagraph"/>
      </w:pPr>
      <w:r>
        <w:t>TP and NO</w:t>
      </w:r>
      <w:r>
        <w:rPr>
          <w:vertAlign w:val="subscript"/>
        </w:rPr>
        <w:t>3</w:t>
      </w:r>
      <w:r>
        <w:t xml:space="preserve"> loadings from the Lavaca Bay watershed showed high inter-annual variability tied with changes in discharge. There is little evidence for changes in flow-normalized TP loads in either rivers. There is some evidence of recent decreases in flow-normalized NO</w:t>
      </w:r>
      <w:r>
        <w:rPr>
          <w:vertAlign w:val="subscript"/>
        </w:rPr>
        <w:t>3</w:t>
      </w:r>
      <w:r>
        <w:t xml:space="preserve"> loads in the Lavaca River. Although there is no work directly correlating water quality planning and implementation efforts in the watershed to water quality outcomes, efforts to increase agricultural producer participation in the watershed have been ongoing since 2016 [15,16]. The decrease in flow-normalized NO</w:t>
      </w:r>
      <w:r>
        <w:rPr>
          <w:vertAlign w:val="subscript"/>
        </w:rPr>
        <w:t>3</w:t>
      </w:r>
      <w:r>
        <w:t xml:space="preserve"> loads could be a reflection of those collective efforts but further data collection and research is required to support that statement.</w:t>
      </w:r>
    </w:p>
    <w:p w14:paraId="6A23CF42" w14:textId="77777777" w:rsidR="00E80F9C" w:rsidRDefault="00000000">
      <w:pPr>
        <w:pStyle w:val="BodyText"/>
      </w:pPr>
      <w:r>
        <w:t xml:space="preserve">Converted to average annual yield, the estimates of annual TP loads for the Lavaca River are within the ranges in previous published studies (Table 5; [43–46]). It isn’t obvious why TP estimates in [43] were notably lower. Given that none of the studies identify substantially sized trends in TP, it is is possible that the period used in [43] was drier on average than the other </w:t>
      </w:r>
      <w:r>
        <w:lastRenderedPageBreak/>
        <w:t>studies. The SPARROW models used in [44] and [46] utilize a version of LOADEST in the underlying load estimation procedure, so a difference due to methodology alone is unlikely.</w:t>
      </w:r>
    </w:p>
    <w:p w14:paraId="7AD30232" w14:textId="77777777" w:rsidR="00E80F9C" w:rsidRPr="00FB0257" w:rsidRDefault="00000000">
      <w:pPr>
        <w:pStyle w:val="TableCaption"/>
        <w:rPr>
          <w:b/>
          <w:bCs/>
        </w:rPr>
      </w:pPr>
      <w:bookmarkStart w:id="30" w:name="tbl-table5"/>
      <w:r w:rsidRPr="00FB0257">
        <w:rPr>
          <w:b/>
          <w:bCs/>
        </w:rPr>
        <w:t>Table 5. Comparisons of previously published estimates of mean annual TP yield at the Lavaca River site.</w:t>
      </w:r>
    </w:p>
    <w:tbl>
      <w:tblPr>
        <w:tblStyle w:val="Table"/>
        <w:tblW w:w="3269" w:type="pct"/>
        <w:tblLook w:val="0020" w:firstRow="1" w:lastRow="0" w:firstColumn="0" w:lastColumn="0" w:noHBand="0" w:noVBand="0"/>
        <w:tblCaption w:val="Table 5. Comparisons of previously published estimates of mean annual TP yield at the Lavaca River site."/>
      </w:tblPr>
      <w:tblGrid>
        <w:gridCol w:w="1981"/>
        <w:gridCol w:w="1441"/>
        <w:gridCol w:w="1439"/>
        <w:gridCol w:w="1259"/>
      </w:tblGrid>
      <w:tr w:rsidR="00915C8D" w:rsidRPr="00915C8D" w14:paraId="4EBB2F3A" w14:textId="77777777" w:rsidTr="00915C8D">
        <w:trPr>
          <w:tblHeader/>
        </w:trPr>
        <w:tc>
          <w:tcPr>
            <w:tcW w:w="1618" w:type="pct"/>
            <w:tcBorders>
              <w:top w:val="single" w:sz="4" w:space="0" w:color="auto"/>
              <w:bottom w:val="single" w:sz="4" w:space="0" w:color="auto"/>
            </w:tcBorders>
            <w:vAlign w:val="center"/>
          </w:tcPr>
          <w:p w14:paraId="31FCE4C2" w14:textId="77777777" w:rsidR="00915C8D" w:rsidRPr="00915C8D" w:rsidRDefault="00915C8D" w:rsidP="00915C8D">
            <w:pPr>
              <w:pStyle w:val="Compact"/>
              <w:jc w:val="center"/>
              <w:rPr>
                <w:rFonts w:ascii="Arial" w:hAnsi="Arial" w:cs="Arial"/>
                <w:b/>
                <w:bCs/>
              </w:rPr>
            </w:pPr>
            <w:r w:rsidRPr="00915C8D">
              <w:rPr>
                <w:rFonts w:ascii="Arial" w:hAnsi="Arial" w:cs="Arial"/>
                <w:b/>
                <w:bCs/>
              </w:rPr>
              <w:t xml:space="preserve">Reported Yield (kg </w:t>
            </w:r>
            <w:r w:rsidRPr="00915C8D">
              <w:rPr>
                <w:rFonts w:ascii="Cambria Math" w:hAnsi="Cambria Math" w:cs="Cambria Math"/>
                <w:b/>
                <w:bCs/>
              </w:rPr>
              <w:t>⋅</w:t>
            </w:r>
            <w:r w:rsidRPr="00915C8D">
              <w:rPr>
                <w:rFonts w:ascii="Arial" w:hAnsi="Arial" w:cs="Arial"/>
                <w:b/>
                <w:bCs/>
              </w:rPr>
              <w:t xml:space="preserve"> km</w:t>
            </w:r>
            <w:r w:rsidRPr="00915C8D">
              <w:rPr>
                <w:rFonts w:ascii="Arial" w:hAnsi="Arial" w:cs="Arial"/>
                <w:b/>
                <w:bCs/>
                <w:vertAlign w:val="superscript"/>
              </w:rPr>
              <w:t>-2</w:t>
            </w:r>
            <w:r w:rsidRPr="00915C8D">
              <w:rPr>
                <w:rFonts w:ascii="Arial" w:hAnsi="Arial" w:cs="Arial"/>
                <w:b/>
                <w:bCs/>
              </w:rPr>
              <w:t xml:space="preserve"> </w:t>
            </w:r>
            <w:r w:rsidRPr="00915C8D">
              <w:rPr>
                <w:rFonts w:ascii="Cambria Math" w:hAnsi="Cambria Math" w:cs="Cambria Math"/>
                <w:b/>
                <w:bCs/>
              </w:rPr>
              <w:t>⋅</w:t>
            </w:r>
            <w:r w:rsidRPr="00915C8D">
              <w:rPr>
                <w:rFonts w:ascii="Arial" w:hAnsi="Arial" w:cs="Arial"/>
                <w:b/>
                <w:bCs/>
              </w:rPr>
              <w:t xml:space="preserve"> year</w:t>
            </w:r>
            <w:r w:rsidRPr="00915C8D">
              <w:rPr>
                <w:rFonts w:ascii="Arial" w:hAnsi="Arial" w:cs="Arial"/>
                <w:b/>
                <w:bCs/>
                <w:vertAlign w:val="superscript"/>
              </w:rPr>
              <w:t>-1</w:t>
            </w:r>
            <w:r w:rsidRPr="00915C8D">
              <w:rPr>
                <w:rFonts w:ascii="Arial" w:hAnsi="Arial" w:cs="Arial"/>
                <w:b/>
                <w:bCs/>
              </w:rPr>
              <w:t>)</w:t>
            </w:r>
          </w:p>
        </w:tc>
        <w:tc>
          <w:tcPr>
            <w:tcW w:w="1177" w:type="pct"/>
            <w:tcBorders>
              <w:top w:val="single" w:sz="4" w:space="0" w:color="auto"/>
              <w:bottom w:val="single" w:sz="4" w:space="0" w:color="auto"/>
            </w:tcBorders>
            <w:vAlign w:val="center"/>
          </w:tcPr>
          <w:p w14:paraId="4DE0A677" w14:textId="77777777" w:rsidR="00915C8D" w:rsidRPr="00915C8D" w:rsidRDefault="00915C8D" w:rsidP="00915C8D">
            <w:pPr>
              <w:pStyle w:val="Compact"/>
              <w:rPr>
                <w:rFonts w:ascii="Arial" w:hAnsi="Arial" w:cs="Arial"/>
                <w:b/>
                <w:bCs/>
              </w:rPr>
            </w:pPr>
            <w:r w:rsidRPr="00915C8D">
              <w:rPr>
                <w:rFonts w:ascii="Arial" w:hAnsi="Arial" w:cs="Arial"/>
                <w:b/>
                <w:bCs/>
              </w:rPr>
              <w:t>Approach</w:t>
            </w:r>
          </w:p>
        </w:tc>
        <w:tc>
          <w:tcPr>
            <w:tcW w:w="1176" w:type="pct"/>
            <w:tcBorders>
              <w:top w:val="single" w:sz="4" w:space="0" w:color="auto"/>
              <w:bottom w:val="single" w:sz="4" w:space="0" w:color="auto"/>
            </w:tcBorders>
            <w:vAlign w:val="center"/>
          </w:tcPr>
          <w:p w14:paraId="3E5F01B7" w14:textId="77777777" w:rsidR="00915C8D" w:rsidRPr="00915C8D" w:rsidRDefault="00915C8D" w:rsidP="00915C8D">
            <w:pPr>
              <w:pStyle w:val="Compact"/>
              <w:rPr>
                <w:rFonts w:ascii="Arial" w:hAnsi="Arial" w:cs="Arial"/>
                <w:b/>
                <w:bCs/>
              </w:rPr>
            </w:pPr>
            <w:r w:rsidRPr="00915C8D">
              <w:rPr>
                <w:rFonts w:ascii="Arial" w:hAnsi="Arial" w:cs="Arial"/>
                <w:b/>
                <w:bCs/>
              </w:rPr>
              <w:t>Time Period</w:t>
            </w:r>
          </w:p>
        </w:tc>
        <w:tc>
          <w:tcPr>
            <w:tcW w:w="1029" w:type="pct"/>
            <w:tcBorders>
              <w:top w:val="single" w:sz="4" w:space="0" w:color="auto"/>
              <w:bottom w:val="single" w:sz="4" w:space="0" w:color="auto"/>
            </w:tcBorders>
            <w:vAlign w:val="center"/>
          </w:tcPr>
          <w:p w14:paraId="5DD1A531" w14:textId="77777777" w:rsidR="00915C8D" w:rsidRPr="00915C8D" w:rsidRDefault="00915C8D" w:rsidP="00915C8D">
            <w:pPr>
              <w:pStyle w:val="Compact"/>
              <w:rPr>
                <w:rFonts w:ascii="Arial" w:hAnsi="Arial" w:cs="Arial"/>
                <w:b/>
                <w:bCs/>
              </w:rPr>
            </w:pPr>
            <w:r w:rsidRPr="00915C8D">
              <w:rPr>
                <w:rFonts w:ascii="Arial" w:hAnsi="Arial" w:cs="Arial"/>
                <w:b/>
                <w:bCs/>
              </w:rPr>
              <w:t>Reference</w:t>
            </w:r>
          </w:p>
        </w:tc>
      </w:tr>
      <w:tr w:rsidR="00915C8D" w:rsidRPr="00915C8D" w14:paraId="605D1469" w14:textId="77777777" w:rsidTr="00915C8D">
        <w:tc>
          <w:tcPr>
            <w:tcW w:w="1618" w:type="pct"/>
            <w:tcBorders>
              <w:top w:val="single" w:sz="4" w:space="0" w:color="auto"/>
            </w:tcBorders>
            <w:vAlign w:val="center"/>
          </w:tcPr>
          <w:p w14:paraId="39E75146" w14:textId="77777777" w:rsidR="00915C8D" w:rsidRPr="00915C8D" w:rsidRDefault="00915C8D" w:rsidP="00915C8D">
            <w:pPr>
              <w:pStyle w:val="Compact"/>
              <w:jc w:val="center"/>
              <w:rPr>
                <w:rFonts w:ascii="Arial" w:hAnsi="Arial" w:cs="Arial"/>
              </w:rPr>
            </w:pPr>
            <w:r w:rsidRPr="00915C8D">
              <w:rPr>
                <w:rFonts w:ascii="Arial" w:hAnsi="Arial" w:cs="Arial"/>
              </w:rPr>
              <w:t>35.2 (28.8, 43.3)</w:t>
            </w:r>
            <w:r w:rsidRPr="00915C8D">
              <w:rPr>
                <w:rFonts w:ascii="Arial" w:hAnsi="Arial" w:cs="Arial"/>
                <w:vertAlign w:val="superscript"/>
              </w:rPr>
              <w:t>a</w:t>
            </w:r>
          </w:p>
        </w:tc>
        <w:tc>
          <w:tcPr>
            <w:tcW w:w="1177" w:type="pct"/>
            <w:tcBorders>
              <w:top w:val="single" w:sz="4" w:space="0" w:color="auto"/>
            </w:tcBorders>
            <w:vAlign w:val="center"/>
          </w:tcPr>
          <w:p w14:paraId="7A25AAF1" w14:textId="77777777" w:rsidR="00915C8D" w:rsidRPr="00915C8D" w:rsidRDefault="00915C8D" w:rsidP="00915C8D">
            <w:pPr>
              <w:pStyle w:val="Compact"/>
              <w:rPr>
                <w:rFonts w:ascii="Arial" w:hAnsi="Arial" w:cs="Arial"/>
              </w:rPr>
            </w:pPr>
            <w:r w:rsidRPr="00915C8D">
              <w:rPr>
                <w:rFonts w:ascii="Arial" w:hAnsi="Arial" w:cs="Arial"/>
              </w:rPr>
              <w:t>GAM</w:t>
            </w:r>
          </w:p>
        </w:tc>
        <w:tc>
          <w:tcPr>
            <w:tcW w:w="1176" w:type="pct"/>
            <w:tcBorders>
              <w:top w:val="single" w:sz="4" w:space="0" w:color="auto"/>
            </w:tcBorders>
            <w:vAlign w:val="center"/>
          </w:tcPr>
          <w:p w14:paraId="121BC874" w14:textId="77777777" w:rsidR="00915C8D" w:rsidRPr="00915C8D" w:rsidRDefault="00915C8D" w:rsidP="00915C8D">
            <w:pPr>
              <w:pStyle w:val="Compact"/>
              <w:rPr>
                <w:rFonts w:ascii="Arial" w:hAnsi="Arial" w:cs="Arial"/>
              </w:rPr>
            </w:pPr>
            <w:r w:rsidRPr="00915C8D">
              <w:rPr>
                <w:rFonts w:ascii="Arial" w:hAnsi="Arial" w:cs="Arial"/>
              </w:rPr>
              <w:t>2005-2020</w:t>
            </w:r>
          </w:p>
        </w:tc>
        <w:tc>
          <w:tcPr>
            <w:tcW w:w="1029" w:type="pct"/>
            <w:tcBorders>
              <w:top w:val="single" w:sz="4" w:space="0" w:color="auto"/>
            </w:tcBorders>
            <w:vAlign w:val="center"/>
          </w:tcPr>
          <w:p w14:paraId="4EE5C901" w14:textId="77777777" w:rsidR="00915C8D" w:rsidRPr="00915C8D" w:rsidRDefault="00915C8D" w:rsidP="00915C8D">
            <w:pPr>
              <w:pStyle w:val="Compact"/>
              <w:rPr>
                <w:rFonts w:ascii="Arial" w:hAnsi="Arial" w:cs="Arial"/>
              </w:rPr>
            </w:pPr>
            <w:r w:rsidRPr="00915C8D">
              <w:rPr>
                <w:rFonts w:ascii="Arial" w:hAnsi="Arial" w:cs="Arial"/>
              </w:rPr>
              <w:t>This work</w:t>
            </w:r>
          </w:p>
        </w:tc>
      </w:tr>
      <w:tr w:rsidR="00915C8D" w:rsidRPr="00915C8D" w14:paraId="669B29AD" w14:textId="77777777" w:rsidTr="00915C8D">
        <w:tc>
          <w:tcPr>
            <w:tcW w:w="1618" w:type="pct"/>
            <w:vAlign w:val="center"/>
          </w:tcPr>
          <w:p w14:paraId="0356FE83" w14:textId="77777777" w:rsidR="00915C8D" w:rsidRPr="00915C8D" w:rsidRDefault="00915C8D" w:rsidP="00915C8D">
            <w:pPr>
              <w:pStyle w:val="Compact"/>
              <w:jc w:val="center"/>
              <w:rPr>
                <w:rFonts w:ascii="Arial" w:hAnsi="Arial" w:cs="Arial"/>
              </w:rPr>
            </w:pPr>
            <w:r w:rsidRPr="00915C8D">
              <w:rPr>
                <w:rFonts w:ascii="Arial" w:hAnsi="Arial" w:cs="Arial"/>
              </w:rPr>
              <w:t>45.2</w:t>
            </w:r>
          </w:p>
        </w:tc>
        <w:tc>
          <w:tcPr>
            <w:tcW w:w="1177" w:type="pct"/>
            <w:vAlign w:val="center"/>
          </w:tcPr>
          <w:p w14:paraId="3B6E8EC7" w14:textId="77777777" w:rsidR="00915C8D" w:rsidRPr="00915C8D" w:rsidRDefault="00915C8D" w:rsidP="00915C8D">
            <w:pPr>
              <w:pStyle w:val="Compact"/>
              <w:rPr>
                <w:rFonts w:ascii="Arial" w:hAnsi="Arial" w:cs="Arial"/>
              </w:rPr>
            </w:pPr>
            <w:r w:rsidRPr="00915C8D">
              <w:rPr>
                <w:rFonts w:ascii="Arial" w:hAnsi="Arial" w:cs="Arial"/>
              </w:rPr>
              <w:t>SPARROW</w:t>
            </w:r>
          </w:p>
        </w:tc>
        <w:tc>
          <w:tcPr>
            <w:tcW w:w="1176" w:type="pct"/>
            <w:vAlign w:val="center"/>
          </w:tcPr>
          <w:p w14:paraId="1B68420F" w14:textId="77777777" w:rsidR="00915C8D" w:rsidRPr="00915C8D" w:rsidRDefault="00915C8D" w:rsidP="00915C8D">
            <w:pPr>
              <w:pStyle w:val="Compact"/>
              <w:rPr>
                <w:rFonts w:ascii="Arial" w:hAnsi="Arial" w:cs="Arial"/>
              </w:rPr>
            </w:pPr>
            <w:r w:rsidRPr="00915C8D">
              <w:rPr>
                <w:rFonts w:ascii="Arial" w:hAnsi="Arial" w:cs="Arial"/>
              </w:rPr>
              <w:t>2000-2014</w:t>
            </w:r>
          </w:p>
        </w:tc>
        <w:tc>
          <w:tcPr>
            <w:tcW w:w="1029" w:type="pct"/>
            <w:vAlign w:val="center"/>
          </w:tcPr>
          <w:p w14:paraId="09BB0428" w14:textId="77777777" w:rsidR="00915C8D" w:rsidRPr="00915C8D" w:rsidRDefault="00915C8D" w:rsidP="00915C8D">
            <w:pPr>
              <w:pStyle w:val="Compact"/>
              <w:rPr>
                <w:rFonts w:ascii="Arial" w:hAnsi="Arial" w:cs="Arial"/>
              </w:rPr>
            </w:pPr>
            <w:r w:rsidRPr="00915C8D">
              <w:rPr>
                <w:rFonts w:ascii="Arial" w:hAnsi="Arial" w:cs="Arial"/>
              </w:rPr>
              <w:t>[46]</w:t>
            </w:r>
          </w:p>
        </w:tc>
      </w:tr>
      <w:tr w:rsidR="00915C8D" w:rsidRPr="00915C8D" w14:paraId="14248FE7" w14:textId="77777777" w:rsidTr="00915C8D">
        <w:tc>
          <w:tcPr>
            <w:tcW w:w="1618" w:type="pct"/>
            <w:vAlign w:val="center"/>
          </w:tcPr>
          <w:p w14:paraId="71AD2315" w14:textId="77777777" w:rsidR="00915C8D" w:rsidRPr="00915C8D" w:rsidRDefault="00915C8D" w:rsidP="00915C8D">
            <w:pPr>
              <w:pStyle w:val="Compact"/>
              <w:jc w:val="center"/>
              <w:rPr>
                <w:rFonts w:ascii="Arial" w:hAnsi="Arial" w:cs="Arial"/>
              </w:rPr>
            </w:pPr>
            <w:r w:rsidRPr="00915C8D">
              <w:rPr>
                <w:rFonts w:ascii="Arial" w:hAnsi="Arial" w:cs="Arial"/>
              </w:rPr>
              <w:t>42</w:t>
            </w:r>
          </w:p>
        </w:tc>
        <w:tc>
          <w:tcPr>
            <w:tcW w:w="1177" w:type="pct"/>
            <w:vAlign w:val="center"/>
          </w:tcPr>
          <w:p w14:paraId="1A27E394" w14:textId="77777777" w:rsidR="00915C8D" w:rsidRPr="00915C8D" w:rsidRDefault="00915C8D" w:rsidP="00915C8D">
            <w:pPr>
              <w:pStyle w:val="Compact"/>
              <w:rPr>
                <w:rFonts w:ascii="Arial" w:hAnsi="Arial" w:cs="Arial"/>
              </w:rPr>
            </w:pPr>
            <w:r w:rsidRPr="00915C8D">
              <w:rPr>
                <w:rFonts w:ascii="Arial" w:hAnsi="Arial" w:cs="Arial"/>
              </w:rPr>
              <w:t>SWAT</w:t>
            </w:r>
          </w:p>
        </w:tc>
        <w:tc>
          <w:tcPr>
            <w:tcW w:w="1176" w:type="pct"/>
            <w:vAlign w:val="center"/>
          </w:tcPr>
          <w:p w14:paraId="07525D7D" w14:textId="77777777" w:rsidR="00915C8D" w:rsidRPr="00915C8D" w:rsidRDefault="00915C8D" w:rsidP="00915C8D">
            <w:pPr>
              <w:pStyle w:val="Compact"/>
              <w:rPr>
                <w:rFonts w:ascii="Arial" w:hAnsi="Arial" w:cs="Arial"/>
              </w:rPr>
            </w:pPr>
            <w:r w:rsidRPr="00915C8D">
              <w:rPr>
                <w:rFonts w:ascii="Arial" w:hAnsi="Arial" w:cs="Arial"/>
              </w:rPr>
              <w:t>1977-2005</w:t>
            </w:r>
          </w:p>
        </w:tc>
        <w:tc>
          <w:tcPr>
            <w:tcW w:w="1029" w:type="pct"/>
            <w:vAlign w:val="center"/>
          </w:tcPr>
          <w:p w14:paraId="7DD94B24" w14:textId="77777777" w:rsidR="00915C8D" w:rsidRPr="00915C8D" w:rsidRDefault="00915C8D" w:rsidP="00915C8D">
            <w:pPr>
              <w:pStyle w:val="Compact"/>
              <w:rPr>
                <w:rFonts w:ascii="Arial" w:hAnsi="Arial" w:cs="Arial"/>
              </w:rPr>
            </w:pPr>
            <w:r w:rsidRPr="00915C8D">
              <w:rPr>
                <w:rFonts w:ascii="Arial" w:hAnsi="Arial" w:cs="Arial"/>
              </w:rPr>
              <w:t>[45]</w:t>
            </w:r>
          </w:p>
        </w:tc>
      </w:tr>
      <w:tr w:rsidR="00915C8D" w:rsidRPr="00915C8D" w14:paraId="28162478" w14:textId="77777777" w:rsidTr="00915C8D">
        <w:tc>
          <w:tcPr>
            <w:tcW w:w="1618" w:type="pct"/>
            <w:vAlign w:val="center"/>
          </w:tcPr>
          <w:p w14:paraId="02CD0F05" w14:textId="77777777" w:rsidR="00915C8D" w:rsidRPr="00915C8D" w:rsidRDefault="00915C8D" w:rsidP="00915C8D">
            <w:pPr>
              <w:pStyle w:val="Compact"/>
              <w:jc w:val="center"/>
              <w:rPr>
                <w:rFonts w:ascii="Arial" w:hAnsi="Arial" w:cs="Arial"/>
              </w:rPr>
            </w:pPr>
            <w:r w:rsidRPr="00915C8D">
              <w:rPr>
                <w:rFonts w:ascii="Arial" w:hAnsi="Arial" w:cs="Arial"/>
              </w:rPr>
              <w:t>20.81-91.58</w:t>
            </w:r>
            <w:r w:rsidRPr="00915C8D">
              <w:rPr>
                <w:rFonts w:ascii="Arial" w:hAnsi="Arial" w:cs="Arial"/>
                <w:vertAlign w:val="superscript"/>
              </w:rPr>
              <w:t>b</w:t>
            </w:r>
          </w:p>
        </w:tc>
        <w:tc>
          <w:tcPr>
            <w:tcW w:w="1177" w:type="pct"/>
            <w:vAlign w:val="center"/>
          </w:tcPr>
          <w:p w14:paraId="0FC5E3BF" w14:textId="77777777" w:rsidR="00915C8D" w:rsidRPr="00915C8D" w:rsidRDefault="00915C8D" w:rsidP="00915C8D">
            <w:pPr>
              <w:pStyle w:val="Compact"/>
              <w:rPr>
                <w:rFonts w:ascii="Arial" w:hAnsi="Arial" w:cs="Arial"/>
              </w:rPr>
            </w:pPr>
            <w:r w:rsidRPr="00915C8D">
              <w:rPr>
                <w:rFonts w:ascii="Arial" w:hAnsi="Arial" w:cs="Arial"/>
              </w:rPr>
              <w:t>SPARROW</w:t>
            </w:r>
          </w:p>
        </w:tc>
        <w:tc>
          <w:tcPr>
            <w:tcW w:w="1176" w:type="pct"/>
            <w:vAlign w:val="center"/>
          </w:tcPr>
          <w:p w14:paraId="35BEE151" w14:textId="77777777" w:rsidR="00915C8D" w:rsidRPr="00915C8D" w:rsidRDefault="00915C8D" w:rsidP="00915C8D">
            <w:pPr>
              <w:pStyle w:val="Compact"/>
              <w:rPr>
                <w:rFonts w:ascii="Arial" w:hAnsi="Arial" w:cs="Arial"/>
              </w:rPr>
            </w:pPr>
            <w:r w:rsidRPr="00915C8D">
              <w:rPr>
                <w:rFonts w:ascii="Arial" w:hAnsi="Arial" w:cs="Arial"/>
              </w:rPr>
              <w:t>1980-2002</w:t>
            </w:r>
          </w:p>
        </w:tc>
        <w:tc>
          <w:tcPr>
            <w:tcW w:w="1029" w:type="pct"/>
            <w:vAlign w:val="center"/>
          </w:tcPr>
          <w:p w14:paraId="76D6C37A" w14:textId="77777777" w:rsidR="00915C8D" w:rsidRPr="00915C8D" w:rsidRDefault="00915C8D" w:rsidP="00915C8D">
            <w:pPr>
              <w:pStyle w:val="Compact"/>
              <w:rPr>
                <w:rFonts w:ascii="Arial" w:hAnsi="Arial" w:cs="Arial"/>
              </w:rPr>
            </w:pPr>
            <w:r w:rsidRPr="00915C8D">
              <w:rPr>
                <w:rFonts w:ascii="Arial" w:hAnsi="Arial" w:cs="Arial"/>
              </w:rPr>
              <w:t>[44]</w:t>
            </w:r>
          </w:p>
        </w:tc>
      </w:tr>
      <w:tr w:rsidR="00915C8D" w:rsidRPr="00915C8D" w14:paraId="3BFC892D" w14:textId="77777777" w:rsidTr="00915C8D">
        <w:tc>
          <w:tcPr>
            <w:tcW w:w="1618" w:type="pct"/>
            <w:tcBorders>
              <w:bottom w:val="single" w:sz="4" w:space="0" w:color="auto"/>
            </w:tcBorders>
            <w:vAlign w:val="center"/>
          </w:tcPr>
          <w:p w14:paraId="359D67BD" w14:textId="77777777" w:rsidR="00915C8D" w:rsidRPr="00915C8D" w:rsidRDefault="00915C8D" w:rsidP="00915C8D">
            <w:pPr>
              <w:pStyle w:val="Compact"/>
              <w:jc w:val="center"/>
              <w:rPr>
                <w:rFonts w:ascii="Arial" w:hAnsi="Arial" w:cs="Arial"/>
              </w:rPr>
            </w:pPr>
            <w:r w:rsidRPr="00915C8D">
              <w:rPr>
                <w:rFonts w:ascii="Arial" w:hAnsi="Arial" w:cs="Arial"/>
              </w:rPr>
              <w:t>28.9</w:t>
            </w:r>
          </w:p>
        </w:tc>
        <w:tc>
          <w:tcPr>
            <w:tcW w:w="1177" w:type="pct"/>
            <w:tcBorders>
              <w:bottom w:val="single" w:sz="4" w:space="0" w:color="auto"/>
            </w:tcBorders>
            <w:vAlign w:val="center"/>
          </w:tcPr>
          <w:p w14:paraId="72A1A07D" w14:textId="77777777" w:rsidR="00915C8D" w:rsidRPr="00915C8D" w:rsidRDefault="00915C8D" w:rsidP="00915C8D">
            <w:pPr>
              <w:pStyle w:val="Compact"/>
              <w:rPr>
                <w:rFonts w:ascii="Arial" w:hAnsi="Arial" w:cs="Arial"/>
              </w:rPr>
            </w:pPr>
            <w:r w:rsidRPr="00915C8D">
              <w:rPr>
                <w:rFonts w:ascii="Arial" w:hAnsi="Arial" w:cs="Arial"/>
              </w:rPr>
              <w:t>LOADEST</w:t>
            </w:r>
          </w:p>
        </w:tc>
        <w:tc>
          <w:tcPr>
            <w:tcW w:w="1176" w:type="pct"/>
            <w:tcBorders>
              <w:bottom w:val="single" w:sz="4" w:space="0" w:color="auto"/>
            </w:tcBorders>
            <w:vAlign w:val="center"/>
          </w:tcPr>
          <w:p w14:paraId="3D96CBA7" w14:textId="77777777" w:rsidR="00915C8D" w:rsidRPr="00915C8D" w:rsidRDefault="00915C8D" w:rsidP="00915C8D">
            <w:pPr>
              <w:pStyle w:val="Compact"/>
              <w:rPr>
                <w:rFonts w:ascii="Arial" w:hAnsi="Arial" w:cs="Arial"/>
              </w:rPr>
            </w:pPr>
            <w:r w:rsidRPr="00915C8D">
              <w:rPr>
                <w:rFonts w:ascii="Arial" w:hAnsi="Arial" w:cs="Arial"/>
              </w:rPr>
              <w:t>1972-1993</w:t>
            </w:r>
          </w:p>
        </w:tc>
        <w:tc>
          <w:tcPr>
            <w:tcW w:w="1029" w:type="pct"/>
            <w:tcBorders>
              <w:bottom w:val="single" w:sz="4" w:space="0" w:color="auto"/>
            </w:tcBorders>
            <w:vAlign w:val="center"/>
          </w:tcPr>
          <w:p w14:paraId="5D0FA367" w14:textId="77777777" w:rsidR="00915C8D" w:rsidRPr="00915C8D" w:rsidRDefault="00915C8D" w:rsidP="00915C8D">
            <w:pPr>
              <w:pStyle w:val="Compact"/>
              <w:rPr>
                <w:rFonts w:ascii="Arial" w:hAnsi="Arial" w:cs="Arial"/>
              </w:rPr>
            </w:pPr>
            <w:r w:rsidRPr="00915C8D">
              <w:rPr>
                <w:rFonts w:ascii="Arial" w:hAnsi="Arial" w:cs="Arial"/>
              </w:rPr>
              <w:t>[43]</w:t>
            </w:r>
          </w:p>
        </w:tc>
      </w:tr>
    </w:tbl>
    <w:bookmarkEnd w:id="30"/>
    <w:p w14:paraId="15781322" w14:textId="77777777" w:rsidR="00915C8D" w:rsidRDefault="00000000" w:rsidP="00915C8D">
      <w:pPr>
        <w:pStyle w:val="BodyText"/>
        <w:spacing w:before="0" w:after="0" w:line="240" w:lineRule="auto"/>
      </w:pPr>
      <w:r>
        <w:rPr>
          <w:vertAlign w:val="superscript"/>
        </w:rPr>
        <w:t>a</w:t>
      </w:r>
      <w:r>
        <w:t xml:space="preserve">Mean of the annual point estimates and the lower and upper 95% credible intervals. </w:t>
      </w:r>
    </w:p>
    <w:p w14:paraId="62274642" w14:textId="48F90D17" w:rsidR="00E80F9C" w:rsidRDefault="00000000" w:rsidP="00915C8D">
      <w:pPr>
        <w:pStyle w:val="BodyText"/>
        <w:spacing w:before="0" w:after="0" w:line="240" w:lineRule="auto"/>
      </w:pPr>
      <w:r>
        <w:rPr>
          <w:vertAlign w:val="superscript"/>
        </w:rPr>
        <w:t>b</w:t>
      </w:r>
      <w:r>
        <w:t>Represents a binned value range from a choropleth map.</w:t>
      </w:r>
    </w:p>
    <w:p w14:paraId="17BF33B0" w14:textId="77777777" w:rsidR="00E80F9C" w:rsidRDefault="00000000">
      <w:pPr>
        <w:pStyle w:val="BodyText"/>
      </w:pPr>
      <w:r>
        <w:t>Cross-validation of the GAM loading models indicated that GAMs performed well on average at predicting daily nutrient loading values. The variance in scores was very high indicating subsets of values were problematic at characterizing functional relationships between nutrients and predictors. Because all of the water quality data for these two locations in the TCEQ databases were ambient water quality data, collected to be representative of typical flow conditions, there were few data at the highest portions of the flow-duration curve. It was beyond the scope of the current study to evaluate the subsets of cross-validation data and scores. However, the cross-validation procedure is indicative that more robust sampling would be beneficial for reducing prediction variance. Supplementary flow-biased monitoring targeting storm- or high-flow conditions is recommended here to improve the precision of GAM predictions [21,22].</w:t>
      </w:r>
    </w:p>
    <w:p w14:paraId="1D2E9505" w14:textId="77777777" w:rsidR="00E80F9C" w:rsidRDefault="00000000">
      <w:pPr>
        <w:pStyle w:val="BodyText"/>
      </w:pPr>
      <w:r>
        <w:t>The non-linear temporal water quality trends identified using GAMs differed slightly from previously identified trends [3]. This is not unexpected due to the different time periods, different methodology, and generally small slopes identified for most of the significant water quality parameters in prior work. The trend in DO and cholorophyll-</w:t>
      </w:r>
      <w:r>
        <w:rPr>
          <w:i/>
          <w:iCs/>
        </w:rPr>
        <w:t>a</w:t>
      </w:r>
      <w:r>
        <w:t xml:space="preserve"> concentrations are stable in comparison to other Texas estuaries that are facing larger demands for freshwater diversions, </w:t>
      </w:r>
      <w:r>
        <w:lastRenderedPageBreak/>
        <w:t>higher population growth, and more intense agricultural production [3,4]. The trend of increasing NO</w:t>
      </w:r>
      <w:r>
        <w:rPr>
          <w:i/>
          <w:iCs/>
          <w:vertAlign w:val="subscript"/>
        </w:rPr>
        <w:t>x</w:t>
      </w:r>
      <w:r>
        <w:t xml:space="preserve"> concentration at the upper-bay TCEQ-13563 site and recent increases in TKN concentration at the mid-bay TCEQ-13383 site are concerning due to the nitrogen limitation identified in many Texas estuaries [5,10–13] and the relatively low ambient concentrations observed in Lavaca Bay.</w:t>
      </w:r>
    </w:p>
    <w:p w14:paraId="1F17AF7E" w14:textId="77777777" w:rsidR="00E80F9C" w:rsidRDefault="00000000">
      <w:pPr>
        <w:pStyle w:val="BodyText"/>
      </w:pPr>
      <w:r>
        <w:t>The strong positive effect of freshwater inflow on NO</w:t>
      </w:r>
      <w:r>
        <w:rPr>
          <w:i/>
          <w:iCs/>
          <w:vertAlign w:val="subscript"/>
        </w:rPr>
        <w:t>x</w:t>
      </w:r>
      <w:r>
        <w:t>, TKN, and TP are suggestive of nonpoint watershed sources, consistent with watershed uses and with other studies relating freshwater inflow with nutrient concentrations in Lavaca Bay and other estuaries [8,47–50]. Inflow had a non-linear relationship with TKN at the two upstream sites, with TKN increasing as freshwater inflow transitioned from low to moderate levels. At higher freshwater inflows, the effect was attenuated, possibly indicating a flushing effect at higher freshwater inflow. No relationship between TKN and freshwater inflow were observed at TCEQ-13384 located in the lower reach of Lavaca Bay. Tidal flushing from Matagorda Bay could be responsible for diluting TKN and acting as a control on the effects of freshwater inflow in lower reaches of Lavaca Bay. Previous work suggests the processing of organic loads in the upper portions of Lavaca Bay mgiht reduce the transport of nutrients into the lower reaches of the Bay [47].</w:t>
      </w:r>
    </w:p>
    <w:p w14:paraId="6AB443F8" w14:textId="77777777" w:rsidR="00E80F9C" w:rsidRDefault="00000000">
      <w:pPr>
        <w:pStyle w:val="BodyText"/>
      </w:pPr>
      <w:r>
        <w:t>Freshwater inflow had a strong positive effect on chlorophyll-</w:t>
      </w:r>
      <w:r>
        <w:rPr>
          <w:i/>
          <w:iCs/>
        </w:rPr>
        <w:t>a</w:t>
      </w:r>
      <w:r>
        <w:t xml:space="preserve"> at the upper- and mid-bay sites. The upper-bay site, TCEQ-13563, showed decreases in chlorophyll-</w:t>
      </w:r>
      <w:r>
        <w:rPr>
          <w:i/>
          <w:iCs/>
        </w:rPr>
        <w:t>a</w:t>
      </w:r>
      <w:r>
        <w:t xml:space="preserve"> at the highest freshwater inflow volumes. Freshwater flushing or increases in turbidity are associated with decreases in chlorophyll-</w:t>
      </w:r>
      <w:r>
        <w:rPr>
          <w:i/>
          <w:iCs/>
        </w:rPr>
        <w:t>a</w:t>
      </w:r>
      <w:r>
        <w:t xml:space="preserve"> in other estuaries [49,51]. No relationships between inorganic nitrogen or TP loadings with chlorophyll-</w:t>
      </w:r>
      <w:r>
        <w:rPr>
          <w:i/>
          <w:iCs/>
        </w:rPr>
        <w:t>a</w:t>
      </w:r>
      <w:r>
        <w:t xml:space="preserve"> were observed. Due to the lack of TKN loading information, no assessment between organic nitrogen loads and chlorophyll-</w:t>
      </w:r>
      <w:r>
        <w:rPr>
          <w:i/>
          <w:iCs/>
        </w:rPr>
        <w:t>a</w:t>
      </w:r>
      <w:r>
        <w:t xml:space="preserve"> were possible.</w:t>
      </w:r>
    </w:p>
    <w:p w14:paraId="20A08113" w14:textId="77777777" w:rsidR="00E80F9C" w:rsidRDefault="00000000">
      <w:pPr>
        <w:pStyle w:val="BodyText"/>
      </w:pPr>
      <w:r>
        <w:t>Although other studies have identified complex relationships between estuary nutrient concentrations, nutrient loading and chlorophyll-</w:t>
      </w:r>
      <w:r>
        <w:rPr>
          <w:i/>
          <w:iCs/>
        </w:rPr>
        <w:t>a</w:t>
      </w:r>
      <w:r>
        <w:t xml:space="preserve"> concentrations in Texas estuaries </w:t>
      </w:r>
      <w:r>
        <w:lastRenderedPageBreak/>
        <w:t>[12,50,52,53], this study specifically used flow-adjusted freshwater derived nutrient loads to parse out contributions from changes in nutrient loadings while accounting for variations in load due to flow. Loading GAMs indicated no evidence of changes in flow-normalized TP loads in either river, and no changes in flow-normalized NO</w:t>
      </w:r>
      <w:r>
        <w:rPr>
          <w:vertAlign w:val="subscript"/>
        </w:rPr>
        <w:t>3</w:t>
      </w:r>
      <w:r>
        <w:t xml:space="preserve"> loads in the Navidad River. The small changes in flow-normalized NO</w:t>
      </w:r>
      <w:r>
        <w:rPr>
          <w:vertAlign w:val="subscript"/>
        </w:rPr>
        <w:t>3</w:t>
      </w:r>
      <w:r>
        <w:t xml:space="preserve"> loads in the Lavaca River are probably masked under most conditions by discharge from the Navidad River. Given the relatively small variation in flow-normalized loads, it can be expected that they would contribute little to the variance in downstream water quality.</w:t>
      </w:r>
    </w:p>
    <w:p w14:paraId="488472AB" w14:textId="77777777" w:rsidR="00E80F9C" w:rsidRDefault="00000000">
      <w:pPr>
        <w:pStyle w:val="BodyText"/>
      </w:pPr>
      <w:r>
        <w:t>GAMs did not identify responses in DO concentration to inflows or nutrient loads. The seasonality term in the temporal GAM models explained a substantial amount of DO variation at all of the sites. Responses of estuary metabolic processes and resulting DO concentrations can be quite complicated and often locally specific [54]. While the lack of total nitrogen or TKN loading data hinders interpretation, the large seasonal effect on DO suggests physical factors play an important role and should be included in future models. Prior work suggests that Lavaca Bay may not be limited by nutrients alone, with high turbidity or nutrient processing in upper portions of the Bay or intertidal river limiting production [47]. Finally, it is reasonable to assume that fluctuations in DO may not occur immediately in response to nutrient pulses or freshwater inflow. Work has has shown that various water quality parameters may have lagged effects lasting days or even months following storms and large discharge events [55–58]. However, our work only evaluates responses to loading and inflows occuring the day of water quality observations.</w:t>
      </w:r>
    </w:p>
    <w:p w14:paraId="1C2FEFE0" w14:textId="77777777" w:rsidR="00E80F9C" w:rsidRDefault="00000000">
      <w:pPr>
        <w:pStyle w:val="Heading1"/>
      </w:pPr>
      <w:bookmarkStart w:id="31" w:name="conclusion"/>
      <w:bookmarkEnd w:id="29"/>
      <w:r>
        <w:lastRenderedPageBreak/>
        <w:t>Conclusion</w:t>
      </w:r>
    </w:p>
    <w:p w14:paraId="76123179" w14:textId="77777777" w:rsidR="00E80F9C" w:rsidRDefault="00000000">
      <w:pPr>
        <w:pStyle w:val="FirstParagraph"/>
      </w:pPr>
      <w:r>
        <w:t>GAM models appear to provide reliable estimates of nutrient loads in the Lavaca Bay watershed. However, additional flow-biased data collection efforts would decrease the prediction variance and improve accuracy at critical high flow events. Ongoing projects will fill data gaps for total nitrogen and TKN loading. This study, consistent with others along the Texas coast, found strong effects of freshwater flow on nutrient and chlorophyll-</w:t>
      </w:r>
      <w:r>
        <w:rPr>
          <w:i/>
          <w:iCs/>
        </w:rPr>
        <w:t>a</w:t>
      </w:r>
      <w:r>
        <w:t xml:space="preserve"> concentrations. DO concentrations, dominated by seasonal effects, did not show strong direct responses to freshwater flow. Small variance in flow-adjusted nutrient loads indicates that (1) there have been limited changes in non-point sources of nutrients and (2) that there isn’t strong evidence that those small changes have had effects on chlorophyll-</w:t>
      </w:r>
      <w:r>
        <w:rPr>
          <w:i/>
          <w:iCs/>
        </w:rPr>
        <w:t>a</w:t>
      </w:r>
      <w:r>
        <w:t xml:space="preserve"> or dissolved oxygen in Lavaca Bay. Although the study did not identify strong responses to changes in nutrient loading, this does provide a baseline assessment for future water quality management activities in the watershed.</w:t>
      </w:r>
    </w:p>
    <w:p w14:paraId="3300EBA4" w14:textId="77777777" w:rsidR="00E80F9C" w:rsidRDefault="00000000">
      <w:pPr>
        <w:pStyle w:val="Heading1"/>
      </w:pPr>
      <w:bookmarkStart w:id="32" w:name="acknowledgements"/>
      <w:bookmarkEnd w:id="31"/>
      <w:r>
        <w:t>Acknowledgements</w:t>
      </w:r>
    </w:p>
    <w:p w14:paraId="455CAFA5" w14:textId="77777777" w:rsidR="00E80F9C" w:rsidRDefault="00000000">
      <w:pPr>
        <w:pStyle w:val="FirstParagraph"/>
      </w:pPr>
      <w:r>
        <w:t>The author extends thanks to Dr. Mike Wetz (Harte Research Institute, Texas A&amp;M Corpus Christi), Chad Kinsfather and Patrick Brzozowski (Lavaca-Navidad River Authority), Brian Koch (Texas State Soil and Water Conservation Board), Bill Balboa (Matagorda Bay Foundation), Jason Pinchbeck (Texas General Land Office) and the Lavaca Bay Foundation for supporting development of this project and providing valuable project feedback.</w:t>
      </w:r>
    </w:p>
    <w:p w14:paraId="0FCB2835" w14:textId="77777777" w:rsidR="00E80F9C" w:rsidRDefault="00000000">
      <w:pPr>
        <w:pStyle w:val="Heading1"/>
      </w:pPr>
      <w:bookmarkStart w:id="33" w:name="references"/>
      <w:bookmarkEnd w:id="32"/>
      <w:r>
        <w:t>References</w:t>
      </w:r>
    </w:p>
    <w:p w14:paraId="7FD235DE" w14:textId="77777777" w:rsidR="00E80F9C" w:rsidRDefault="00000000">
      <w:pPr>
        <w:pStyle w:val="Bibliography"/>
      </w:pPr>
      <w:bookmarkStart w:id="34" w:name="ref-bricker_effects_2008"/>
      <w:bookmarkStart w:id="35" w:name="refs"/>
      <w:r>
        <w:t xml:space="preserve">1. </w:t>
      </w:r>
      <w:r>
        <w:tab/>
        <w:t>Bricker SB, Longstaff B, Dennison W, Jones A, Boicourt K, Wicks C, et al. Effects of nutrient enrichment in the nation’s estuaries: A decade of change. Harmful Algae. 2008;8: 21–32. doi:</w:t>
      </w:r>
      <w:hyperlink r:id="rId8">
        <w:r>
          <w:rPr>
            <w:rStyle w:val="Hyperlink"/>
          </w:rPr>
          <w:t>10.1016/j.hal.2008.08.028</w:t>
        </w:r>
      </w:hyperlink>
    </w:p>
    <w:p w14:paraId="3E6983D4" w14:textId="77777777" w:rsidR="00E80F9C" w:rsidRDefault="00000000">
      <w:pPr>
        <w:pStyle w:val="Bibliography"/>
      </w:pPr>
      <w:bookmarkStart w:id="36" w:name="ref-kennicuttWaterQualityGulf2017"/>
      <w:bookmarkEnd w:id="34"/>
      <w:r>
        <w:lastRenderedPageBreak/>
        <w:t xml:space="preserve">2. </w:t>
      </w:r>
      <w:r>
        <w:tab/>
        <w:t>Kennicutt MC. Water Quality of the Gulf of Mexico. In: Ward CH, editor. Habitats and Biota of the Gulf of Mexico: Before the Deepwater Horizon Oil Spill. New York, NY: Springer New York; 2017. pp. 55–164. doi:</w:t>
      </w:r>
      <w:hyperlink r:id="rId9">
        <w:r>
          <w:rPr>
            <w:rStyle w:val="Hyperlink"/>
          </w:rPr>
          <w:t>10.1007/978-1-4939-3447-8_2</w:t>
        </w:r>
      </w:hyperlink>
    </w:p>
    <w:p w14:paraId="70F3315B" w14:textId="77777777" w:rsidR="00E80F9C" w:rsidRDefault="00000000">
      <w:pPr>
        <w:pStyle w:val="Bibliography"/>
      </w:pPr>
      <w:bookmarkStart w:id="37" w:name="ref-bugica_water_2020"/>
      <w:bookmarkEnd w:id="36"/>
      <w:r>
        <w:t xml:space="preserve">3. </w:t>
      </w:r>
      <w:r>
        <w:tab/>
        <w:t>Bugica K, Sterba-Boatwright B, Wetz MS. Water quality trends in Texas estuaries. Marine Pollution Bulletin. 2020;152: 110903. doi:</w:t>
      </w:r>
      <w:hyperlink r:id="rId10">
        <w:r>
          <w:rPr>
            <w:rStyle w:val="Hyperlink"/>
          </w:rPr>
          <w:t>10.1016/j.marpolbul.2020.110903</w:t>
        </w:r>
      </w:hyperlink>
    </w:p>
    <w:p w14:paraId="3CB96BFE" w14:textId="77777777" w:rsidR="00E80F9C" w:rsidRDefault="00000000">
      <w:pPr>
        <w:pStyle w:val="Bibliography"/>
      </w:pPr>
      <w:bookmarkStart w:id="38" w:name="ref-wetzWaterQualityDynamics2016"/>
      <w:bookmarkEnd w:id="37"/>
      <w:r>
        <w:t xml:space="preserve">4. </w:t>
      </w:r>
      <w:r>
        <w:tab/>
        <w:t>Wetz MS, Hayes KC, Fisher KVB, Price L, Sterba-Boatwright B. Water quality dynamics in an urbanizing subtropical estuary(Oso Bay, Texas). Marine Pollution Bulletin. 2016;104: 44–53. doi:</w:t>
      </w:r>
      <w:hyperlink r:id="rId11">
        <w:r>
          <w:rPr>
            <w:rStyle w:val="Hyperlink"/>
          </w:rPr>
          <w:t>10.1016/j.marpolbul.2016.02.013</w:t>
        </w:r>
      </w:hyperlink>
    </w:p>
    <w:p w14:paraId="3070B389" w14:textId="77777777" w:rsidR="00E80F9C" w:rsidRDefault="00000000">
      <w:pPr>
        <w:pStyle w:val="Bibliography"/>
      </w:pPr>
      <w:bookmarkStart w:id="39" w:name="ref-wetz_exceptionally_2017"/>
      <w:bookmarkEnd w:id="38"/>
      <w:r>
        <w:t xml:space="preserve">5. </w:t>
      </w:r>
      <w:r>
        <w:tab/>
        <w:t>Wetz MS, Cira EK, Sterba-Boatwright B, Montagna PA, Palmer TA, Hayes KC. Exceptionally high organic nitrogen concentrations in a semi-arid South Texas estuary susceptible to brown tide blooms. Estuarine, Coastal and Shelf Science. 2017;188: 27–37. doi:</w:t>
      </w:r>
      <w:hyperlink r:id="rId12">
        <w:r>
          <w:rPr>
            <w:rStyle w:val="Hyperlink"/>
          </w:rPr>
          <w:t>10.1016/j.ecss.2017.02.001</w:t>
        </w:r>
      </w:hyperlink>
    </w:p>
    <w:p w14:paraId="6EA45473" w14:textId="77777777" w:rsidR="00E80F9C" w:rsidRDefault="00000000">
      <w:pPr>
        <w:pStyle w:val="Bibliography"/>
      </w:pPr>
      <w:bookmarkStart w:id="40" w:name="X53cf5a5bba33d9da77da763a2745845c7a103e9"/>
      <w:bookmarkEnd w:id="39"/>
      <w:r>
        <w:t xml:space="preserve">6. </w:t>
      </w:r>
      <w:r>
        <w:tab/>
        <w:t>Chin T, Beecraft L, Wetz MS. Phytoplankton biomass and community composition in three Texas estuaries differing in freshwater inflow regime. Estuarine, Coastal and Shelf Science. 2022;277: 108059. doi:</w:t>
      </w:r>
      <w:hyperlink r:id="rId13">
        <w:r>
          <w:rPr>
            <w:rStyle w:val="Hyperlink"/>
          </w:rPr>
          <w:t>10.1016/j.ecss.2022.108059</w:t>
        </w:r>
      </w:hyperlink>
    </w:p>
    <w:p w14:paraId="3148BD22" w14:textId="77777777" w:rsidR="00E80F9C" w:rsidRDefault="00000000">
      <w:pPr>
        <w:pStyle w:val="Bibliography"/>
      </w:pPr>
      <w:bookmarkStart w:id="41" w:name="X933afeb8202f449a77a0a231e80f2f32cdf12b7"/>
      <w:bookmarkEnd w:id="40"/>
      <w:r>
        <w:t xml:space="preserve">7. </w:t>
      </w:r>
      <w:r>
        <w:tab/>
        <w:t>Beseres Pollack J, Palmer T, Montagna P. Long-term trends in the response of benthic macrofauna to climate variability in the Lavaca-Colorado Estuary, Texas. Marine Ecology Progress Series. 2011;436: 67–80. doi:</w:t>
      </w:r>
      <w:hyperlink r:id="rId14">
        <w:r>
          <w:rPr>
            <w:rStyle w:val="Hyperlink"/>
          </w:rPr>
          <w:t>10.3354/meps09267</w:t>
        </w:r>
      </w:hyperlink>
    </w:p>
    <w:p w14:paraId="4E8C96D8" w14:textId="77777777" w:rsidR="00E80F9C" w:rsidRDefault="00000000">
      <w:pPr>
        <w:pStyle w:val="Bibliography"/>
      </w:pPr>
      <w:bookmarkStart w:id="42" w:name="ref-palmerImpactsDroughtsLow2015"/>
      <w:bookmarkEnd w:id="41"/>
      <w:r>
        <w:t xml:space="preserve">8. </w:t>
      </w:r>
      <w:r>
        <w:tab/>
        <w:t>Palmer TA, Montagna PA. Impacts of droughts and low flows on estuarine water quality and benthic fauna. Hydrobiologia. 2015;753: 111–129. doi:</w:t>
      </w:r>
      <w:hyperlink r:id="rId15">
        <w:r>
          <w:rPr>
            <w:rStyle w:val="Hyperlink"/>
          </w:rPr>
          <w:t>10.1007/s10750-015-2200-x</w:t>
        </w:r>
      </w:hyperlink>
    </w:p>
    <w:p w14:paraId="0283BFFA" w14:textId="77777777" w:rsidR="00E80F9C" w:rsidRDefault="00000000">
      <w:pPr>
        <w:pStyle w:val="Bibliography"/>
      </w:pPr>
      <w:bookmarkStart w:id="43" w:name="X0edfcde45eacb493639fc1125510ccb920392e7"/>
      <w:bookmarkEnd w:id="42"/>
      <w:r>
        <w:t xml:space="preserve">9. </w:t>
      </w:r>
      <w:r>
        <w:tab/>
        <w:t xml:space="preserve">Montagna PA, Cockett PM, Kurr EM, Trungale J. Assessment of the Relationship Between Freshwater Inflow and Biological Indicators in Lavaca Bay. Corpus Christi, Texas: Harte Research Institute, Texas A&amp;M University-Corpus Christi; 2020 p. 115. Report No.: Contract # 1800012268. </w:t>
      </w:r>
    </w:p>
    <w:p w14:paraId="136895B1" w14:textId="77777777" w:rsidR="00E80F9C" w:rsidRDefault="00000000">
      <w:pPr>
        <w:pStyle w:val="Bibliography"/>
      </w:pPr>
      <w:bookmarkStart w:id="44" w:name="X48f28226067abffcb85028a4ec84e39f8bf543e"/>
      <w:bookmarkEnd w:id="43"/>
      <w:r>
        <w:t xml:space="preserve">10. </w:t>
      </w:r>
      <w:r>
        <w:tab/>
        <w:t>Gardner WS, McCarthy MJ, An S, Sobolev D, Sell KS, Brock D. Nitrogen fixation and dissimilatory nitrate reduction to ammonium (DNRA) support nitrogen dynamics in Texas estuaries. Limnology and Oceanography. 2006;51: 558–568. doi:</w:t>
      </w:r>
      <w:hyperlink r:id="rId16">
        <w:r>
          <w:rPr>
            <w:rStyle w:val="Hyperlink"/>
          </w:rPr>
          <w:t>10.4319/lo.2006.51.1_part_2.0558</w:t>
        </w:r>
      </w:hyperlink>
    </w:p>
    <w:p w14:paraId="2E435FCD" w14:textId="77777777" w:rsidR="00E80F9C" w:rsidRDefault="00000000">
      <w:pPr>
        <w:pStyle w:val="Bibliography"/>
      </w:pPr>
      <w:bookmarkStart w:id="45" w:name="ref-houTransformationFateNitrate2012"/>
      <w:bookmarkEnd w:id="44"/>
      <w:r>
        <w:t xml:space="preserve">11. </w:t>
      </w:r>
      <w:r>
        <w:tab/>
        <w:t>Hou L, Liu M, Carini SA, Gardner WS. Transformation and fate of nitrate near the sedimentwater interface of Copano Bay. Continental Shelf Research. 2012;35: 86–94. doi:</w:t>
      </w:r>
      <w:hyperlink r:id="rId17">
        <w:r>
          <w:rPr>
            <w:rStyle w:val="Hyperlink"/>
          </w:rPr>
          <w:t>10.1016/j.csr.2012.01.004</w:t>
        </w:r>
      </w:hyperlink>
    </w:p>
    <w:p w14:paraId="69BF044D" w14:textId="77777777" w:rsidR="00E80F9C" w:rsidRDefault="00000000">
      <w:pPr>
        <w:pStyle w:val="Bibliography"/>
      </w:pPr>
      <w:bookmarkStart w:id="46" w:name="Xa36ac6d7130c0953a3f5ed85a323f0b0e2f0d20"/>
      <w:bookmarkEnd w:id="45"/>
      <w:r>
        <w:t xml:space="preserve">12. </w:t>
      </w:r>
      <w:r>
        <w:tab/>
        <w:t>Dorado S, Booe T, Steichen J, McInnes AS, Windham R, Shepard A, et al. Towards an Understanding of the Interactions between Freshwater Inflows and Phytoplankton Communities in a Subtropical Estuary in the Gulf of Mexico. Lin S, editor. PLOS ONE. 2015;10: e0130931. doi:</w:t>
      </w:r>
      <w:hyperlink r:id="rId18">
        <w:r>
          <w:rPr>
            <w:rStyle w:val="Hyperlink"/>
          </w:rPr>
          <w:t>10.1371/journal.pone.0130931</w:t>
        </w:r>
      </w:hyperlink>
    </w:p>
    <w:p w14:paraId="6014ED17" w14:textId="77777777" w:rsidR="00E80F9C" w:rsidRDefault="00000000">
      <w:pPr>
        <w:pStyle w:val="Bibliography"/>
      </w:pPr>
      <w:bookmarkStart w:id="47" w:name="Xd911ab3a17bbfda78453d30fe49d8d1b6a54fd9"/>
      <w:bookmarkEnd w:id="46"/>
      <w:r>
        <w:t xml:space="preserve">13. </w:t>
      </w:r>
      <w:r>
        <w:tab/>
        <w:t>Paudel B, Montagna PA, Adams L. The relationship between suspended solids and nutrients with variable hydrologic flow regimes. Regional Studies in Marine Science. 2019;29: 100657. doi:</w:t>
      </w:r>
      <w:hyperlink r:id="rId19">
        <w:r>
          <w:rPr>
            <w:rStyle w:val="Hyperlink"/>
          </w:rPr>
          <w:t>10.1016/j.rsma.2019.100657</w:t>
        </w:r>
      </w:hyperlink>
    </w:p>
    <w:p w14:paraId="1DD87382" w14:textId="77777777" w:rsidR="00E80F9C" w:rsidRDefault="00000000">
      <w:pPr>
        <w:pStyle w:val="Bibliography"/>
      </w:pPr>
      <w:bookmarkStart w:id="48" w:name="ref-jainTechnicalSupportDocument2021"/>
      <w:bookmarkEnd w:id="47"/>
      <w:r>
        <w:lastRenderedPageBreak/>
        <w:t xml:space="preserve">14. </w:t>
      </w:r>
      <w:r>
        <w:tab/>
        <w:t xml:space="preserve">Jain S, Schramm MP. Technical Support Document for One Total Maximum Daily Load for Indicator Bacteria in Lavaca River Above Tidal. Austin, Texas: Texas Commission on Environmental Quality; 2021. Report No.: AS-221. Available: </w:t>
      </w:r>
      <w:hyperlink r:id="rId20">
        <w:r>
          <w:rPr>
            <w:rStyle w:val="Hyperlink"/>
          </w:rPr>
          <w:t>https://www.tceq.texas.gov/downloads/water-quality/tmdl/lavaca-river-above-tidal-rocky-creek-recreational-108/108-lavaca-river-addendum-tsd-2021-october-as-221.pdf</w:t>
        </w:r>
      </w:hyperlink>
    </w:p>
    <w:p w14:paraId="13D40823" w14:textId="77777777" w:rsidR="00E80F9C" w:rsidRDefault="00000000">
      <w:pPr>
        <w:pStyle w:val="Bibliography"/>
      </w:pPr>
      <w:bookmarkStart w:id="49" w:name="ref-schramm_lavaca_2018"/>
      <w:bookmarkEnd w:id="48"/>
      <w:r>
        <w:t xml:space="preserve">15. </w:t>
      </w:r>
      <w:r>
        <w:tab/>
        <w:t xml:space="preserve">Schramm MP, Berthold A, Entwistle C, Peddicord K. Lavaca River Watershed Protection Plan. College Station, Texas: Texas Water Resources Institute; 2018. Report No.: TR-507. Available: </w:t>
      </w:r>
      <w:hyperlink r:id="rId21">
        <w:r>
          <w:rPr>
            <w:rStyle w:val="Hyperlink"/>
          </w:rPr>
          <w:t>https://twri.tamu.edu/media/1456/tr-507.pdf</w:t>
        </w:r>
      </w:hyperlink>
    </w:p>
    <w:p w14:paraId="4848EC40" w14:textId="77777777" w:rsidR="00E80F9C" w:rsidRDefault="00000000">
      <w:pPr>
        <w:pStyle w:val="Bibliography"/>
      </w:pPr>
      <w:bookmarkStart w:id="50" w:name="ref-bertholdDirectMailingEducation2021"/>
      <w:bookmarkEnd w:id="49"/>
      <w:r>
        <w:t xml:space="preserve">16. </w:t>
      </w:r>
      <w:r>
        <w:tab/>
        <w:t>Berthold TA, Olsovsky T, Schramm MP. Direct mailing education campaign impacts on the adoption of grazing management practices. Journal of Contemporary Water Research &amp; Education. 2021; 45–60. doi:</w:t>
      </w:r>
      <w:hyperlink r:id="rId22">
        <w:r>
          <w:rPr>
            <w:rStyle w:val="Hyperlink"/>
          </w:rPr>
          <w:t>10.1111/j.1936-704X.2021.3360.x</w:t>
        </w:r>
      </w:hyperlink>
    </w:p>
    <w:p w14:paraId="309C1C4E" w14:textId="77777777" w:rsidR="00E80F9C" w:rsidRDefault="00000000">
      <w:pPr>
        <w:pStyle w:val="Bibliography"/>
      </w:pPr>
      <w:bookmarkStart w:id="51" w:name="ref-schrammTotalMaximumDaily2022"/>
      <w:bookmarkEnd w:id="50"/>
      <w:r>
        <w:t xml:space="preserve">17. </w:t>
      </w:r>
      <w:r>
        <w:tab/>
        <w:t xml:space="preserve">Schramm MP, Gitter A, Gregory L. Total Maximum Daily Loads and </w:t>
      </w:r>
      <w:r>
        <w:rPr>
          <w:i/>
          <w:iCs/>
        </w:rPr>
        <w:t>Escherichia</w:t>
      </w:r>
      <w:r>
        <w:t xml:space="preserve"> </w:t>
      </w:r>
      <w:r>
        <w:rPr>
          <w:i/>
          <w:iCs/>
        </w:rPr>
        <w:t>Coli</w:t>
      </w:r>
      <w:r>
        <w:t xml:space="preserve"> trends in Texas freshwater streams. Journal of Contemporary Water Research &amp; Education. 2022; 36–49. doi:</w:t>
      </w:r>
      <w:hyperlink r:id="rId23">
        <w:r>
          <w:rPr>
            <w:rStyle w:val="Hyperlink"/>
          </w:rPr>
          <w:t>10.1111/j.1936-704X.2022.3374.x</w:t>
        </w:r>
      </w:hyperlink>
    </w:p>
    <w:p w14:paraId="6FF6B9FE" w14:textId="77777777" w:rsidR="00E80F9C" w:rsidRDefault="00000000">
      <w:pPr>
        <w:pStyle w:val="Bibliography"/>
      </w:pPr>
      <w:bookmarkStart w:id="52" w:name="ref-wazniakLinkingWaterQuality2007"/>
      <w:bookmarkEnd w:id="51"/>
      <w:r>
        <w:t xml:space="preserve">18. </w:t>
      </w:r>
      <w:r>
        <w:tab/>
        <w:t>Wazniak CE, Hall MR, Carruthers TJB, Sturgis B, Dennison WC, Orth RJ. Linking water quality to living resources in a Mid-Atlantic lagoon system, USA. Ecological Applications. 2007;17: S64–S78. doi:</w:t>
      </w:r>
      <w:hyperlink r:id="rId24">
        <w:r>
          <w:rPr>
            <w:rStyle w:val="Hyperlink"/>
          </w:rPr>
          <w:t>10.1890/05-1554.1</w:t>
        </w:r>
      </w:hyperlink>
    </w:p>
    <w:p w14:paraId="674A476C" w14:textId="77777777" w:rsidR="00E80F9C" w:rsidRDefault="00000000">
      <w:pPr>
        <w:pStyle w:val="Bibliography"/>
      </w:pPr>
      <w:bookmarkStart w:id="53" w:name="ref-lloydMethodsDetectingChange2014"/>
      <w:bookmarkEnd w:id="52"/>
      <w:r>
        <w:t xml:space="preserve">19. </w:t>
      </w:r>
      <w:r>
        <w:tab/>
        <w:t>Lloyd CEM, Freer JE, Collins AL, Johnes PJ, Jones JI. Methods for detecting change in hydrochemical time series in response to targeted pollutant mitigation in river catchments. Journal of Hydrology. 2014;514: 297–312. doi:</w:t>
      </w:r>
      <w:hyperlink r:id="rId25">
        <w:r>
          <w:rPr>
            <w:rStyle w:val="Hyperlink"/>
          </w:rPr>
          <w:t>10.1016/j.jhydrol.2014.04.036</w:t>
        </w:r>
      </w:hyperlink>
    </w:p>
    <w:p w14:paraId="27A2E7B5" w14:textId="77777777" w:rsidR="00E80F9C" w:rsidRDefault="00000000">
      <w:pPr>
        <w:pStyle w:val="Bibliography"/>
      </w:pPr>
      <w:bookmarkStart w:id="54" w:name="X710fec2cc08e9a2e30913de55e1704672d759b2"/>
      <w:bookmarkEnd w:id="53"/>
      <w:r>
        <w:t xml:space="preserve">20. </w:t>
      </w:r>
      <w:r>
        <w:tab/>
        <w:t>De Cicco LA, Hirsch RM, Lorenz DL, Watkins WD, Johnson M. dataRetrieval: R packages for discovering and retrieving water data available from Federal hydrologic web services. Reston, VA: U.S. Geological Survey; 2022. doi:</w:t>
      </w:r>
      <w:hyperlink r:id="rId26">
        <w:r>
          <w:rPr>
            <w:rStyle w:val="Hyperlink"/>
          </w:rPr>
          <w:t>10.5066/P9X4L3GE</w:t>
        </w:r>
      </w:hyperlink>
    </w:p>
    <w:p w14:paraId="2F9FCCB1" w14:textId="77777777" w:rsidR="00E80F9C" w:rsidRDefault="00000000">
      <w:pPr>
        <w:pStyle w:val="Bibliography"/>
      </w:pPr>
      <w:bookmarkStart w:id="55" w:name="ref-horowitzEvaluationSedimentRating2003"/>
      <w:bookmarkEnd w:id="54"/>
      <w:r>
        <w:t xml:space="preserve">21. </w:t>
      </w:r>
      <w:r>
        <w:tab/>
        <w:t>Horowitz AJ. An evaluation of sediment rating curves for estimating suspended sediment concentrations for subsequent flux calculations. Hydrological Processes. 2003;17: 3387–3409. doi:</w:t>
      </w:r>
      <w:hyperlink r:id="rId27">
        <w:r>
          <w:rPr>
            <w:rStyle w:val="Hyperlink"/>
          </w:rPr>
          <w:t>10.1002/hyp.1299</w:t>
        </w:r>
      </w:hyperlink>
    </w:p>
    <w:p w14:paraId="207C7626" w14:textId="77777777" w:rsidR="00E80F9C" w:rsidRDefault="00000000">
      <w:pPr>
        <w:pStyle w:val="Bibliography"/>
      </w:pPr>
      <w:bookmarkStart w:id="56" w:name="X6c09fd21a2197dc2645be7fb29c8db92396a863"/>
      <w:bookmarkEnd w:id="55"/>
      <w:r>
        <w:t xml:space="preserve">22. </w:t>
      </w:r>
      <w:r>
        <w:tab/>
        <w:t>Snelder TH, McDowell RW, Fraser CE. Estimation of Catchment Nutrient Loads in New Zealand Using Monthly Water Quality Monitoring Data. JAWRA Journal of the American Water Resources Association. 2017;53: 158–178. doi:</w:t>
      </w:r>
      <w:hyperlink r:id="rId28">
        <w:r>
          <w:rPr>
            <w:rStyle w:val="Hyperlink"/>
          </w:rPr>
          <w:t>10.1111/1752-1688.12492</w:t>
        </w:r>
      </w:hyperlink>
    </w:p>
    <w:p w14:paraId="61CD4D18" w14:textId="77777777" w:rsidR="00E80F9C" w:rsidRDefault="00000000">
      <w:pPr>
        <w:pStyle w:val="Bibliography"/>
      </w:pPr>
      <w:bookmarkStart w:id="57" w:name="ref-cohn_validity_1992"/>
      <w:bookmarkEnd w:id="56"/>
      <w:r>
        <w:t xml:space="preserve">23. </w:t>
      </w:r>
      <w:r>
        <w:tab/>
        <w:t>Cohn TA, Caulder DL, Gilroy EJ, Zynjuk LD, Summers RM. The validity of a simple statistical model for estimating fluvial constituent loads: An Empirical study involving nutrient loads entering Chesapeake Bay. Water Resources Research. 1992;28: 2353–2363. doi:</w:t>
      </w:r>
      <w:hyperlink r:id="rId29">
        <w:r>
          <w:rPr>
            <w:rStyle w:val="Hyperlink"/>
          </w:rPr>
          <w:t>10.1029/92WR01008</w:t>
        </w:r>
      </w:hyperlink>
    </w:p>
    <w:p w14:paraId="1C1381E4" w14:textId="77777777" w:rsidR="00E80F9C" w:rsidRDefault="00000000">
      <w:pPr>
        <w:pStyle w:val="Bibliography"/>
      </w:pPr>
      <w:bookmarkStart w:id="58" w:name="ref-hirsch_weighted_2010"/>
      <w:bookmarkEnd w:id="57"/>
      <w:r>
        <w:t xml:space="preserve">24. </w:t>
      </w:r>
      <w:r>
        <w:tab/>
        <w:t>Hirsch RM, Moyer DL, Archfield SA. Weighted Regressions on Time, Discharge, and Season (WRTDS), with an Application to Chesapeake Bay River Inputs. JAWRA Journal of the American Water Resources Association. 2010;46: 857–880. doi:</w:t>
      </w:r>
      <w:hyperlink r:id="rId30">
        <w:r>
          <w:rPr>
            <w:rStyle w:val="Hyperlink"/>
          </w:rPr>
          <w:t>10.1111/j.1752-1688.2010.00482.x</w:t>
        </w:r>
      </w:hyperlink>
    </w:p>
    <w:p w14:paraId="336AB815" w14:textId="77777777" w:rsidR="00E80F9C" w:rsidRDefault="00000000">
      <w:pPr>
        <w:pStyle w:val="Bibliography"/>
      </w:pPr>
      <w:bookmarkStart w:id="59" w:name="ref-wangLoadEstimationUncertainties2011"/>
      <w:bookmarkEnd w:id="58"/>
      <w:r>
        <w:lastRenderedPageBreak/>
        <w:t xml:space="preserve">25. </w:t>
      </w:r>
      <w:r>
        <w:tab/>
        <w:t>Wang Y-G, Kuhnert P, Henderson B. Load estimation with uncertainties from opportunistic sampling data  A semiparametric approach. Journal of Hydrology. 2011;396: 148–157. doi:</w:t>
      </w:r>
      <w:hyperlink r:id="rId31">
        <w:r>
          <w:rPr>
            <w:rStyle w:val="Hyperlink"/>
          </w:rPr>
          <w:t>10.1016/j.jhydrol.2010.11.003</w:t>
        </w:r>
      </w:hyperlink>
    </w:p>
    <w:p w14:paraId="2024D692" w14:textId="77777777" w:rsidR="00E80F9C" w:rsidRDefault="00000000">
      <w:pPr>
        <w:pStyle w:val="Bibliography"/>
      </w:pPr>
      <w:bookmarkStart w:id="60" w:name="ref-kroonRiverLoadsSuspended2012"/>
      <w:bookmarkEnd w:id="59"/>
      <w:r>
        <w:t xml:space="preserve">26. </w:t>
      </w:r>
      <w:r>
        <w:tab/>
        <w:t>Kroon FJ, Kuhnert PM, Henderson BL, Wilkinson SN, Kinsey-Henderson A, Abbott B, et al. River loads of suspended solids, nitrogen, phosphorus and herbicides delivered to the Great Barrier Reef lagoon. Marine Pollution Bulletin. 2012;65: 167–181. doi:</w:t>
      </w:r>
      <w:hyperlink r:id="rId32">
        <w:r>
          <w:rPr>
            <w:rStyle w:val="Hyperlink"/>
          </w:rPr>
          <w:t>10.1016/j.marpolbul.2011.10.018</w:t>
        </w:r>
      </w:hyperlink>
    </w:p>
    <w:p w14:paraId="404869D1" w14:textId="14BF9EF1" w:rsidR="00E80F9C" w:rsidRDefault="00000000">
      <w:pPr>
        <w:pStyle w:val="Bibliography"/>
      </w:pPr>
      <w:bookmarkStart w:id="61" w:name="ref-kuhnert_quantifying_2012"/>
      <w:bookmarkEnd w:id="60"/>
      <w:r>
        <w:t xml:space="preserve">27. </w:t>
      </w:r>
      <w:r>
        <w:tab/>
        <w:t>Kuhnert PM, Henderson BL, Lewis SE, Bainbridge ZT, Wilkinson SN, Brodie JE. uantifying total suspended sediment export from the Burdekin River catchment using the loads regression estimator tool. Water Resources Research. 2012;48. doi:</w:t>
      </w:r>
      <w:hyperlink r:id="rId33">
        <w:r>
          <w:rPr>
            <w:rStyle w:val="Hyperlink"/>
          </w:rPr>
          <w:t>10.1029/2011WR011080</w:t>
        </w:r>
      </w:hyperlink>
    </w:p>
    <w:p w14:paraId="35105B68" w14:textId="77777777" w:rsidR="00E80F9C" w:rsidRDefault="00000000">
      <w:pPr>
        <w:pStyle w:val="Bibliography"/>
      </w:pPr>
      <w:bookmarkStart w:id="62" w:name="ref-robson_prediction_2015-1"/>
      <w:bookmarkEnd w:id="61"/>
      <w:r>
        <w:t xml:space="preserve">28. </w:t>
      </w:r>
      <w:r>
        <w:tab/>
        <w:t>Robson BJ, Dourdet V. Prediction of sediment, particulate nutrient and dissolved nutrient concentrations in a dry tropical river to provide input to a mechanistic coastal water quality model. Environmental Modelling &amp; Software. 2015;63: 97–108. doi:</w:t>
      </w:r>
      <w:hyperlink r:id="rId34">
        <w:r>
          <w:rPr>
            <w:rStyle w:val="Hyperlink"/>
          </w:rPr>
          <w:t>10.1016/j.envsoft.2014.08.009</w:t>
        </w:r>
      </w:hyperlink>
    </w:p>
    <w:p w14:paraId="4F8F6E83" w14:textId="77777777" w:rsidR="00E80F9C" w:rsidRDefault="00000000">
      <w:pPr>
        <w:pStyle w:val="Bibliography"/>
      </w:pPr>
      <w:bookmarkStart w:id="63" w:name="X0cf7cacab557eaa11896a18f6e2f13564119159"/>
      <w:bookmarkEnd w:id="62"/>
      <w:r>
        <w:t xml:space="preserve">29. </w:t>
      </w:r>
      <w:r>
        <w:tab/>
        <w:t>Hagemann M, Asce SM, Kim D, Park MH. Estimating Nutrient and Organic Carbon Loads to Water-Supply Reservoir Using Semiparametric Models. J Environ Eng. 2016; 9. doi:</w:t>
      </w:r>
      <w:hyperlink r:id="rId35">
        <w:r>
          <w:rPr>
            <w:rStyle w:val="Hyperlink"/>
          </w:rPr>
          <w:t>10.1061/(ASCE)EE.1943-7870.0001077</w:t>
        </w:r>
      </w:hyperlink>
    </w:p>
    <w:p w14:paraId="4C8F673D" w14:textId="77777777" w:rsidR="00E80F9C" w:rsidRDefault="00000000">
      <w:pPr>
        <w:pStyle w:val="Bibliography"/>
      </w:pPr>
      <w:bookmarkStart w:id="64" w:name="ref-mcdowell_implications_2021"/>
      <w:bookmarkEnd w:id="63"/>
      <w:r>
        <w:t xml:space="preserve">30. </w:t>
      </w:r>
      <w:r>
        <w:tab/>
        <w:t>McDowell RW, Simpson ZP, Ausseil AG, Etheridge Z, Law R. The implications of lag times between nitrate leaching losses and riverine loads for water quality policy. Scientific Reports. 2021;11: 16450. doi:</w:t>
      </w:r>
      <w:hyperlink r:id="rId36">
        <w:r>
          <w:rPr>
            <w:rStyle w:val="Hyperlink"/>
          </w:rPr>
          <w:t>10.1038/s41598-021-95302-1</w:t>
        </w:r>
      </w:hyperlink>
    </w:p>
    <w:p w14:paraId="34786C39" w14:textId="77777777" w:rsidR="00E80F9C" w:rsidRDefault="00000000">
      <w:pPr>
        <w:pStyle w:val="Bibliography"/>
      </w:pPr>
      <w:bookmarkStart w:id="65" w:name="ref-biagi_novel_2022"/>
      <w:bookmarkEnd w:id="64"/>
      <w:r>
        <w:t xml:space="preserve">31. </w:t>
      </w:r>
      <w:r>
        <w:tab/>
        <w:t>Biagi KM, Ross CA, Oswald CJ, Sorichetti RJ, Thomas JL, Wellen CC. Novel predictors related to hysteresis and baseflow improve predictions of watershed nutrient loads: An example from Ontario’s lower Great Lakes basin. Science of The Total Environment. 2022;826: 154023. doi:</w:t>
      </w:r>
      <w:hyperlink r:id="rId37">
        <w:r>
          <w:rPr>
            <w:rStyle w:val="Hyperlink"/>
          </w:rPr>
          <w:t>10.1016/j.scitotenv.2022.154023</w:t>
        </w:r>
      </w:hyperlink>
    </w:p>
    <w:p w14:paraId="0ADC911D" w14:textId="77777777" w:rsidR="00E80F9C" w:rsidRDefault="00000000">
      <w:pPr>
        <w:pStyle w:val="Bibliography"/>
      </w:pPr>
      <w:bookmarkStart w:id="66" w:name="ref-wood_fast_2011"/>
      <w:bookmarkEnd w:id="65"/>
      <w:r>
        <w:t xml:space="preserve">32. </w:t>
      </w:r>
      <w:r>
        <w:tab/>
        <w:t>Wood SN. Fast stable restricted maximum likelihood and marginal likelihood estimation of semiparametric generalized linear models: Estimation of Semiparametric Generalized Linear Models. Journal of the Royal Statistical Society: Series B (Statistical Methodology). 2011;73: 3–36. doi:</w:t>
      </w:r>
      <w:hyperlink r:id="rId38">
        <w:r>
          <w:rPr>
            <w:rStyle w:val="Hyperlink"/>
          </w:rPr>
          <w:t>10.1111/j.1467-9868.2010.00749.x</w:t>
        </w:r>
      </w:hyperlink>
    </w:p>
    <w:p w14:paraId="4AB7C72C" w14:textId="77777777" w:rsidR="00E80F9C" w:rsidRDefault="00000000">
      <w:pPr>
        <w:pStyle w:val="Bibliography"/>
      </w:pPr>
      <w:bookmarkStart w:id="67" w:name="X1fc50e745b270a3dfdcdc4d4c41a3cccbb995ce"/>
      <w:bookmarkEnd w:id="66"/>
      <w:r>
        <w:t xml:space="preserve">33. </w:t>
      </w:r>
      <w:r>
        <w:tab/>
        <w:t>Beck MW, Murphy RR. Numerical and qualitative contrasts of two statistical models for water quality change in tidal waters. JAWRA Journal of the American Water Resources Association. 2017;53: 197–219. doi:</w:t>
      </w:r>
      <w:hyperlink r:id="rId39">
        <w:r>
          <w:rPr>
            <w:rStyle w:val="Hyperlink"/>
          </w:rPr>
          <w:t>10.1111/1752-1688.12489</w:t>
        </w:r>
      </w:hyperlink>
    </w:p>
    <w:p w14:paraId="0760C153" w14:textId="77777777" w:rsidR="00E80F9C" w:rsidRDefault="00000000">
      <w:pPr>
        <w:pStyle w:val="Bibliography"/>
      </w:pPr>
      <w:bookmarkStart w:id="68" w:name="ref-zhang_improving_2017"/>
      <w:bookmarkEnd w:id="67"/>
      <w:r>
        <w:t xml:space="preserve">34. </w:t>
      </w:r>
      <w:r>
        <w:tab/>
        <w:t>Zhang Q, Ball WP. Improving riverine constituent concentration and flux estimation by accounting for antecedent discharge conditions. Journal of Hydrology. 2017;547: 387–402. doi:</w:t>
      </w:r>
      <w:hyperlink r:id="rId40">
        <w:r>
          <w:rPr>
            <w:rStyle w:val="Hyperlink"/>
          </w:rPr>
          <w:t>10.1016/j.jhydrol.2016.12.052</w:t>
        </w:r>
      </w:hyperlink>
    </w:p>
    <w:p w14:paraId="25E53491" w14:textId="77777777" w:rsidR="00E80F9C" w:rsidRDefault="00000000">
      <w:pPr>
        <w:pStyle w:val="Bibliography"/>
      </w:pPr>
      <w:bookmarkStart w:id="69" w:name="ref-vecchia_trends_2009"/>
      <w:bookmarkEnd w:id="68"/>
      <w:r>
        <w:t xml:space="preserve">35. </w:t>
      </w:r>
      <w:r>
        <w:tab/>
        <w:t>Vecchia AV, Gilliom RJ, Sullivan DJ, Lorenz DL, Martin JD. Trends in Concentrations and Use of Agricultural Herbicides for Corn Belt Rivers, 1996-2006. Environmental Science &amp; Technology. 2009;43: 9096–9102. doi:</w:t>
      </w:r>
      <w:hyperlink r:id="rId41">
        <w:r>
          <w:rPr>
            <w:rStyle w:val="Hyperlink"/>
          </w:rPr>
          <w:t>10.1021/es902122j</w:t>
        </w:r>
      </w:hyperlink>
    </w:p>
    <w:p w14:paraId="651E66FB" w14:textId="77777777" w:rsidR="00E80F9C" w:rsidRDefault="00000000">
      <w:pPr>
        <w:pStyle w:val="Bibliography"/>
      </w:pPr>
      <w:bookmarkStart w:id="70" w:name="X8ec623c2fee08d5753a0b492ce7b23f53a19c6b"/>
      <w:bookmarkEnd w:id="69"/>
      <w:r>
        <w:lastRenderedPageBreak/>
        <w:t xml:space="preserve">36. </w:t>
      </w:r>
      <w:r>
        <w:tab/>
        <w:t>Hornung RW, Reed LD. Estimation of average concentration in the presence of nondetectable values. Applied Occupational and Environmental Hygiene. 1990;5: 46–51. doi:</w:t>
      </w:r>
      <w:hyperlink r:id="rId42">
        <w:r>
          <w:rPr>
            <w:rStyle w:val="Hyperlink"/>
          </w:rPr>
          <w:t>10.1080/1047322X.1990.10389587</w:t>
        </w:r>
      </w:hyperlink>
    </w:p>
    <w:p w14:paraId="5A618FE3" w14:textId="77777777" w:rsidR="00E80F9C" w:rsidRDefault="00000000">
      <w:pPr>
        <w:pStyle w:val="Bibliography"/>
      </w:pPr>
      <w:bookmarkStart w:id="71" w:name="Xbee6785a34fd6c28ffd7294cc6fe226bb297749"/>
      <w:bookmarkEnd w:id="70"/>
      <w:r>
        <w:t xml:space="preserve">37. </w:t>
      </w:r>
      <w:r>
        <w:tab/>
        <w:t>Wood SN. On confidence intervals for generalized additive models based on penalized regression splines. Australian &amp; New Zealand Journal of Statistics. 2006;48: 445–464. doi:</w:t>
      </w:r>
      <w:hyperlink r:id="rId43">
        <w:r>
          <w:rPr>
            <w:rStyle w:val="Hyperlink"/>
          </w:rPr>
          <w:t>10.1111/j.1467-842X.2006.00450.x</w:t>
        </w:r>
      </w:hyperlink>
    </w:p>
    <w:p w14:paraId="6BD9D619" w14:textId="77777777" w:rsidR="00E80F9C" w:rsidRDefault="00000000">
      <w:pPr>
        <w:pStyle w:val="Bibliography"/>
      </w:pPr>
      <w:bookmarkStart w:id="72" w:name="X552591017ca0a31a301af7bfb70e3469e9ca597"/>
      <w:bookmarkEnd w:id="71"/>
      <w:r>
        <w:t xml:space="preserve">38. </w:t>
      </w:r>
      <w:r>
        <w:tab/>
        <w:t>Marra G, Wood SN. Coverage properties of confidence intervals for Generalized Additive Model components: Coverage properties of GAM intervals. Scandinavian Journal of Statistics. 2012;39: 53–74. doi:</w:t>
      </w:r>
      <w:hyperlink r:id="rId44">
        <w:r>
          <w:rPr>
            <w:rStyle w:val="Hyperlink"/>
          </w:rPr>
          <w:t>10.1111/j.1467-9469.2011.00760.x</w:t>
        </w:r>
      </w:hyperlink>
    </w:p>
    <w:p w14:paraId="1EF766BC" w14:textId="77777777" w:rsidR="00E80F9C" w:rsidRDefault="00000000">
      <w:pPr>
        <w:pStyle w:val="Bibliography"/>
      </w:pPr>
      <w:bookmarkStart w:id="73" w:name="ref-burmanComparativeStudyOrdinary1989"/>
      <w:bookmarkEnd w:id="72"/>
      <w:r>
        <w:t xml:space="preserve">39. </w:t>
      </w:r>
      <w:r>
        <w:tab/>
        <w:t>Burman P. A comparative study of ordinary cross-validation, v-fold cross-validation and the repeated learning-testing methods. Biometrika. 1989;76: 503–514. doi:</w:t>
      </w:r>
      <w:hyperlink r:id="rId45">
        <w:r>
          <w:rPr>
            <w:rStyle w:val="Hyperlink"/>
          </w:rPr>
          <w:t>10.1093/biomet/76.3.503</w:t>
        </w:r>
      </w:hyperlink>
    </w:p>
    <w:p w14:paraId="142CF245" w14:textId="77777777" w:rsidR="00E80F9C" w:rsidRDefault="00000000">
      <w:pPr>
        <w:pStyle w:val="Bibliography"/>
      </w:pPr>
      <w:bookmarkStart w:id="74" w:name="X2ea7a31272e2eaf30b5805da13a2a366df05f9c"/>
      <w:bookmarkEnd w:id="73"/>
      <w:r>
        <w:t xml:space="preserve">40. </w:t>
      </w:r>
      <w:r>
        <w:tab/>
        <w:t>Murphy RR, Keisman J, Harcum J, Karrh RR, Lane M, Perry ES, et al. Nutrient improvements in Chesapeake Bay: Direct effect of load reductions and implications for coastal management. Environmental Science &amp; Technology. 2022;56: 260–270. doi:</w:t>
      </w:r>
      <w:hyperlink r:id="rId46">
        <w:r>
          <w:rPr>
            <w:rStyle w:val="Hyperlink"/>
          </w:rPr>
          <w:t>10.1021/acs.est.1c05388</w:t>
        </w:r>
      </w:hyperlink>
    </w:p>
    <w:p w14:paraId="1B570ED8" w14:textId="77777777" w:rsidR="00E80F9C" w:rsidRDefault="00000000">
      <w:pPr>
        <w:pStyle w:val="Bibliography"/>
      </w:pPr>
      <w:bookmarkStart w:id="75" w:name="ref-burnhamAICModelSelection2011"/>
      <w:bookmarkEnd w:id="74"/>
      <w:r>
        <w:t xml:space="preserve">41. </w:t>
      </w:r>
      <w:r>
        <w:tab/>
        <w:t>Burnham KP, Anderson DR, Huyvaert KP. AIC model selection and multimodel inference in behavioral ecology: Some background, observations, and comparisons. Behavioral Ecology and Sociobiology. 2011;65: 23–35. doi:</w:t>
      </w:r>
      <w:hyperlink r:id="rId47">
        <w:r>
          <w:rPr>
            <w:rStyle w:val="Hyperlink"/>
          </w:rPr>
          <w:t>10.1007/s00265-010-1029-6</w:t>
        </w:r>
      </w:hyperlink>
    </w:p>
    <w:p w14:paraId="75E13CC6" w14:textId="77777777" w:rsidR="00E80F9C" w:rsidRDefault="00000000">
      <w:pPr>
        <w:pStyle w:val="Bibliography"/>
      </w:pPr>
      <w:bookmarkStart w:id="76" w:name="ref-moriasiHydrologicWaterQuality2015"/>
      <w:bookmarkEnd w:id="75"/>
      <w:r>
        <w:t xml:space="preserve">42. </w:t>
      </w:r>
      <w:r>
        <w:tab/>
        <w:t>Moriasi DN, Gitau MW, Pai N, Daggupati P. Hydrologic and water quality models: Performance measures and evaluation criteria. Transactions of the ASABE. 2015;58: 1763–1785. doi:</w:t>
      </w:r>
      <w:hyperlink r:id="rId48">
        <w:r>
          <w:rPr>
            <w:rStyle w:val="Hyperlink"/>
          </w:rPr>
          <w:t>10.13031/trans.58.10715</w:t>
        </w:r>
      </w:hyperlink>
    </w:p>
    <w:p w14:paraId="5CE55CA2" w14:textId="77777777" w:rsidR="00E80F9C" w:rsidRDefault="00000000">
      <w:pPr>
        <w:pStyle w:val="Bibliography"/>
      </w:pPr>
      <w:bookmarkStart w:id="77" w:name="ref-dunnTrendsNutrientInflows1996"/>
      <w:bookmarkEnd w:id="76"/>
      <w:r>
        <w:t xml:space="preserve">43. </w:t>
      </w:r>
      <w:r>
        <w:tab/>
        <w:t>Dunn D. Trends in nutrient inflows to the Gulf of Mexico from streams draining the conterminous United States, 1972-93. Austin, Texas: USGS; 1996. Report No.: 96-4113. doi:</w:t>
      </w:r>
      <w:hyperlink r:id="rId49">
        <w:r>
          <w:rPr>
            <w:rStyle w:val="Hyperlink"/>
          </w:rPr>
          <w:t>10.3133/wri964113</w:t>
        </w:r>
      </w:hyperlink>
    </w:p>
    <w:p w14:paraId="661F917C" w14:textId="77777777" w:rsidR="00E80F9C" w:rsidRDefault="00000000">
      <w:pPr>
        <w:pStyle w:val="Bibliography"/>
      </w:pPr>
      <w:bookmarkStart w:id="78" w:name="ref-rebich_sources_2011"/>
      <w:bookmarkEnd w:id="77"/>
      <w:r>
        <w:t xml:space="preserve">44. </w:t>
      </w:r>
      <w:r>
        <w:tab/>
        <w:t>Rebich RA, Houston NA, Mize SV, Pearson DK, Ging PB, Evan Hornig C. Sources and delivery of nutrients to the Northwestern Gulf of Mexico from streams in the South-Central United States. JAWRA Journal of the American Water Resources Association. 2011;47: 1061–1086. doi:</w:t>
      </w:r>
      <w:hyperlink r:id="rId50">
        <w:r>
          <w:rPr>
            <w:rStyle w:val="Hyperlink"/>
          </w:rPr>
          <w:t>10.1111/j.1752-1688.2011.00583.x</w:t>
        </w:r>
      </w:hyperlink>
    </w:p>
    <w:p w14:paraId="641D2BB2" w14:textId="77777777" w:rsidR="00E80F9C" w:rsidRDefault="00000000">
      <w:pPr>
        <w:pStyle w:val="Bibliography"/>
      </w:pPr>
      <w:bookmarkStart w:id="79" w:name="ref-omaniEstimationSedimentNutrient2014"/>
      <w:bookmarkEnd w:id="78"/>
      <w:r>
        <w:t xml:space="preserve">45. </w:t>
      </w:r>
      <w:r>
        <w:tab/>
        <w:t>Omani N, Srinivasan R, Lee T. Estimation of sediment and nutrient loads to bays from gauged and ungauged watersheds. Applied Engineering in Agriculture. 2014; 869–887. doi:</w:t>
      </w:r>
      <w:hyperlink r:id="rId51">
        <w:r>
          <w:rPr>
            <w:rStyle w:val="Hyperlink"/>
          </w:rPr>
          <w:t>10.13031/aea.30.10162</w:t>
        </w:r>
      </w:hyperlink>
    </w:p>
    <w:p w14:paraId="4E2229D9" w14:textId="77777777" w:rsidR="00E80F9C" w:rsidRDefault="00000000">
      <w:pPr>
        <w:pStyle w:val="Bibliography"/>
      </w:pPr>
      <w:bookmarkStart w:id="80" w:name="ref-wise_spatially_2019"/>
      <w:bookmarkEnd w:id="79"/>
      <w:r>
        <w:t xml:space="preserve">46. </w:t>
      </w:r>
      <w:r>
        <w:tab/>
        <w:t>Wise DR, Anning DW, Miller OW. Spatially referenced models of streamflow and nitrogen, phosphorus, and suspended-sediment transport in streams of the southwestern United States. Reston, Virginia: U.S. Geological Survey; 2019 p. 66. Report No.: 2019-5106. doi:</w:t>
      </w:r>
      <w:hyperlink r:id="rId52">
        <w:r>
          <w:rPr>
            <w:rStyle w:val="Hyperlink"/>
          </w:rPr>
          <w:t>10.3133/sir20195106</w:t>
        </w:r>
      </w:hyperlink>
    </w:p>
    <w:p w14:paraId="0FAC500A" w14:textId="77777777" w:rsidR="00E80F9C" w:rsidRDefault="00000000">
      <w:pPr>
        <w:pStyle w:val="Bibliography"/>
      </w:pPr>
      <w:bookmarkStart w:id="81" w:name="ref-russell_effect_2006"/>
      <w:bookmarkEnd w:id="80"/>
      <w:r>
        <w:lastRenderedPageBreak/>
        <w:t xml:space="preserve">47. </w:t>
      </w:r>
      <w:r>
        <w:tab/>
        <w:t>Russell MJ, Montagna PA, Kalke RD. The effect of freshwater inflow on net ecosystem metabolism in Lavaca Bay, Texas. Estuarine, Coastal and Shelf Science. 2006;68: 231–244. doi:</w:t>
      </w:r>
      <w:hyperlink r:id="rId53">
        <w:r>
          <w:rPr>
            <w:rStyle w:val="Hyperlink"/>
          </w:rPr>
          <w:t>10.1016/j.ecss.2006.02.005</w:t>
        </w:r>
      </w:hyperlink>
    </w:p>
    <w:p w14:paraId="608739D1" w14:textId="77777777" w:rsidR="00E80F9C" w:rsidRDefault="00000000">
      <w:pPr>
        <w:pStyle w:val="Bibliography"/>
      </w:pPr>
      <w:bookmarkStart w:id="82" w:name="ref-caffreyHighNutrientPulses2007"/>
      <w:bookmarkEnd w:id="81"/>
      <w:r>
        <w:t xml:space="preserve">48. </w:t>
      </w:r>
      <w:r>
        <w:tab/>
        <w:t>Caffrey JM, Chapin TP, Jannasch HW, Haskins JC. High nutrient pulses, tidal mixing and biological response in a small California estuary: Variability in nutrient concentrations from decadal to hourly time scales. Estuarine, Coastal and Shelf Science. 2007;71: 368–380. doi:</w:t>
      </w:r>
      <w:hyperlink r:id="rId54">
        <w:r>
          <w:rPr>
            <w:rStyle w:val="Hyperlink"/>
          </w:rPr>
          <w:t>10.1016/j.ecss.2006.08.015</w:t>
        </w:r>
      </w:hyperlink>
    </w:p>
    <w:p w14:paraId="3EC1EAE1" w14:textId="77777777" w:rsidR="00E80F9C" w:rsidRDefault="00000000">
      <w:pPr>
        <w:pStyle w:val="Bibliography"/>
      </w:pPr>
      <w:bookmarkStart w:id="83" w:name="X1d6488d6e573b69766d68ee43c936fbce91dbb2"/>
      <w:bookmarkEnd w:id="82"/>
      <w:r>
        <w:t xml:space="preserve">49. </w:t>
      </w:r>
      <w:r>
        <w:tab/>
        <w:t>Peierls BL, Hall NS, Paerl HW. Non-monotonic responses of phytoplankton biomass accumulation to hydrologic variability: A comparison of two coastal plain North Carolina estuaries. Estuaries and Coasts. 2012;35: 1376–1392. doi:</w:t>
      </w:r>
      <w:hyperlink r:id="rId55">
        <w:r>
          <w:rPr>
            <w:rStyle w:val="Hyperlink"/>
          </w:rPr>
          <w:t>10.1007/s12237-012-9547-2</w:t>
        </w:r>
      </w:hyperlink>
    </w:p>
    <w:p w14:paraId="305C9F6B" w14:textId="77777777" w:rsidR="00E80F9C" w:rsidRDefault="00000000">
      <w:pPr>
        <w:pStyle w:val="Bibliography"/>
      </w:pPr>
      <w:bookmarkStart w:id="84" w:name="Xa505e13a7d1d4f31ad5d40f319e060880e5d5bf"/>
      <w:bookmarkEnd w:id="83"/>
      <w:r>
        <w:t xml:space="preserve">50. </w:t>
      </w:r>
      <w:r>
        <w:tab/>
        <w:t>Cira EK, Palmer TA, Wetz MS. Phytoplankton dynamics in a low-inflow estuary (Baffin Bay, TX) during drought and high-rainfall conditions associated with an El Niño Event. Estuaries and Coasts. 2021;44: 1752–1764. doi:</w:t>
      </w:r>
      <w:hyperlink r:id="rId56">
        <w:r>
          <w:rPr>
            <w:rStyle w:val="Hyperlink"/>
          </w:rPr>
          <w:t>10.1007/s12237-021-00904-7</w:t>
        </w:r>
      </w:hyperlink>
    </w:p>
    <w:p w14:paraId="6C5C9200" w14:textId="77777777" w:rsidR="00E80F9C" w:rsidRDefault="00000000">
      <w:pPr>
        <w:pStyle w:val="Bibliography"/>
      </w:pPr>
      <w:bookmarkStart w:id="85" w:name="Xf6e9319f823d2fcaec1e54721ab5a89e6b792de"/>
      <w:bookmarkEnd w:id="84"/>
      <w:r>
        <w:t xml:space="preserve">51. </w:t>
      </w:r>
      <w:r>
        <w:tab/>
        <w:t>Cloern JE, Foster SQ, Kleckner AE. Phytoplankton primary production in the world’s estuarine-coastal ecosystems. Biogeosciences. 2014;11: 2477–2501. doi:</w:t>
      </w:r>
      <w:hyperlink r:id="rId57">
        <w:r>
          <w:rPr>
            <w:rStyle w:val="Hyperlink"/>
          </w:rPr>
          <w:t>10.5194/bg-11-2477-2014</w:t>
        </w:r>
      </w:hyperlink>
    </w:p>
    <w:p w14:paraId="365A0ACD" w14:textId="77777777" w:rsidR="00E80F9C" w:rsidRDefault="00000000">
      <w:pPr>
        <w:pStyle w:val="Bibliography"/>
      </w:pPr>
      <w:bookmarkStart w:id="86" w:name="X86083adbff62218e9b445583a7280624cf55c8a"/>
      <w:bookmarkEnd w:id="85"/>
      <w:r>
        <w:t xml:space="preserve">52. </w:t>
      </w:r>
      <w:r>
        <w:tab/>
        <w:t>Örnólfsdóttir EB, Lumsden SE, Pinckney JL. Nutrient pulsing as a regulator of phytoplankton abundance and community composition in Galveston Bay, Texas. Journal of Experimental Marine Biology and Ecology. 2004;303: 197–220. doi:</w:t>
      </w:r>
      <w:hyperlink r:id="rId58">
        <w:r>
          <w:rPr>
            <w:rStyle w:val="Hyperlink"/>
          </w:rPr>
          <w:t>10.1016/j.jembe.2003.11.016</w:t>
        </w:r>
      </w:hyperlink>
    </w:p>
    <w:p w14:paraId="375D3D9B" w14:textId="77777777" w:rsidR="00E80F9C" w:rsidRDefault="00000000">
      <w:pPr>
        <w:pStyle w:val="Bibliography"/>
      </w:pPr>
      <w:bookmarkStart w:id="87" w:name="X651429a2a0aded033eab73f79c3df02ec08487e"/>
      <w:bookmarkEnd w:id="86"/>
      <w:r>
        <w:t xml:space="preserve">53. </w:t>
      </w:r>
      <w:r>
        <w:tab/>
        <w:t>Tominack SA, Wetz MS. Variability in phytoplankton biomass and community composition in Corpus Christi Bay, Texas. Estuaries and Coasts. 2022. doi:</w:t>
      </w:r>
      <w:hyperlink r:id="rId59">
        <w:r>
          <w:rPr>
            <w:rStyle w:val="Hyperlink"/>
          </w:rPr>
          <w:t>10.1007/s12237-022-01137-y</w:t>
        </w:r>
      </w:hyperlink>
    </w:p>
    <w:p w14:paraId="0F1122B4" w14:textId="77777777" w:rsidR="00E80F9C" w:rsidRDefault="00000000">
      <w:pPr>
        <w:pStyle w:val="Bibliography"/>
      </w:pPr>
      <w:bookmarkStart w:id="88" w:name="ref-caffreyFactorsControllingNet2004"/>
      <w:bookmarkEnd w:id="87"/>
      <w:r>
        <w:t xml:space="preserve">54. </w:t>
      </w:r>
      <w:r>
        <w:tab/>
        <w:t>Caffrey JM. Factors controlling net ecosystem metabolism in U.S. estuaries. Estuaries. 2004;27: 90–101. doi:</w:t>
      </w:r>
      <w:hyperlink r:id="rId60">
        <w:r>
          <w:rPr>
            <w:rStyle w:val="Hyperlink"/>
          </w:rPr>
          <w:t>10.1007/BF02803563</w:t>
        </w:r>
      </w:hyperlink>
    </w:p>
    <w:p w14:paraId="1F6CFA22" w14:textId="77777777" w:rsidR="00E80F9C" w:rsidRDefault="00000000">
      <w:pPr>
        <w:pStyle w:val="Bibliography"/>
      </w:pPr>
      <w:bookmarkStart w:id="89" w:name="ref-mooney_watershed_2012"/>
      <w:bookmarkEnd w:id="88"/>
      <w:r>
        <w:t xml:space="preserve">55. </w:t>
      </w:r>
      <w:r>
        <w:tab/>
        <w:t>Mooney RF, McClelland JW. Watershed export events and ecosystem responses in the Mission-Aransas National Estuarine Research Reserve, South Texas. Estuaries and Coasts. 2012;35: 1468–1485. doi:</w:t>
      </w:r>
      <w:hyperlink r:id="rId61">
        <w:r>
          <w:rPr>
            <w:rStyle w:val="Hyperlink"/>
          </w:rPr>
          <w:t>10.1007/s12237-012-9537-4</w:t>
        </w:r>
      </w:hyperlink>
    </w:p>
    <w:p w14:paraId="32C49A4F" w14:textId="77777777" w:rsidR="00E80F9C" w:rsidRDefault="00000000">
      <w:pPr>
        <w:pStyle w:val="Bibliography"/>
      </w:pPr>
      <w:bookmarkStart w:id="90" w:name="ref-wetzExtremeFutureEstuaries2013"/>
      <w:bookmarkEnd w:id="89"/>
      <w:r>
        <w:t xml:space="preserve">56. </w:t>
      </w:r>
      <w:r>
        <w:tab/>
        <w:t>Wetz MS, Yoskowitz DW. An “extreme” future for estuaries? Effects of extreme climatic events on estuarine water quality and ecology. Marine Pollution Bulletin. 2013;69: 7–18. doi:</w:t>
      </w:r>
      <w:hyperlink r:id="rId62">
        <w:r>
          <w:rPr>
            <w:rStyle w:val="Hyperlink"/>
          </w:rPr>
          <w:t>10.1016/j.marpolbul.2013.01.020</w:t>
        </w:r>
      </w:hyperlink>
    </w:p>
    <w:p w14:paraId="3B6085C4" w14:textId="77777777" w:rsidR="00E80F9C" w:rsidRDefault="00000000">
      <w:pPr>
        <w:pStyle w:val="Bibliography"/>
      </w:pPr>
      <w:bookmarkStart w:id="91" w:name="ref-bukaveckas_influence_2020"/>
      <w:bookmarkEnd w:id="90"/>
      <w:r>
        <w:t xml:space="preserve">57. </w:t>
      </w:r>
      <w:r>
        <w:tab/>
        <w:t>Bukaveckas PA, Tassone S, Lee W, Franklin RB. The influence of storm events on metabolism and water quality of riverine and estuarine segments of the James, Mattaponi, and Pamunkey Rivers. Estuaries and Coasts. 2020;43: 1585–1602. doi:</w:t>
      </w:r>
      <w:hyperlink r:id="rId63">
        <w:r>
          <w:rPr>
            <w:rStyle w:val="Hyperlink"/>
          </w:rPr>
          <w:t>10.1007/s12237-020-00819-9</w:t>
        </w:r>
      </w:hyperlink>
    </w:p>
    <w:p w14:paraId="00F88B78" w14:textId="77777777" w:rsidR="00E80F9C" w:rsidRDefault="00000000">
      <w:pPr>
        <w:pStyle w:val="Bibliography"/>
      </w:pPr>
      <w:bookmarkStart w:id="92" w:name="ref-walkerTimescalesMagnitudeWater2021"/>
      <w:bookmarkEnd w:id="91"/>
      <w:r>
        <w:t xml:space="preserve">58. </w:t>
      </w:r>
      <w:r>
        <w:tab/>
        <w:t>Walker LM, Montagna PA, Hu X, Wetz MS. Timescales and magnitude of water quality change in three Texas estuaries induced by passage of Hurricane Harvey. Estuaries and Coasts. 2021;44: 960–971. doi:</w:t>
      </w:r>
      <w:hyperlink r:id="rId64">
        <w:r>
          <w:rPr>
            <w:rStyle w:val="Hyperlink"/>
          </w:rPr>
          <w:t>10.1007/s12237-020-00846-6</w:t>
        </w:r>
      </w:hyperlink>
      <w:bookmarkEnd w:id="33"/>
      <w:bookmarkEnd w:id="35"/>
      <w:bookmarkEnd w:id="92"/>
    </w:p>
    <w:sectPr w:rsidR="00E80F9C" w:rsidSect="00775D8B">
      <w:footerReference w:type="default" r:id="rId65"/>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1C07C" w14:textId="77777777" w:rsidR="000D591B" w:rsidRDefault="000D591B">
      <w:pPr>
        <w:spacing w:after="0"/>
      </w:pPr>
      <w:r>
        <w:separator/>
      </w:r>
    </w:p>
  </w:endnote>
  <w:endnote w:type="continuationSeparator" w:id="0">
    <w:p w14:paraId="4B2E1F38" w14:textId="77777777" w:rsidR="000D591B" w:rsidRDefault="000D59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nion Pro">
    <w:panose1 w:val="02040503050201020203"/>
    <w:charset w:val="00"/>
    <w:family w:val="roman"/>
    <w:notTrueType/>
    <w:pitch w:val="variable"/>
    <w:sig w:usb0="6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EB Garamond">
    <w:charset w:val="00"/>
    <w:family w:val="auto"/>
    <w:pitch w:val="variable"/>
    <w:sig w:usb0="E00002FF" w:usb1="02000413" w:usb2="00000000" w:usb3="00000000" w:csb0="0000019F" w:csb1="00000000"/>
  </w:font>
  <w:font w:name="STIX Two Math">
    <w:panose1 w:val="02020603050405020304"/>
    <w:charset w:val="00"/>
    <w:family w:val="roman"/>
    <w:pitch w:val="variable"/>
    <w:sig w:usb0="A0002AFF" w:usb1="4000FDFF" w:usb2="0200002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142197"/>
      <w:docPartObj>
        <w:docPartGallery w:val="Page Numbers (Bottom of Page)"/>
        <w:docPartUnique/>
      </w:docPartObj>
    </w:sdtPr>
    <w:sdtEndPr>
      <w:rPr>
        <w:noProof/>
      </w:rPr>
    </w:sdtEndPr>
    <w:sdtContent>
      <w:p w14:paraId="7402A2C3" w14:textId="77777777" w:rsidR="00B760BE"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2B01D0" w14:textId="77777777" w:rsidR="00013622"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255D3" w14:textId="77777777" w:rsidR="000D591B" w:rsidRDefault="000D591B">
      <w:r>
        <w:separator/>
      </w:r>
    </w:p>
  </w:footnote>
  <w:footnote w:type="continuationSeparator" w:id="0">
    <w:p w14:paraId="7ADAA4F3" w14:textId="77777777" w:rsidR="000D591B" w:rsidRDefault="000D59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F9C"/>
    <w:rsid w:val="000D591B"/>
    <w:rsid w:val="000E245D"/>
    <w:rsid w:val="00505742"/>
    <w:rsid w:val="00915C8D"/>
    <w:rsid w:val="00BF0BD2"/>
    <w:rsid w:val="00C34581"/>
    <w:rsid w:val="00E80F9C"/>
    <w:rsid w:val="00FB0257"/>
  </w:rsids>
  <m:mathPr>
    <m:mathFont m:val="STIX Two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31902"/>
  <w15:docId w15:val="{83F908EF-AEF6-4451-8BCB-28D7CEB9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5952"/>
    <w:rPr>
      <w:rFonts w:ascii="Times New Roman" w:hAnsi="Times New Roman"/>
    </w:rPr>
  </w:style>
  <w:style w:type="paragraph" w:styleId="Heading1">
    <w:name w:val="heading 1"/>
    <w:basedOn w:val="Normal"/>
    <w:next w:val="BodyText"/>
    <w:uiPriority w:val="9"/>
    <w:qFormat/>
    <w:rsid w:val="00265952"/>
    <w:pPr>
      <w:keepNext/>
      <w:keepLines/>
      <w:spacing w:before="480" w:after="0"/>
      <w:outlineLvl w:val="0"/>
    </w:pPr>
    <w:rPr>
      <w:rFonts w:ascii="Arial" w:eastAsiaTheme="majorEastAsia" w:hAnsi="Arial" w:cstheme="majorBidi"/>
      <w:bCs/>
      <w:sz w:val="32"/>
      <w:szCs w:val="32"/>
    </w:rPr>
  </w:style>
  <w:style w:type="paragraph" w:styleId="Heading2">
    <w:name w:val="heading 2"/>
    <w:basedOn w:val="Normal"/>
    <w:next w:val="BodyText"/>
    <w:uiPriority w:val="9"/>
    <w:unhideWhenUsed/>
    <w:qFormat/>
    <w:rsid w:val="00265952"/>
    <w:pPr>
      <w:keepNext/>
      <w:keepLines/>
      <w:spacing w:before="200" w:after="0"/>
      <w:outlineLvl w:val="1"/>
    </w:pPr>
    <w:rPr>
      <w:rFonts w:ascii="Arial" w:eastAsiaTheme="majorEastAsia" w:hAnsi="Arial" w:cstheme="majorBidi"/>
      <w:bCs/>
      <w:szCs w:val="32"/>
    </w:rPr>
  </w:style>
  <w:style w:type="paragraph" w:styleId="Heading3">
    <w:name w:val="heading 3"/>
    <w:basedOn w:val="Normal"/>
    <w:next w:val="BodyText"/>
    <w:uiPriority w:val="9"/>
    <w:unhideWhenUsed/>
    <w:qFormat/>
    <w:rsid w:val="00B760BE"/>
    <w:pPr>
      <w:keepNext/>
      <w:keepLines/>
      <w:spacing w:before="200" w:after="0"/>
      <w:outlineLvl w:val="2"/>
    </w:pPr>
    <w:rPr>
      <w:rFonts w:asciiTheme="majorHAnsi" w:eastAsiaTheme="majorEastAsia" w:hAnsiTheme="majorHAnsi" w:cstheme="majorBidi"/>
      <w:bCs/>
      <w:sz w:val="20"/>
      <w:szCs w:val="28"/>
    </w:rPr>
  </w:style>
  <w:style w:type="paragraph" w:styleId="Heading4">
    <w:name w:val="heading 4"/>
    <w:basedOn w:val="Normal"/>
    <w:next w:val="BodyText"/>
    <w:uiPriority w:val="9"/>
    <w:unhideWhenUsed/>
    <w:qFormat/>
    <w:rsid w:val="00C634DF"/>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634DF"/>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C634DF"/>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C634DF"/>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C634DF"/>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rsid w:val="00C634DF"/>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75D8B"/>
    <w:pPr>
      <w:spacing w:before="180" w:after="180" w:line="480" w:lineRule="auto"/>
    </w:pPr>
  </w:style>
  <w:style w:type="paragraph" w:customStyle="1" w:styleId="FirstParagraph">
    <w:name w:val="First Paragraph"/>
    <w:basedOn w:val="BodyText"/>
    <w:next w:val="BodyText"/>
    <w:qFormat/>
    <w:rsid w:val="00E65F74"/>
  </w:style>
  <w:style w:type="paragraph" w:customStyle="1" w:styleId="Compact">
    <w:name w:val="Compact"/>
    <w:basedOn w:val="BodyText"/>
    <w:qFormat/>
    <w:rsid w:val="00E65F74"/>
    <w:pPr>
      <w:spacing w:before="36" w:after="36" w:line="240" w:lineRule="auto"/>
    </w:pPr>
    <w:rPr>
      <w:sz w:val="20"/>
    </w:rPr>
  </w:style>
  <w:style w:type="paragraph" w:styleId="Title">
    <w:name w:val="Title"/>
    <w:basedOn w:val="Normal"/>
    <w:next w:val="BodyText"/>
    <w:qFormat/>
    <w:rsid w:val="00265952"/>
    <w:pPr>
      <w:keepNext/>
      <w:keepLines/>
      <w:spacing w:before="480" w:after="240"/>
      <w:jc w:val="center"/>
    </w:pPr>
    <w:rPr>
      <w:rFonts w:ascii="Arial" w:eastAsiaTheme="majorEastAsia" w:hAnsi="Arial" w:cstheme="majorBidi"/>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65952"/>
    <w:pPr>
      <w:keepNext/>
      <w:keepLines/>
      <w:spacing w:after="0"/>
    </w:pPr>
    <w:rPr>
      <w:rFonts w:ascii="Times New Roman" w:hAnsi="Times New Roman"/>
    </w:rPr>
  </w:style>
  <w:style w:type="paragraph" w:styleId="Date">
    <w:name w:val="Date"/>
    <w:next w:val="BodyText"/>
    <w:qFormat/>
    <w:rsid w:val="00265952"/>
    <w:pPr>
      <w:keepNext/>
      <w:keepLines/>
    </w:pPr>
    <w:rPr>
      <w:rFonts w:ascii="Times New Roman" w:hAnsi="Times New Roman"/>
    </w:rPr>
  </w:style>
  <w:style w:type="paragraph" w:customStyle="1" w:styleId="Abstract">
    <w:name w:val="Abstract"/>
    <w:basedOn w:val="Normal"/>
    <w:next w:val="BodyText"/>
    <w:qFormat/>
    <w:rsid w:val="00265952"/>
    <w:pPr>
      <w:keepNext/>
      <w:keepLines/>
      <w:spacing w:before="300" w:after="300"/>
    </w:pPr>
    <w:rPr>
      <w:sz w:val="22"/>
      <w:szCs w:val="20"/>
    </w:rPr>
  </w:style>
  <w:style w:type="paragraph" w:styleId="Bibliography">
    <w:name w:val="Bibliography"/>
    <w:basedOn w:val="Normal"/>
    <w:qFormat/>
    <w:rsid w:val="009F3934"/>
    <w:pPr>
      <w:ind w:left="720" w:hanging="720"/>
    </w:pPr>
  </w:style>
  <w:style w:type="paragraph" w:styleId="BlockText">
    <w:name w:val="Block Text"/>
    <w:basedOn w:val="BodyText"/>
    <w:next w:val="BodyText"/>
    <w:uiPriority w:val="9"/>
    <w:unhideWhenUsed/>
    <w:qFormat/>
    <w:rsid w:val="00265952"/>
    <w:pPr>
      <w:spacing w:before="100" w:after="100"/>
    </w:pPr>
    <w:rPr>
      <w:rFonts w:ascii="Arial" w:eastAsiaTheme="majorEastAsia" w:hAnsi="Arial" w:cstheme="majorBidi"/>
      <w:bCs/>
      <w:sz w:val="20"/>
      <w:szCs w:val="20"/>
    </w:rPr>
  </w:style>
  <w:style w:type="paragraph" w:styleId="FootnoteText">
    <w:name w:val="footnote text"/>
    <w:basedOn w:val="Normal"/>
    <w:uiPriority w:val="9"/>
    <w:unhideWhenUsed/>
    <w:qFormat/>
    <w:rsid w:val="00B040DC"/>
    <w:pPr>
      <w:spacing w:after="0"/>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26631"/>
    <w:pPr>
      <w:keepNext/>
      <w:jc w:val="center"/>
    </w:pPr>
    <w:rPr>
      <w:i w:val="0"/>
      <w:sz w:val="20"/>
    </w:rPr>
  </w:style>
  <w:style w:type="paragraph" w:customStyle="1" w:styleId="ImageCaption">
    <w:name w:val="Image Caption"/>
    <w:basedOn w:val="Caption"/>
    <w:rsid w:val="00926631"/>
    <w:pPr>
      <w:jc w:val="center"/>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265952"/>
    <w:pPr>
      <w:spacing w:before="240" w:line="259" w:lineRule="auto"/>
      <w:outlineLvl w:val="9"/>
    </w:pPr>
    <w:rPr>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unhideWhenUsed/>
    <w:rsid w:val="00394FF1"/>
    <w:rPr>
      <w:rFonts w:ascii="Arial" w:hAnsi="Arial"/>
      <w:sz w:val="20"/>
    </w:rPr>
  </w:style>
  <w:style w:type="character" w:customStyle="1" w:styleId="BodyTextChar">
    <w:name w:val="Body Text Char"/>
    <w:basedOn w:val="DefaultParagraphFont"/>
    <w:link w:val="BodyText"/>
    <w:rsid w:val="00775D8B"/>
    <w:rPr>
      <w:rFonts w:ascii="Times New Roman" w:hAnsi="Times New Roman"/>
    </w:rPr>
  </w:style>
  <w:style w:type="paragraph" w:styleId="Header">
    <w:name w:val="header"/>
    <w:basedOn w:val="Normal"/>
    <w:link w:val="HeaderChar"/>
    <w:unhideWhenUsed/>
    <w:rsid w:val="00437DBF"/>
    <w:pPr>
      <w:tabs>
        <w:tab w:val="center" w:pos="4680"/>
        <w:tab w:val="right" w:pos="9360"/>
      </w:tabs>
      <w:spacing w:after="0"/>
    </w:pPr>
    <w:rPr>
      <w:sz w:val="20"/>
    </w:rPr>
  </w:style>
  <w:style w:type="character" w:customStyle="1" w:styleId="HeaderChar">
    <w:name w:val="Header Char"/>
    <w:basedOn w:val="DefaultParagraphFont"/>
    <w:link w:val="Header"/>
    <w:rsid w:val="00437DBF"/>
    <w:rPr>
      <w:rFonts w:ascii="EB Garamond" w:hAnsi="EB Garamond"/>
      <w:sz w:val="20"/>
    </w:rPr>
  </w:style>
  <w:style w:type="paragraph" w:styleId="Footer">
    <w:name w:val="footer"/>
    <w:basedOn w:val="Normal"/>
    <w:link w:val="FooterChar"/>
    <w:uiPriority w:val="99"/>
    <w:unhideWhenUsed/>
    <w:rsid w:val="00B760BE"/>
    <w:pPr>
      <w:tabs>
        <w:tab w:val="center" w:pos="4680"/>
        <w:tab w:val="right" w:pos="9360"/>
      </w:tabs>
      <w:spacing w:after="0"/>
    </w:pPr>
    <w:rPr>
      <w:rFonts w:asciiTheme="majorHAnsi" w:hAnsiTheme="majorHAnsi"/>
      <w:sz w:val="18"/>
    </w:rPr>
  </w:style>
  <w:style w:type="character" w:customStyle="1" w:styleId="FooterChar">
    <w:name w:val="Footer Char"/>
    <w:basedOn w:val="DefaultParagraphFont"/>
    <w:link w:val="Footer"/>
    <w:uiPriority w:val="99"/>
    <w:rsid w:val="00B760BE"/>
    <w:rPr>
      <w:rFonts w:asciiTheme="majorHAnsi" w:hAnsiTheme="majorHAnsi"/>
      <w:sz w:val="18"/>
    </w:rPr>
  </w:style>
  <w:style w:type="character" w:styleId="PlaceholderText">
    <w:name w:val="Placeholder Text"/>
    <w:basedOn w:val="DefaultParagraphFont"/>
    <w:semiHidden/>
    <w:rsid w:val="00CA4C83"/>
    <w:rPr>
      <w:color w:val="808080"/>
    </w:rPr>
  </w:style>
  <w:style w:type="paragraph" w:styleId="TOC1">
    <w:name w:val="toc 1"/>
    <w:basedOn w:val="Normal"/>
    <w:next w:val="Normal"/>
    <w:autoRedefine/>
    <w:uiPriority w:val="39"/>
    <w:unhideWhenUsed/>
    <w:rsid w:val="00D46F37"/>
    <w:pPr>
      <w:spacing w:after="100"/>
    </w:pPr>
  </w:style>
  <w:style w:type="paragraph" w:styleId="TOC2">
    <w:name w:val="toc 2"/>
    <w:basedOn w:val="Normal"/>
    <w:next w:val="Normal"/>
    <w:autoRedefine/>
    <w:uiPriority w:val="39"/>
    <w:unhideWhenUsed/>
    <w:rsid w:val="00D46F37"/>
    <w:pPr>
      <w:spacing w:after="100"/>
      <w:ind w:left="240"/>
    </w:pPr>
  </w:style>
  <w:style w:type="paragraph" w:styleId="TOC3">
    <w:name w:val="toc 3"/>
    <w:basedOn w:val="Normal"/>
    <w:next w:val="Normal"/>
    <w:autoRedefine/>
    <w:uiPriority w:val="39"/>
    <w:unhideWhenUsed/>
    <w:rsid w:val="00D46F37"/>
    <w:pPr>
      <w:spacing w:after="100"/>
      <w:ind w:left="480"/>
    </w:pPr>
  </w:style>
  <w:style w:type="paragraph" w:customStyle="1" w:styleId="UnnumberedHeading1">
    <w:name w:val="Unnumbered Heading 1"/>
    <w:basedOn w:val="Heading1"/>
    <w:qFormat/>
    <w:rsid w:val="00D265C5"/>
  </w:style>
  <w:style w:type="paragraph" w:styleId="TableofFigures">
    <w:name w:val="table of figures"/>
    <w:basedOn w:val="Normal"/>
    <w:next w:val="Normal"/>
    <w:uiPriority w:val="99"/>
    <w:unhideWhenUsed/>
    <w:rsid w:val="004D0D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823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5066/P9X4L3GE" TargetMode="External"/><Relationship Id="rId21" Type="http://schemas.openxmlformats.org/officeDocument/2006/relationships/hyperlink" Target="https://twri.tamu.edu/media/1456/tr-507.pdf" TargetMode="External"/><Relationship Id="rId34" Type="http://schemas.openxmlformats.org/officeDocument/2006/relationships/hyperlink" Target="https://doi.org/10.1016/j.envsoft.2014.08.009" TargetMode="External"/><Relationship Id="rId42" Type="http://schemas.openxmlformats.org/officeDocument/2006/relationships/hyperlink" Target="https://doi.org/10.1080/1047322X.1990.10389587" TargetMode="External"/><Relationship Id="rId47" Type="http://schemas.openxmlformats.org/officeDocument/2006/relationships/hyperlink" Target="https://doi.org/10.1007/s00265-010-1029-6" TargetMode="External"/><Relationship Id="rId50" Type="http://schemas.openxmlformats.org/officeDocument/2006/relationships/hyperlink" Target="https://doi.org/10.1111/j.1752-1688.2011.00583.x" TargetMode="External"/><Relationship Id="rId55" Type="http://schemas.openxmlformats.org/officeDocument/2006/relationships/hyperlink" Target="https://doi.org/10.1007/s12237-012-9547-2" TargetMode="External"/><Relationship Id="rId63" Type="http://schemas.openxmlformats.org/officeDocument/2006/relationships/hyperlink" Target="https://doi.org/10.1007/s12237-020-00819-9" TargetMode="External"/><Relationship Id="rId7" Type="http://schemas.openxmlformats.org/officeDocument/2006/relationships/hyperlink" Target="mailto:michael.schramm@ag.tamu.edu" TargetMode="External"/><Relationship Id="rId2" Type="http://schemas.openxmlformats.org/officeDocument/2006/relationships/styles" Target="styles.xml"/><Relationship Id="rId16" Type="http://schemas.openxmlformats.org/officeDocument/2006/relationships/hyperlink" Target="https://doi.org/10.4319/lo.2006.51.1_part_2.0558" TargetMode="External"/><Relationship Id="rId29" Type="http://schemas.openxmlformats.org/officeDocument/2006/relationships/hyperlink" Target="https://doi.org/10.1029/92WR01008" TargetMode="External"/><Relationship Id="rId11" Type="http://schemas.openxmlformats.org/officeDocument/2006/relationships/hyperlink" Target="https://doi.org/10.1016/j.marpolbul.2016.02.013" TargetMode="External"/><Relationship Id="rId24" Type="http://schemas.openxmlformats.org/officeDocument/2006/relationships/hyperlink" Target="https://doi.org/10.1890/05-1554.1" TargetMode="External"/><Relationship Id="rId32" Type="http://schemas.openxmlformats.org/officeDocument/2006/relationships/hyperlink" Target="https://doi.org/10.1016/j.marpolbul.2011.10.018" TargetMode="External"/><Relationship Id="rId37" Type="http://schemas.openxmlformats.org/officeDocument/2006/relationships/hyperlink" Target="https://doi.org/10.1016/j.scitotenv.2022.154023" TargetMode="External"/><Relationship Id="rId40" Type="http://schemas.openxmlformats.org/officeDocument/2006/relationships/hyperlink" Target="https://doi.org/10.1016/j.jhydrol.2016.12.052" TargetMode="External"/><Relationship Id="rId45" Type="http://schemas.openxmlformats.org/officeDocument/2006/relationships/hyperlink" Target="https://doi.org/10.1093/biomet/76.3.503" TargetMode="External"/><Relationship Id="rId53" Type="http://schemas.openxmlformats.org/officeDocument/2006/relationships/hyperlink" Target="https://doi.org/10.1016/j.ecss.2006.02.005" TargetMode="External"/><Relationship Id="rId58" Type="http://schemas.openxmlformats.org/officeDocument/2006/relationships/hyperlink" Target="https://doi.org/10.1016/j.jembe.2003.11.016"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oi.org/10.1007/s12237-012-9537-4" TargetMode="External"/><Relationship Id="rId19" Type="http://schemas.openxmlformats.org/officeDocument/2006/relationships/hyperlink" Target="https://doi.org/10.1016/j.rsma.2019.100657" TargetMode="External"/><Relationship Id="rId14" Type="http://schemas.openxmlformats.org/officeDocument/2006/relationships/hyperlink" Target="https://doi.org/10.3354/meps09267" TargetMode="External"/><Relationship Id="rId22" Type="http://schemas.openxmlformats.org/officeDocument/2006/relationships/hyperlink" Target="https://doi.org/10.1111/j.1936-704X.2021.3360.x" TargetMode="External"/><Relationship Id="rId27" Type="http://schemas.openxmlformats.org/officeDocument/2006/relationships/hyperlink" Target="https://doi.org/10.1002/hyp.1299" TargetMode="External"/><Relationship Id="rId30" Type="http://schemas.openxmlformats.org/officeDocument/2006/relationships/hyperlink" Target="https://doi.org/10.1111/j.1752-1688.2010.00482.x" TargetMode="External"/><Relationship Id="rId35" Type="http://schemas.openxmlformats.org/officeDocument/2006/relationships/hyperlink" Target="https://doi.org/10.1061/(ASCE)EE.1943-7870.0001077" TargetMode="External"/><Relationship Id="rId43" Type="http://schemas.openxmlformats.org/officeDocument/2006/relationships/hyperlink" Target="https://doi.org/10.1111/j.1467-842X.2006.00450.x" TargetMode="External"/><Relationship Id="rId48" Type="http://schemas.openxmlformats.org/officeDocument/2006/relationships/hyperlink" Target="https://doi.org/10.13031/trans.58.10715" TargetMode="External"/><Relationship Id="rId56" Type="http://schemas.openxmlformats.org/officeDocument/2006/relationships/hyperlink" Target="https://doi.org/10.1007/s12237-021-00904-7" TargetMode="External"/><Relationship Id="rId64" Type="http://schemas.openxmlformats.org/officeDocument/2006/relationships/hyperlink" Target="https://doi.org/10.1007/s12237-020-00846-6" TargetMode="External"/><Relationship Id="rId8" Type="http://schemas.openxmlformats.org/officeDocument/2006/relationships/hyperlink" Target="https://doi.org/10.1016/j.hal.2008.08.028" TargetMode="External"/><Relationship Id="rId51" Type="http://schemas.openxmlformats.org/officeDocument/2006/relationships/hyperlink" Target="https://doi.org/10.13031/aea.30.10162" TargetMode="External"/><Relationship Id="rId3" Type="http://schemas.openxmlformats.org/officeDocument/2006/relationships/settings" Target="settings.xml"/><Relationship Id="rId12" Type="http://schemas.openxmlformats.org/officeDocument/2006/relationships/hyperlink" Target="https://doi.org/10.1016/j.ecss.2017.02.001" TargetMode="External"/><Relationship Id="rId17" Type="http://schemas.openxmlformats.org/officeDocument/2006/relationships/hyperlink" Target="https://doi.org/10.1016/j.csr.2012.01.004" TargetMode="External"/><Relationship Id="rId25" Type="http://schemas.openxmlformats.org/officeDocument/2006/relationships/hyperlink" Target="https://doi.org/10.1016/j.jhydrol.2014.04.036" TargetMode="External"/><Relationship Id="rId33" Type="http://schemas.openxmlformats.org/officeDocument/2006/relationships/hyperlink" Target="https://doi.org/10.1029/2011WR011080" TargetMode="External"/><Relationship Id="rId38" Type="http://schemas.openxmlformats.org/officeDocument/2006/relationships/hyperlink" Target="https://doi.org/10.1111/j.1467-9868.2010.00749.x" TargetMode="External"/><Relationship Id="rId46" Type="http://schemas.openxmlformats.org/officeDocument/2006/relationships/hyperlink" Target="https://doi.org/10.1021/acs.est.1c05388" TargetMode="External"/><Relationship Id="rId59" Type="http://schemas.openxmlformats.org/officeDocument/2006/relationships/hyperlink" Target="https://doi.org/10.1007/s12237-022-01137-y" TargetMode="External"/><Relationship Id="rId67" Type="http://schemas.openxmlformats.org/officeDocument/2006/relationships/theme" Target="theme/theme1.xml"/><Relationship Id="rId20" Type="http://schemas.openxmlformats.org/officeDocument/2006/relationships/hyperlink" Target="https://www.tceq.texas.gov/downloads/water-quality/tmdl/lavaca-river-above-tidal-rocky-creek-recreational-108/108-lavaca-river-addendum-tsd-2021-october-as-221.pdf" TargetMode="External"/><Relationship Id="rId41" Type="http://schemas.openxmlformats.org/officeDocument/2006/relationships/hyperlink" Target="https://doi.org/10.1021/es902122j" TargetMode="External"/><Relationship Id="rId54" Type="http://schemas.openxmlformats.org/officeDocument/2006/relationships/hyperlink" Target="https://doi.org/10.1016/j.ecss.2006.08.015" TargetMode="External"/><Relationship Id="rId62" Type="http://schemas.openxmlformats.org/officeDocument/2006/relationships/hyperlink" Target="https://doi.org/10.1016/j.marpolbul.2013.01.02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07/s10750-015-2200-x" TargetMode="External"/><Relationship Id="rId23" Type="http://schemas.openxmlformats.org/officeDocument/2006/relationships/hyperlink" Target="https://doi.org/10.1111/j.1936-704X.2022.3374.x" TargetMode="External"/><Relationship Id="rId28" Type="http://schemas.openxmlformats.org/officeDocument/2006/relationships/hyperlink" Target="https://doi.org/10.1111/1752-1688.12492" TargetMode="External"/><Relationship Id="rId36" Type="http://schemas.openxmlformats.org/officeDocument/2006/relationships/hyperlink" Target="https://doi.org/10.1038/s41598-021-95302-1" TargetMode="External"/><Relationship Id="rId49" Type="http://schemas.openxmlformats.org/officeDocument/2006/relationships/hyperlink" Target="https://doi.org/10.3133/wri964113" TargetMode="External"/><Relationship Id="rId57" Type="http://schemas.openxmlformats.org/officeDocument/2006/relationships/hyperlink" Target="https://doi.org/10.5194/bg-11-2477-2014" TargetMode="External"/><Relationship Id="rId10" Type="http://schemas.openxmlformats.org/officeDocument/2006/relationships/hyperlink" Target="https://doi.org/10.1016/j.marpolbul.2020.110903" TargetMode="External"/><Relationship Id="rId31" Type="http://schemas.openxmlformats.org/officeDocument/2006/relationships/hyperlink" Target="https://doi.org/10.1016/j.jhydrol.2010.11.003" TargetMode="External"/><Relationship Id="rId44" Type="http://schemas.openxmlformats.org/officeDocument/2006/relationships/hyperlink" Target="https://doi.org/10.1111/j.1467-9469.2011.00760.x" TargetMode="External"/><Relationship Id="rId52" Type="http://schemas.openxmlformats.org/officeDocument/2006/relationships/hyperlink" Target="https://doi.org/10.3133/sir20195106" TargetMode="External"/><Relationship Id="rId60" Type="http://schemas.openxmlformats.org/officeDocument/2006/relationships/hyperlink" Target="https://doi.org/10.1007/BF02803563"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007/978-1-4939-3447-8_2" TargetMode="External"/><Relationship Id="rId13" Type="http://schemas.openxmlformats.org/officeDocument/2006/relationships/hyperlink" Target="https://doi.org/10.1016/j.ecss.2022.108059" TargetMode="External"/><Relationship Id="rId18" Type="http://schemas.openxmlformats.org/officeDocument/2006/relationships/hyperlink" Target="https://doi.org/10.1371/journal.pone.0130931" TargetMode="External"/><Relationship Id="rId39" Type="http://schemas.openxmlformats.org/officeDocument/2006/relationships/hyperlink" Target="https://doi.org/10.1111/1752-1688.124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Open Sans"/>
        <a:ea typeface=""/>
        <a:cs typeface=""/>
      </a:majorFont>
      <a:minorFont>
        <a:latin typeface="Minion Pr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24</Pages>
  <Words>7691</Words>
  <Characters>43844</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Total Maximum Daily Loads and Escherichia coli trends in Texas freshwater streams</vt:lpstr>
    </vt:vector>
  </TitlesOfParts>
  <Company/>
  <LinksUpToDate>false</LinksUpToDate>
  <CharactersWithSpaces>51433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linkages between watershed nutrient loading and water quality in a subtropical estuary with semiparametric models.</dc:title>
  <dc:creator/>
  <cp:keywords/>
  <cp:lastModifiedBy>Michael Schramm</cp:lastModifiedBy>
  <cp:revision>7</cp:revision>
  <dcterms:created xsi:type="dcterms:W3CDTF">2023-02-20T20:53:00Z</dcterms:created>
  <dcterms:modified xsi:type="dcterms:W3CDTF">2023-02-20T21:26:00Z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mybibfile.bib</vt:lpwstr>
  </property>
  <property fmtid="{D5CDD505-2E9C-101B-9397-08002B2CF9AE}" pid="4" name="crossref">
    <vt:lpwstr/>
  </property>
  <property fmtid="{D5CDD505-2E9C-101B-9397-08002B2CF9AE}" pid="5" name="csl">
    <vt:lpwstr>https://www.zotero.org/styles/plos?source=1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