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of</w:t>
      </w:r>
      <w:r>
        <w:t xml:space="preserve"> </w:t>
      </w:r>
      <w:r>
        <w:t xml:space="preserve">trend</w:t>
      </w:r>
      <w:r>
        <w:t xml:space="preserve"> </w:t>
      </w:r>
      <w:r>
        <w:t xml:space="preserve">detection</w:t>
      </w:r>
      <w:r>
        <w:t xml:space="preserve"> </w:t>
      </w:r>
      <w:r>
        <w:t xml:space="preserve">methods</w:t>
      </w:r>
      <w:r>
        <w:t xml:space="preserve"> </w:t>
      </w:r>
      <w:r>
        <w:t xml:space="preserve">and</w:t>
      </w:r>
      <w:r>
        <w:t xml:space="preserve"> </w:t>
      </w:r>
      <w:r>
        <w:t xml:space="preserve">sampling</w:t>
      </w:r>
      <w:r>
        <w:t xml:space="preserve"> </w:t>
      </w:r>
      <w:r>
        <w:t xml:space="preserve">schedules</w:t>
      </w:r>
      <w:r>
        <w:t xml:space="preserve"> </w:t>
      </w:r>
      <w:r>
        <w:t xml:space="preserve">for</w:t>
      </w:r>
      <w:r>
        <w:t xml:space="preserve"> </w:t>
      </w:r>
      <w:r>
        <w:rPr>
          <w:i/>
        </w:rPr>
        <w:t xml:space="preserve">Escherichia</w:t>
      </w:r>
      <w:r>
        <w:rPr>
          <w:i/>
        </w:rPr>
        <w:t xml:space="preserve"> </w:t>
      </w:r>
      <w:r>
        <w:rPr>
          <w:i/>
        </w:rPr>
        <w:t xml:space="preserve">coli</w:t>
      </w:r>
      <w:r>
        <w:t xml:space="preserve"> </w:t>
      </w:r>
      <w:r>
        <w:t xml:space="preserve">concentrations</w:t>
      </w:r>
    </w:p>
    <w:p>
      <w:pPr>
        <w:pStyle w:val="Author"/>
      </w:pPr>
      <w:r>
        <w:t xml:space="preserve">Michael</w:t>
      </w:r>
      <w:r>
        <w:t xml:space="preserve"> </w:t>
      </w:r>
      <w:r>
        <w:t xml:space="preserve">Schramm</w:t>
      </w:r>
      <w:r>
        <w:t xml:space="preserve"> </w:t>
      </w:r>
      <w:r>
        <w:rPr>
          <w:vertAlign w:val="superscript"/>
        </w:rPr>
        <w:t xml:space="preserve">1,a</w:t>
      </w:r>
      <w:r>
        <w:t xml:space="preserve">,</w:t>
      </w:r>
      <w:r>
        <w:t xml:space="preserve"> </w:t>
      </w:r>
      <w:r>
        <w:t xml:space="preserve">Lucas</w:t>
      </w:r>
      <w:r>
        <w:t xml:space="preserve"> </w:t>
      </w:r>
      <w:r>
        <w:t xml:space="preserve">Gregory</w:t>
      </w:r>
      <w:r>
        <w:t xml:space="preserve"> </w:t>
      </w:r>
      <w:r>
        <w:rPr>
          <w:vertAlign w:val="superscript"/>
        </w:rPr>
        <w:t xml:space="preserve">2</w:t>
      </w:r>
    </w:p>
    <w:p>
      <w:pPr>
        <w:pStyle w:val="Author"/>
      </w:pPr>
      <w:r>
        <w:rPr>
          <w:vertAlign w:val="superscript"/>
        </w:rPr>
        <w:t xml:space="preserve">1</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Date"/>
      </w:pPr>
      <w:r>
        <w:t xml:space="preserve">2020-11-19</w:t>
      </w:r>
    </w:p>
    <w:p>
      <w:pPr>
        <w:pStyle w:val="Abstract"/>
      </w:pPr>
      <w:r>
        <w:t xml:space="preserve"> This</w:t>
      </w:r>
      <w:r>
        <w:t xml:space="preserve"> </w:t>
      </w:r>
      <w:r>
        <w:t xml:space="preserve">is</w:t>
      </w:r>
      <w:r>
        <w:t xml:space="preserve"> </w:t>
      </w:r>
      <w:r>
        <w:t xml:space="preserve">the</w:t>
      </w:r>
      <w:r>
        <w:t xml:space="preserve"> </w:t>
      </w:r>
      <w:r>
        <w:t xml:space="preserve">abstract.</w:t>
      </w:r>
      <w:r>
        <w:br/>
      </w:r>
      <w:r>
        <w:br/>
      </w:r>
      <w:r>
        <w:t xml:space="preserve"> 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Descriptive Name</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GAM</w:t>
            </w:r>
          </w:p>
        </w:tc>
        <w:tc>
          <w:p>
            <w:pPr>
              <w:pStyle w:val="Compact"/>
              <w:jc w:val="left"/>
            </w:pPr>
            <w:r>
              <w:t xml:space="preserve">generalized additive model</w:t>
            </w:r>
          </w:p>
        </w:tc>
      </w:tr>
      <w:tr>
        <w:tc>
          <w:p>
            <w:pPr>
              <w:pStyle w:val="Compact"/>
              <w:jc w:val="left"/>
            </w:pPr>
            <w:r>
              <w:t xml:space="preserve">GLM</w:t>
            </w:r>
          </w:p>
        </w:tc>
        <w:tc>
          <w:p>
            <w:pPr>
              <w:pStyle w:val="Compact"/>
              <w:jc w:val="left"/>
            </w:pPr>
            <w:r>
              <w:t xml:space="preserve">generalized linear model</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bl>
    <w:p>
      <w:pPr>
        <w:pStyle w:val="Heading1"/>
      </w:pPr>
      <w:bookmarkStart w:id="21" w:name="introduction"/>
      <w:r>
        <w:t xml:space="preserve">Introduction</w:t>
      </w:r>
      <w:bookmarkEnd w:id="21"/>
    </w:p>
    <w:p>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 fecal indicator bacteria in Texas to assess if streams and other freshwater bodies meet numeric criteria for contact recreation.</w:t>
      </w:r>
      <w:r>
        <w:t xml:space="preserve"> </w:t>
      </w:r>
      <w:r>
        <w:rPr>
          <w:i/>
        </w:rPr>
        <w:t xml:space="preserve">E. coli</w:t>
      </w:r>
      <w:r>
        <w:t xml:space="preserve"> </w:t>
      </w:r>
      <w:r>
        <w:t xml:space="preserve">is a non-host specific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fecal indicator bacteria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y</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r>
            <m:t>,</m:t>
          </m:r>
          <m:r>
            <m:t> </m:t>
          </m:r>
          <m:r>
            <m:rPr>
              <m:nor/>
              <m:sty m:val="p"/>
            </m:rPr>
            <m:t>when</m:t>
          </m:r>
          <m:r>
            <m:t> </m:t>
          </m:r>
          <m:sSub>
            <m:e>
              <m:r>
                <m:t>y</m:t>
              </m:r>
            </m:e>
            <m:sub>
              <m:r>
                <m:t>1</m:t>
              </m:r>
            </m:sub>
          </m:sSub>
          <m:r>
            <m:t>,</m:t>
          </m:r>
          <m:sSub>
            <m:e>
              <m:r>
                <m:t>y</m:t>
              </m:r>
            </m:e>
            <m:sub>
              <m:r>
                <m:t>2</m:t>
              </m:r>
            </m:sub>
          </m:sSub>
          <m:r>
            <m:t>,</m:t>
          </m:r>
          <m:r>
            <m:t>.</m:t>
          </m:r>
          <m:r>
            <m:t>.</m:t>
          </m:r>
          <m:r>
            <m:t>.</m:t>
          </m:r>
          <m:r>
            <m:t>,</m:t>
          </m:r>
          <m:sSub>
            <m:e>
              <m:r>
                <m:t>y</m:t>
              </m:r>
            </m:e>
            <m:sub>
              <m:r>
                <m:t>n</m:t>
              </m:r>
            </m:sub>
          </m:sSub>
          <m:r>
            <m:t>&gt;</m:t>
          </m:r>
          <m:r>
            <m:t>0</m:t>
          </m:r>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An alternative approach is to take the</w:t>
      </w:r>
      <w:r>
        <w:t xml:space="preserve"> </w:t>
      </w:r>
      <w:r>
        <w:rPr>
          <w:i/>
        </w:rPr>
        <w:t xml:space="preserve">n</w:t>
      </w:r>
      <w:r>
        <w:t xml:space="preserve">th root of the product of</w:t>
      </w:r>
      <w:r>
        <w:t xml:space="preserve"> </w:t>
      </w:r>
      <w:r>
        <w:rPr>
          <w:i/>
        </w:rPr>
        <w:t xml:space="preserve">y_i</w:t>
      </w:r>
      <w:r>
        <w:t xml:space="preserve">. The current assessment approach requires a sample size of 20 over the previous 7-years with an 80% confidence interval that exceeds the 126 MPN/100 mL criterion at the lower bound in order to be determined impaired</w:t>
      </w:r>
      <w:r>
        <w:t xml:space="preserve"> </w:t>
      </w:r>
      <w:r>
        <w:t xml:space="preserve">(TCEQ 2019a)</w:t>
      </w:r>
      <w:r>
        <w:t xml:space="preserve">. Delistings require 20 samples and the geometric mean below the 126/100 mL criterion.</w:t>
      </w:r>
      <w:r>
        <w:t xml:space="preserve"> </w:t>
      </w:r>
      <w:r>
        <w:t xml:space="preserve">TCEQ (2019a)</w:t>
      </w:r>
      <w:r>
        <w:t xml:space="preserve"> </w:t>
      </w:r>
      <w:r>
        <w:t xml:space="preserve">does not specify how the confidence interval should be calculated. Traditional methods multiply a critical value (obtained from the standard normal distribution or Student’s t-distribution) by the standard error. Alternatively, the confidence intervals can be obtained by parametric bootstrap methods</w:t>
      </w:r>
      <w:r>
        <w:t xml:space="preserve"> </w:t>
      </w:r>
      <w:r>
        <w:t xml:space="preserve">(Wilcox 2013)</w:t>
      </w:r>
      <w:r>
        <w:t xml:space="preserve">. At 20 samples the method is fairly robust for estimating exceedance of the water quality criterion.</w:t>
      </w:r>
    </w:p>
    <w:p>
      <w:pPr>
        <w:pStyle w:val="BodyText"/>
      </w:pPr>
      <w:r>
        <w:t xml:space="preserve">As of 2018, TCEQ identified 237 water bodies impaired due to elevated fecal indicator bacteria</w:t>
      </w:r>
      <w:r>
        <w:t xml:space="preserve"> </w:t>
      </w:r>
      <w:r>
        <w:t xml:space="preserve">(TCEQ 2019b)</w:t>
      </w:r>
      <w:r>
        <w:t xml:space="preserve">.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modified Mann-Kendall test and generalized linear models (GLMs) on fecal indicator bacteria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w:t>
      </w:r>
      <w:r>
        <w:t xml:space="preserve">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GLMs are an semiparamteric extension of simple linear regression suitable for log-normally distributed data. GLMs incorporate a link function that transform the mean instead of relying on a transformed response variable to meet assumptions of normal distribution in a linear regression. In order to assess presence of a trend, the following GLM equation is used:</w:t>
      </w:r>
    </w:p>
    <w:p>
      <w:pPr>
        <w:pStyle w:val="BodyText"/>
      </w:pPr>
      <m:oMathPara>
        <m:oMathParaPr>
          <m:jc m:val="center"/>
        </m:oMathParaPr>
        <m:oMath>
          <m:r>
            <m:t>y</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coefficient of time variable</w:t>
      </w:r>
      <w:r>
        <w:t xml:space="preserve"> </w:t>
      </w:r>
      <w:r>
        <w:rPr>
          <w:i/>
        </w:rPr>
        <w:t xml:space="preserve">x</w:t>
      </w:r>
      <w:r>
        <w:t xml:space="preserve">, and ε</w:t>
      </w:r>
      <w:r>
        <w:t xml:space="preserve"> </w:t>
      </w:r>
      <w:r>
        <w:t xml:space="preserve">are model residuals assumed normally distributed around mean zero. If GLMs are utilized to assess</w:t>
      </w:r>
      <w:r>
        <w:t xml:space="preserve"> </w:t>
      </w:r>
      <w:r>
        <w:rPr>
          <w:i/>
        </w:rPr>
        <w:t xml:space="preserve">E. coli</w:t>
      </w:r>
      <w:r>
        <w:t xml:space="preserve"> </w:t>
      </w:r>
      <w:r>
        <w:t xml:space="preserve">trends, a Gaussian distribution with log link function is appropriate to ensure model residuals meet assumptions of heterogeneity and normal distribution around mean zero.</w:t>
      </w:r>
      <w:r>
        <w:t xml:space="preserve"> </w:t>
      </w:r>
      <w:r>
        <w:t xml:space="preserve">Lindsey and Jones (1998)</w:t>
      </w:r>
      <w:r>
        <w:t xml:space="preserve"> </w:t>
      </w:r>
      <w:r>
        <w:t xml:space="preserve">discuss the advantages of utilizing the GLM family of models compared to linear models applied to transformed response variables including interpretation of the measured response, fitting skewed distributions, and allowing for non-constant variance. These advantages do require additional model diagnostics and additional model terms; however, GLMs provide relatively flexible approaches for assessing trends.</w:t>
      </w:r>
    </w:p>
    <w:p>
      <w:pPr>
        <w:pStyle w:val="BodyText"/>
      </w:pPr>
      <w:r>
        <w:t xml:space="preserve">Both the Mann-Kendall test and GLMs are straight forward methods for water quality analysts to apply and assess trends in</w:t>
      </w:r>
      <w:r>
        <w:t xml:space="preserve"> </w:t>
      </w:r>
      <w:r>
        <w:rPr>
          <w:i/>
        </w:rPr>
        <w:t xml:space="preserve">E. coli</w:t>
      </w:r>
      <w:r>
        <w:t xml:space="preserve"> </w:t>
      </w:r>
      <w:r>
        <w:t xml:space="preserve">concentrations. They are well accepted and have routines available in most statistical software. However, general guidance is not available for the number of samples required to detect given effect sizes. Current guidance for assessment of attainment of the water quality criterion (20 samples over 7-years) is adequate given the ability to estimate confidence intervals for the geometric mean calculation. As a result, many monitoring programs across the state utilize quarterly routine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of no trend is rejected when there is in fact a trend in the data. Statistical power is a function of pre-assigned significance level (α), effect size, sample size, and variance within the time series</w:t>
      </w:r>
      <w:r>
        <w:t xml:space="preserve"> </w:t>
      </w:r>
      <w:r>
        <w:t xml:space="preserve">(Yue et al. 2002)</w:t>
      </w:r>
      <w:r>
        <w:t xml:space="preserve">.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w:t>
      </w:r>
      <w:r>
        <w:t xml:space="preserve"> </w:t>
      </w:r>
      <w:r>
        <w:rPr>
          <w:i/>
        </w:rPr>
        <w:t xml:space="preserve">E. coli</w:t>
      </w:r>
      <w:r>
        <w:t xml:space="preserve">. First, we estimate the statistical power of Mann-Kendall and GLM trend tests at sampling sites across the state using Monte Carlo simulation. Second, we describe functional relationships between the statistical power of the two trends tests, effect size, variance, and number of samples across sampling sites in Texas.</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December 2019 were obtained from the Water Quality Portal (</w:t>
      </w:r>
      <w:hyperlink r:id="rId24">
        <w:r>
          <w:rPr>
            <w:rStyle w:val="Hyperlink"/>
          </w:rPr>
          <w:t xml:space="preserve">https://www.waterqualitydata.us/</w:t>
        </w:r>
      </w:hyperlink>
      <w:r>
        <w:t xml:space="preserve">) using the dataRetrieval 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p>
      <w:pPr>
        <w:pStyle w:val="Heading2"/>
      </w:pPr>
      <w:bookmarkStart w:id="25" w:name="statistical-power-computation"/>
      <w:r>
        <w:t xml:space="preserve">Statistical Power Computation</w:t>
      </w:r>
      <w:bookmarkEnd w:id="25"/>
    </w:p>
    <w:p>
      <w:pPr>
        <w:pStyle w:val="FirstParagraph"/>
      </w:pPr>
      <w:r>
        <w:t xml:space="preserve">The significance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is the probability of rejecting the null hypothesis when the alternative hypothesis is true and is equal to 1 -</w:t>
      </w:r>
      <w:r>
        <w:t xml:space="preserve"> </w:t>
      </w:r>
      <w:r>
        <w:rPr>
          <w:i/>
        </w:rPr>
        <w:t xml:space="preserve">β</w:t>
      </w:r>
      <w:r>
        <w:t xml:space="preserve">. A power of 0.80 is typically considered appropriate, which equates to a 20% likelihood of encountering a Type II error.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w:t>
      </w:r>
      <w:r>
        <w:t xml:space="preserve"> </w:t>
      </w:r>
      <w:r>
        <w:t xml:space="preserve">(Sigal and Chalmers 2016)</w:t>
      </w:r>
      <w:r>
        <w:t xml:space="preserve">. The simulation generates 1000 independent log-normal distributed time series samples per evaluated effect size for every SWQM site using the site specific log-transformed mean and standard deviation. Effect sizes were induced by reducing the annual log-transformed mean over the 7-year sampling period by 5, 10, 20, 40, and 80 percent. In total, 4.92 million simulations were run per trend detection method. Significance level, α, was set at 0.10. The Mann-Kendall test and GLM is applied to each simulation sample and the number of times the tests correctly reject the null hypothesis (</w:t>
      </w:r>
      <w:r>
        <w:rPr>
          <w:i/>
        </w:rPr>
        <w:t xml:space="preserve">N</w:t>
      </w:r>
      <w:r>
        <w:rPr>
          <w:vertAlign w:val="subscript"/>
          <w:i/>
        </w:rPr>
        <w:t xml:space="preserve">rejected</w:t>
      </w:r>
      <w:r>
        <w:t xml:space="preserve">) are tabulated.</w:t>
      </w:r>
    </w:p>
    <w:p>
      <w:pPr>
        <w:pStyle w:val="Heading2"/>
      </w:pPr>
      <w:bookmarkStart w:id="26" w:name="describing-functional-relationships"/>
      <w:r>
        <w:t xml:space="preserve">Describing Functional Relationships</w:t>
      </w:r>
      <w:bookmarkEnd w:id="26"/>
    </w:p>
    <w:p>
      <w:pPr>
        <w:pStyle w:val="FirstParagraph"/>
      </w:pPr>
      <w:r>
        <w:t xml:space="preserve">The functional observed relationships between variance, sample size, and effect size at SWQM sites across Texas were described and visualized using generalized additive models (GAMs). GAMs are a flexible semi-parametric approach for modeling non-linear relationships between variables</w:t>
      </w:r>
      <w:r>
        <w:t xml:space="preserve"> </w:t>
      </w:r>
      <w:r>
        <w:t xml:space="preserve">(Wood 2011; Wood 2017)</w:t>
      </w:r>
      <w:r>
        <w:t xml:space="preserve">. GAM were fit with the mgcv package in R</w:t>
      </w:r>
      <w:r>
        <w:t xml:space="preserve"> </w:t>
      </w:r>
      <w:r>
        <w:t xml:space="preserve">(Wood 2017)</w:t>
      </w:r>
      <w:r>
        <w:t xml:space="preserve">. The general form of the GAM equation was:</w:t>
      </w:r>
    </w:p>
    <w:p>
      <w:pPr>
        <w:pStyle w:val="BodyText"/>
      </w:pPr>
      <m:oMathPara>
        <m:oMathParaPr>
          <m:jc m:val="center"/>
        </m:oMathParaPr>
        <m:oMath>
          <m:r>
            <m:t>P</m:t>
          </m:r>
          <m:r>
            <m:t>o</m:t>
          </m:r>
          <m:r>
            <m:t>w</m:t>
          </m:r>
          <m:r>
            <m:t>e</m:t>
          </m:r>
          <m:r>
            <m:t>r</m:t>
          </m:r>
          <m:r>
            <m:t>=</m:t>
          </m:r>
          <m:r>
            <m:t>s</m:t>
          </m:r>
          <m:r>
            <m:t>(</m:t>
          </m:r>
          <m:r>
            <m:t>m</m:t>
          </m:r>
          <m:r>
            <m:t>u</m:t>
          </m:r>
          <m:r>
            <m:t>)</m:t>
          </m:r>
          <m:r>
            <m:t>+</m:t>
          </m:r>
          <m:r>
            <m:t>s</m:t>
          </m:r>
          <m:r>
            <m:t>(</m:t>
          </m:r>
          <m:r>
            <m:t>s</m:t>
          </m:r>
          <m:r>
            <m:t>d</m:t>
          </m:r>
          <m:r>
            <m:t>)</m:t>
          </m:r>
          <m:r>
            <m:t>+</m:t>
          </m:r>
          <m:r>
            <m:t>s</m:t>
          </m:r>
          <m:r>
            <m:t>(</m:t>
          </m:r>
          <m:r>
            <m:t>s</m:t>
          </m:r>
          <m:r>
            <m:t>a</m:t>
          </m:r>
          <m:r>
            <m:t>m</m:t>
          </m:r>
          <m:r>
            <m:t>p</m:t>
          </m:r>
          <m:r>
            <m:t>l</m:t>
          </m:r>
          <m:r>
            <m:t>e</m:t>
          </m:r>
          <m:r>
            <m:t> </m:t>
          </m:r>
          <m:r>
            <m:t>s</m:t>
          </m:r>
          <m:r>
            <m:t>i</m:t>
          </m:r>
          <m:r>
            <m:t>z</m:t>
          </m:r>
          <m:r>
            <m:t>e</m:t>
          </m:r>
          <m:r>
            <m:t>)</m:t>
          </m:r>
          <m:r>
            <m:t>+</m:t>
          </m:r>
          <m:r>
            <m:t>s</m:t>
          </m:r>
          <m:r>
            <m:t>(</m:t>
          </m:r>
          <m:r>
            <m:t>e</m:t>
          </m:r>
          <m:r>
            <m:t>f</m:t>
          </m:r>
          <m:r>
            <m:t>f</m:t>
          </m:r>
          <m:r>
            <m:t>e</m:t>
          </m:r>
          <m:r>
            <m:t>c</m:t>
          </m:r>
          <m:r>
            <m:t>t</m:t>
          </m:r>
          <m:r>
            <m:t> </m:t>
          </m:r>
          <m:r>
            <m:t>s</m:t>
          </m:r>
          <m:r>
            <m:t>i</m:t>
          </m:r>
          <m:r>
            <m:t>z</m:t>
          </m:r>
          <m:r>
            <m:t>e</m:t>
          </m:r>
          <m:r>
            <m:t>)</m:t>
          </m:r>
        </m:oMath>
      </m:oMathPara>
    </w:p>
    <w:p>
      <w:pPr>
        <w:pStyle w:val="FirstParagraph"/>
      </w:pPr>
      <w:r>
        <w:t xml:space="preserve">where</w:t>
      </w:r>
      <w:r>
        <w:t xml:space="preserve"> </w:t>
      </w:r>
      <w:r>
        <w:rPr>
          <w:i/>
        </w:rPr>
        <w:t xml:space="preserve">s</w:t>
      </w:r>
      <w:r>
        <w:t xml:space="preserve"> </w:t>
      </w:r>
      <w:r>
        <w:t xml:space="preserve">is a spline based smoothing function applied to each covariate,</w:t>
      </w:r>
      <w:r>
        <w:t xml:space="preserve"> </w:t>
      </w:r>
      <w:r>
        <w:rPr>
          <w:i/>
        </w:rPr>
        <w:t xml:space="preserve">mu</w:t>
      </w:r>
      <w:r>
        <w:t xml:space="preserve"> </w:t>
      </w:r>
      <w:r>
        <w:t xml:space="preserve">is the log-transformed</w:t>
      </w:r>
      <w:r>
        <w:t xml:space="preserve"> </w:t>
      </w:r>
      <w:r>
        <w:rPr>
          <w:i/>
        </w:rPr>
        <w:t xml:space="preserve">E. coli</w:t>
      </w:r>
      <w:r>
        <w:t xml:space="preserve"> </w:t>
      </w:r>
      <w:r>
        <w:t xml:space="preserve">mean,</w:t>
      </w:r>
      <w:r>
        <w:t xml:space="preserve"> </w:t>
      </w:r>
      <w:r>
        <w:rPr>
          <w:i/>
        </w:rPr>
        <w:t xml:space="preserve">sd</w:t>
      </w:r>
      <w:r>
        <w:t xml:space="preserve"> </w:t>
      </w:r>
      <w:r>
        <w:t xml:space="preserve">is the log-transformed site standard deviation,</w:t>
      </w:r>
      <w:r>
        <w:t xml:space="preserve"> </w:t>
      </w:r>
      <w:r>
        <w:rPr>
          <w:i/>
        </w:rPr>
        <w:t xml:space="preserve">sample size</w:t>
      </w:r>
      <w:r>
        <w:t xml:space="preserve"> </w:t>
      </w:r>
      <w:r>
        <w:t xml:space="preserve">is the annual number of samples collected at the site, and</w:t>
      </w:r>
      <w:r>
        <w:t xml:space="preserve"> </w:t>
      </w:r>
      <w:r>
        <w:rPr>
          <w:i/>
        </w:rPr>
        <w:t xml:space="preserve">effect size</w:t>
      </w:r>
      <w:r>
        <w:t xml:space="preserve"> </w:t>
      </w:r>
      <w:r>
        <w:t xml:space="preserve">is the specified percent decrease to detect in the Monte Carlo simulation. The response variable</w:t>
      </w:r>
      <w:r>
        <w:t xml:space="preserve"> </w:t>
      </w:r>
      <w:r>
        <w:rPr>
          <w:i/>
        </w:rPr>
        <w:t xml:space="preserve">Power</w:t>
      </w:r>
      <w:r>
        <w:t xml:space="preserve"> </w:t>
      </w:r>
      <w:r>
        <w:t xml:space="preserve">is the statistical power within the interval [0,1]. GAMs were fit using the beta regression family and the logit link function. GAMs were not used to specifically test for relationships but only to describe and visualize the known functional relationships that influence statistical power of trend tests as they apply to SWQM stations.</w:t>
      </w:r>
    </w:p>
    <w:p>
      <w:pPr>
        <w:pStyle w:val="Heading1"/>
      </w:pPr>
      <w:bookmarkStart w:id="27" w:name="results"/>
      <w:r>
        <w:t xml:space="preserve">Results</w:t>
      </w:r>
      <w:bookmarkEnd w:id="27"/>
    </w:p>
    <w:p>
      <w:pPr>
        <w:pStyle w:val="Heading2"/>
      </w:pPr>
      <w:bookmarkStart w:id="28" w:name="monitoring-frequency"/>
      <w:r>
        <w:t xml:space="preserve">Monitoring Frequency</w:t>
      </w:r>
      <w:bookmarkEnd w:id="28"/>
    </w:p>
    <w:p>
      <w:pPr>
        <w:pStyle w:val="FirstParagraph"/>
      </w:pPr>
      <w:r>
        <w:t xml:space="preserve">Out of the 984 evaluated SWQM sites, 329 were located in water bodies with a TMDL. SWQM sites located on water bodies without a TMDL were generally sampled 3 to 4 times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SWQM sites with a TMDL skewed higher, with a peak at 9 times per year and smaller peaks at 4 and 6 times per year. This suggests that increased monitoring efforts are being targets towards sites where planning efforts have been implemented. Similarly, the</w:t>
      </w:r>
      <w:r>
        <w:t xml:space="preserve"> </w:t>
      </w:r>
      <w:r>
        <w:rPr>
          <w:i/>
        </w:rPr>
        <w:t xml:space="preserve">E. coli</w:t>
      </w:r>
      <w:r>
        <w:t xml:space="preserve"> </w:t>
      </w:r>
      <w:r>
        <w:t xml:space="preserve">geometric mean skewed higher at sites with a TMDL (Figure</w:t>
      </w:r>
      <w:r>
        <w:t xml:space="preserve"> </w:t>
      </w:r>
      <w:hyperlink w:anchor="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gmeandensity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5038344" cy="3419856"/>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7"/>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5cc81ce3-1b4b-4c56-b9db-ca379196fef5"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cc81ce3-1b4b-4c56-b9db-ca379196fef5"/>
      <w:r>
        <w:rPr/>
        <w:t xml:space="preserve">: </w:t>
      </w:r>
      <w:r>
        <w:t xml:space="preserve">Histograms of annual</w:t>
      </w:r>
      <w:r>
        <w:t xml:space="preserve"> </w:t>
      </w:r>
      <w:r>
        <w:rPr>
          <w:i/>
        </w:rPr>
        <w:t xml:space="preserve">E. coli</w:t>
      </w:r>
      <w:r>
        <w:t xml:space="preserve"> </w:t>
      </w:r>
      <w:r>
        <w:t xml:space="preserve">sampling distribution for TMDL and non-TMDL SWQM sites across Texas.</w:t>
      </w:r>
    </w:p>
    <w:p>
      <w:pPr>
        <w:jc w:val="center"/>
        <w:pStyle w:val="Figure"/>
      </w:pPr>
      <w:r>
        <w:rPr/>
        <w:drawing>
          <wp:inline distT="0" distB="0" distL="0" distR="0">
            <wp:extent cx="5038344" cy="3419856"/>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8"/>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91b9c422-e94f-4305-8165-ff52df475e58"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1b9c422-e94f-4305-8165-ff52df475e58"/>
      <w:r>
        <w:rPr/>
        <w:t xml:space="preserve">: </w:t>
      </w:r>
      <w:r>
        <w:t xml:space="preserve">Scaled density plots of of</w:t>
      </w:r>
      <w:r>
        <w:t xml:space="preserve"> </w:t>
      </w:r>
      <w:r>
        <w:rPr>
          <w:i/>
        </w:rPr>
        <w:t xml:space="preserve">E. coli</w:t>
      </w:r>
      <w:r>
        <w:t xml:space="preserve"> </w:t>
      </w:r>
      <w:r>
        <w:t xml:space="preserve">geometric mean distribution for TMDL and non-TMDL SWQM sites across Texas.</w:t>
      </w:r>
    </w:p>
    <w:p>
      <w:pPr>
        <w:pStyle w:val="Heading2"/>
      </w:pPr>
      <w:bookmarkStart w:id="29" w:name="mann-kendall-power"/>
      <w:r>
        <w:t xml:space="preserve">Mann-Kendall Power</w:t>
      </w:r>
      <w:bookmarkEnd w:id="29"/>
    </w:p>
    <w:p>
      <w:pPr>
        <w:pStyle w:val="FirstParagraph"/>
      </w:pPr>
      <w:r>
        <w:t xml:space="preserve">At small effect sizes (5-10 percent decrease in</w:t>
      </w:r>
      <w:r>
        <w:t xml:space="preserve"> </w:t>
      </w:r>
      <w:r>
        <w:rPr>
          <w:i/>
        </w:rPr>
        <w:t xml:space="preserve">E. coli</w:t>
      </w:r>
      <w:r>
        <w:t xml:space="preserve"> </w:t>
      </w:r>
      <w:r>
        <w:t xml:space="preserve">concentration), all SWQM stations have relatively low statistical power (&lt;0.30) for detecting effects (Figure</w:t>
      </w:r>
      <w:r>
        <w:t xml:space="preserve"> </w:t>
      </w:r>
      <w:hyperlink w:anchor="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mkpowerdensity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Most stations have less than 0.30 power to detect trends of this magnitude using the Mann-Kendall test. With a 40 percent decrease in</w:t>
      </w:r>
      <w:r>
        <w:t xml:space="preserve"> </w:t>
      </w:r>
      <w:r>
        <w:rPr>
          <w:i/>
        </w:rPr>
        <w:t xml:space="preserve">E. coli</w:t>
      </w:r>
      <w:r>
        <w:t xml:space="preserve"> </w:t>
      </w:r>
      <w:r>
        <w:t xml:space="preserve">concentrations, a large proportion of TMDL sites have sufficient statistical power. Adequate power is achieved for most sites in both groups at 90 percent effect sizes.</w:t>
      </w:r>
    </w:p>
    <w:p>
      <w:pPr>
        <w:jc w:val="center"/>
        <w:pStyle w:val="Figure"/>
      </w:pPr>
      <w:r>
        <w:rPr/>
        <w:drawing>
          <wp:inline distT="0" distB="0" distL="0" distR="0">
            <wp:extent cx="5038344" cy="3419856"/>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9"/>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02bec700-972e-4be5-b8d4-47c96628ca4a" w:name="mk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bec700-972e-4be5-b8d4-47c96628ca4a"/>
      <w:r>
        <w:rPr/>
        <w:t xml:space="preserve">: </w:t>
      </w:r>
      <w:r>
        <w:t xml:space="preserve">Scaled density plots of Mann-Kendall statistical power distribution for TMDL and non-TMDL SWQM stations as a function of detectable effect size at ɑ = 0.1. Individual curves represent the scaled density estimate of statistical power values calculated for SWQM stations at a given effect size (y-axis values).</w:t>
      </w:r>
    </w:p>
    <w:p>
      <w:pPr>
        <w:pStyle w:val="Heading2"/>
      </w:pPr>
      <w:bookmarkStart w:id="30" w:name="generalized-linear-model"/>
      <w:r>
        <w:t xml:space="preserve">Generalized linear model</w:t>
      </w:r>
      <w:bookmarkEnd w:id="30"/>
    </w:p>
    <w:p>
      <w:pPr>
        <w:pStyle w:val="Heading1"/>
      </w:pPr>
      <w:bookmarkStart w:id="31" w:name="discussion"/>
      <w:r>
        <w:t xml:space="preserve">Discussion</w:t>
      </w:r>
      <w:bookmarkEnd w:id="31"/>
    </w:p>
    <w:p>
      <w:pPr>
        <w:pStyle w:val="Heading1"/>
      </w:pPr>
      <w:bookmarkStart w:id="32" w:name="bibliography"/>
      <w:r>
        <w:t xml:space="preserve">Bibliography</w:t>
      </w:r>
      <w:bookmarkEnd w:id="32"/>
    </w:p>
    <w:bookmarkStart w:id="58" w:name="refs"/>
    <w:bookmarkStart w:id="34" w:name="ref-dataRetrieval"/>
    <w:p>
      <w:pPr>
        <w:pStyle w:val="Bibliography"/>
      </w:pPr>
      <w:r>
        <w:t xml:space="preserve">De Cicco LA, Lorenz D, Hirsch RM, Watkins W. 2018. DataRetrieval: R packages for discovering and retrieving water data available from U.S. federal hydrologic web services. Reston, VA: U.S. Geological Survey; U.S. Geological Survey.</w:t>
      </w:r>
      <w:r>
        <w:t xml:space="preserve"> </w:t>
      </w:r>
      <w:hyperlink r:id="rId33">
        <w:r>
          <w:rPr>
            <w:rStyle w:val="Hyperlink"/>
          </w:rPr>
          <w:t xml:space="preserve">https://code.usgs.gov/water/dataRetrieval</w:t>
        </w:r>
      </w:hyperlink>
      <w:r>
        <w:t xml:space="preserve">.</w:t>
      </w:r>
    </w:p>
    <w:bookmarkEnd w:id="34"/>
    <w:bookmarkStart w:id="36" w:name="ref-helsel_statistical_2002"/>
    <w:p>
      <w:pPr>
        <w:pStyle w:val="Bibliography"/>
      </w:pPr>
      <w:r>
        <w:t xml:space="preserve">Helsel D, Hirsch R. 2002. Statistical methods in water resources. U.S. Geological Survey (Techniques of water-resources investigations of the United States Geologic Survey).</w:t>
      </w:r>
      <w:r>
        <w:t xml:space="preserve"> </w:t>
      </w:r>
      <w:hyperlink r:id="rId35">
        <w:r>
          <w:rPr>
            <w:rStyle w:val="Hyperlink"/>
          </w:rPr>
          <w:t xml:space="preserve">http://water.usgs.gov/pubs/twri/twri4a3/</w:t>
        </w:r>
      </w:hyperlink>
      <w:r>
        <w:t xml:space="preserve">.</w:t>
      </w:r>
    </w:p>
    <w:bookmarkEnd w:id="36"/>
    <w:bookmarkStart w:id="37" w:name="ref-lindsey_choosing_1998"/>
    <w:p>
      <w:pPr>
        <w:pStyle w:val="Bibliography"/>
      </w:pPr>
      <w:r>
        <w:t xml:space="preserve">Lindsey JK, Jones B. 1998. Choosing among generalized linear models applied to medical data. Statistics in Medicine. 17:10.</w:t>
      </w:r>
    </w:p>
    <w:bookmarkEnd w:id="37"/>
    <w:bookmarkStart w:id="39" w:name="ref-novotny_simplified_2004"/>
    <w:p>
      <w:pPr>
        <w:pStyle w:val="Bibliography"/>
      </w:pPr>
      <w:r>
        <w:t xml:space="preserve">Novotny V. 2004. Simplified databased total maximum daily loads, or the world is log-normal. Journal of Environmental Engineering. 130(6):674–683. doi:</w:t>
      </w:r>
      <w:hyperlink r:id="rId38">
        <w:r>
          <w:rPr>
            <w:rStyle w:val="Hyperlink"/>
          </w:rPr>
          <w:t xml:space="preserve">10.1061/(ASCE)0733-9372(2004)130:6(674)</w:t>
        </w:r>
      </w:hyperlink>
      <w:r>
        <w:t xml:space="preserve">.</w:t>
      </w:r>
    </w:p>
    <w:bookmarkEnd w:id="39"/>
    <w:bookmarkStart w:id="41" w:name="ref-Rcore"/>
    <w:p>
      <w:pPr>
        <w:pStyle w:val="Bibliography"/>
      </w:pPr>
      <w:r>
        <w:t xml:space="preserve">R Core Team. 2019. R: A language and environment for statistical computing. Vienna, Austria: R Foundation for Statistical Computing.</w:t>
      </w:r>
      <w:r>
        <w:t xml:space="preserve"> </w:t>
      </w:r>
      <w:hyperlink r:id="rId40">
        <w:r>
          <w:rPr>
            <w:rStyle w:val="Hyperlink"/>
          </w:rPr>
          <w:t xml:space="preserve">https://www.R-project.org/</w:t>
        </w:r>
      </w:hyperlink>
      <w:r>
        <w:t xml:space="preserve">.</w:t>
      </w:r>
    </w:p>
    <w:bookmarkEnd w:id="41"/>
    <w:bookmarkStart w:id="43" w:name="ref-sigal_play_2016"/>
    <w:p>
      <w:pPr>
        <w:pStyle w:val="Bibliography"/>
      </w:pPr>
      <w:r>
        <w:t xml:space="preserve">Sigal MJ, Chalmers RP. 2016. Play it again: Teaching statistics with Monte Carlo simulation. Journal of Statistics Education. 24(3):136–156. doi:</w:t>
      </w:r>
      <w:hyperlink r:id="rId42">
        <w:r>
          <w:rPr>
            <w:rStyle w:val="Hyperlink"/>
          </w:rPr>
          <w:t xml:space="preserve">10.1080/10691898.2016.1246953</w:t>
        </w:r>
      </w:hyperlink>
      <w:r>
        <w:t xml:space="preserve">.</w:t>
      </w:r>
    </w:p>
    <w:bookmarkEnd w:id="43"/>
    <w:bookmarkStart w:id="45" w:name="ref-tceq_2016_2019-1"/>
    <w:p>
      <w:pPr>
        <w:pStyle w:val="Bibliography"/>
      </w:pPr>
      <w:r>
        <w:t xml:space="preserve">TCEQ. 2019a. 2016 guidance for assessing and reporting surface water quality in Texas.</w:t>
      </w:r>
      <w:r>
        <w:t xml:space="preserve"> </w:t>
      </w:r>
      <w:hyperlink r:id="rId44">
        <w:r>
          <w:rPr>
            <w:rStyle w:val="Hyperlink"/>
          </w:rPr>
          <w:t xml:space="preserve">https://www.tceq.texas.gov/assets/public/waterquality/swqm/assess/16txir/2016_guidance.pdf</w:t>
        </w:r>
      </w:hyperlink>
      <w:r>
        <w:t xml:space="preserve">.</w:t>
      </w:r>
    </w:p>
    <w:bookmarkEnd w:id="45"/>
    <w:bookmarkStart w:id="47" w:name="ref-tceq_2019"/>
    <w:p>
      <w:pPr>
        <w:pStyle w:val="Bibliography"/>
      </w:pPr>
      <w:r>
        <w:t xml:space="preserve">TCEQ. 2019b. Executive summary 2018 Texas integrated report for Clean Water Act Sections 305(b) and 303(d). Austin, TX: TCEQ.</w:t>
      </w:r>
      <w:r>
        <w:t xml:space="preserve"> </w:t>
      </w:r>
      <w:hyperlink r:id="rId46">
        <w:r>
          <w:rPr>
            <w:rStyle w:val="Hyperlink"/>
          </w:rPr>
          <w:t xml:space="preserve">https://www.tceq.texas.gov/assets/public/waterquality/swqm/assess/18txir/2018_exec_summ.pdf</w:t>
        </w:r>
      </w:hyperlink>
      <w:r>
        <w:t xml:space="preserve">.</w:t>
      </w:r>
    </w:p>
    <w:bookmarkEnd w:id="47"/>
    <w:bookmarkStart w:id="49" w:name="ref-wilcox_introduction_2013"/>
    <w:p>
      <w:pPr>
        <w:pStyle w:val="Bibliography"/>
      </w:pPr>
      <w:r>
        <w:t xml:space="preserve">Wilcox R. 2013. Introduction to robust estimation and hypothesis testing. Third. Academic Press Elsevier.</w:t>
      </w:r>
      <w:r>
        <w:t xml:space="preserve"> </w:t>
      </w:r>
      <w:hyperlink r:id="rId48">
        <w:r>
          <w:rPr>
            <w:rStyle w:val="Hyperlink"/>
          </w:rPr>
          <w:t xml:space="preserve">https://doi.org/10.1016/B978-0-12-386983-8.00015-9</w:t>
        </w:r>
      </w:hyperlink>
      <w:r>
        <w:t xml:space="preserve">.</w:t>
      </w:r>
    </w:p>
    <w:bookmarkEnd w:id="49"/>
    <w:bookmarkStart w:id="51" w:name="ref-wood_fast_2011"/>
    <w:p>
      <w:pPr>
        <w:pStyle w:val="Bibliography"/>
      </w:pPr>
      <w:r>
        <w:t xml:space="preserve">Wood SN. 2011. Fast stable restricted maximum likelihood and marginal likelihood estimation of semiparametric generalized linear models: Estimation of semiparametric generalized linear models. Journal of the Royal Statistical Society: Series B (Statistical Methodology). 73(1):3–36. doi:</w:t>
      </w:r>
      <w:hyperlink r:id="rId50">
        <w:r>
          <w:rPr>
            <w:rStyle w:val="Hyperlink"/>
          </w:rPr>
          <w:t xml:space="preserve">10.1111/j.1467-9868.2010.00749.x</w:t>
        </w:r>
      </w:hyperlink>
      <w:r>
        <w:t xml:space="preserve">.</w:t>
      </w:r>
    </w:p>
    <w:bookmarkEnd w:id="51"/>
    <w:bookmarkStart w:id="52" w:name="ref-wood_2017"/>
    <w:p>
      <w:pPr>
        <w:pStyle w:val="Bibliography"/>
      </w:pPr>
      <w:r>
        <w:t xml:space="preserve">Wood SN. 2017. Generalized additive models: An introduction with R. 2nd ed. Chapman; Hall/CRC.</w:t>
      </w:r>
    </w:p>
    <w:bookmarkEnd w:id="52"/>
    <w:bookmarkStart w:id="54" w:name="ref-yue_power_2002"/>
    <w:p>
      <w:pPr>
        <w:pStyle w:val="Bibliography"/>
      </w:pPr>
      <w:r>
        <w:t xml:space="preserve">Yue S, Pilon P, Cavadias G. 2002. Power of the Mann–Kendall and Spearman’s rho tests for detecting monotonic trends in hydrological series. Journal of Hydrology. 259(1):254–271. doi:</w:t>
      </w:r>
      <w:hyperlink r:id="rId53">
        <w:r>
          <w:rPr>
            <w:rStyle w:val="Hyperlink"/>
          </w:rPr>
          <w:t xml:space="preserve">10.1016/S0022-1694(01)00594-7</w:t>
        </w:r>
      </w:hyperlink>
      <w:r>
        <w:t xml:space="preserve">.</w:t>
      </w:r>
    </w:p>
    <w:bookmarkEnd w:id="54"/>
    <w:bookmarkStart w:id="57" w:name="ref-yue_regional_2002"/>
    <w:p>
      <w:pPr>
        <w:pStyle w:val="Bibliography"/>
      </w:pPr>
      <w:r>
        <w:t xml:space="preserve">Yue S, Wang CY. 2002. Regional streamflow trend detection with consideration of both temporal and spatial correlation. International Journal of Climatology. 22(8):933–946. doi:</w:t>
      </w:r>
      <w:hyperlink r:id="rId55">
        <w:r>
          <w:rPr>
            <w:rStyle w:val="Hyperlink"/>
          </w:rPr>
          <w:t xml:space="preserve">10.1002/joc.781</w:t>
        </w:r>
      </w:hyperlink>
      <w:r>
        <w:t xml:space="preserve">.</w:t>
      </w:r>
      <w:r>
        <w:t xml:space="preserve"> </w:t>
      </w:r>
      <w:hyperlink r:id="rId56">
        <w:r>
          <w:rPr>
            <w:rStyle w:val="Hyperlink"/>
          </w:rPr>
          <w:t xml:space="preserve">http://doi.wiley.com/10.1002/joc.781</w:t>
        </w:r>
      </w:hyperlink>
      <w:r>
        <w:t xml:space="preserve">.</w:t>
      </w:r>
    </w:p>
    <w:bookmarkEnd w:id="57"/>
    <w:bookmarkEnd w:id="58"/>
    <w:sectPr w:rsidR="00EB5358" w:rsidSect="00E54FE7">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A345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8CED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AE2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A892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2AD8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1E57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4213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4A0C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B4DB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348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408D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6" Type="http://schemas.openxmlformats.org/officeDocument/2006/relationships/hyperlink" Target="http://doi.wiley.com/10.1002/joc.781" TargetMode="External"/>
<Relationship Id="rId35" Type="http://schemas.openxmlformats.org/officeDocument/2006/relationships/hyperlink" Target="http://water.usgs.gov/pubs/twri/twri4a3/" TargetMode="External"/>
<Relationship Id="rId33" Type="http://schemas.openxmlformats.org/officeDocument/2006/relationships/hyperlink" Target="https://code.usgs.gov/water/dataRetrieval" TargetMode="External"/>
<Relationship Id="rId55" Type="http://schemas.openxmlformats.org/officeDocument/2006/relationships/hyperlink" Target="https://doi.org/10.1002/joc.781" TargetMode="External"/>
<Relationship Id="rId48" Type="http://schemas.openxmlformats.org/officeDocument/2006/relationships/hyperlink" Target="https://doi.org/10.1016/B978-0-12-386983-8.00015-9" TargetMode="External"/>
<Relationship Id="rId53" Type="http://schemas.openxmlformats.org/officeDocument/2006/relationships/hyperlink" Target="https://doi.org/10.1016/S0022-1694(01)00594-7" TargetMode="External"/>
<Relationship Id="rId38" Type="http://schemas.openxmlformats.org/officeDocument/2006/relationships/hyperlink" Target="https://doi.org/10.1061/(ASCE)0733-9372(2004)130:6(674)" TargetMode="External"/>
<Relationship Id="rId42" Type="http://schemas.openxmlformats.org/officeDocument/2006/relationships/hyperlink" Target="https://doi.org/10.1080/10691898.2016.1246953" TargetMode="External"/>
<Relationship Id="rId50" Type="http://schemas.openxmlformats.org/officeDocument/2006/relationships/hyperlink" Target="https://doi.org/10.1111/j.1467-9868.2010.00749.x" TargetMode="External"/>
<Relationship Id="rId40" Type="http://schemas.openxmlformats.org/officeDocument/2006/relationships/hyperlink" Target="https://www.R-project.org/" TargetMode="External"/>
<Relationship Id="rId44" Type="http://schemas.openxmlformats.org/officeDocument/2006/relationships/hyperlink" Target="https://www.tceq.texas.gov/assets/public/waterquality/swqm/assess/16txir/2016_guidance.pdf" TargetMode="External"/>
<Relationship Id="rId46"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 Id="rId57" Type="http://schemas.openxmlformats.org/officeDocument/2006/relationships/image" Target="media/file188076e62a2c.png"/>
<Relationship Id="rId58" Type="http://schemas.openxmlformats.org/officeDocument/2006/relationships/image" Target="media/file1880394628e7.png"/>
<Relationship Id="rId59" Type="http://schemas.openxmlformats.org/officeDocument/2006/relationships/image" Target="media/file18801d0830.png"/>
</Relationships>

</file>

<file path=word/_rels/footnotes.xml.rels><?xml version="1.0" encoding="UTF-8" standalone="yes"?>

<Relationships  xmlns="http://schemas.openxmlformats.org/package/2006/relationships">
<Relationship Id="rId56" Type="http://schemas.openxmlformats.org/officeDocument/2006/relationships/hyperlink" Target="http://doi.wiley.com/10.1002/joc.781" TargetMode="External"/>
<Relationship Id="rId35" Type="http://schemas.openxmlformats.org/officeDocument/2006/relationships/hyperlink" Target="http://water.usgs.gov/pubs/twri/twri4a3/" TargetMode="External"/>
<Relationship Id="rId33" Type="http://schemas.openxmlformats.org/officeDocument/2006/relationships/hyperlink" Target="https://code.usgs.gov/water/dataRetrieval" TargetMode="External"/>
<Relationship Id="rId55" Type="http://schemas.openxmlformats.org/officeDocument/2006/relationships/hyperlink" Target="https://doi.org/10.1002/joc.781" TargetMode="External"/>
<Relationship Id="rId48" Type="http://schemas.openxmlformats.org/officeDocument/2006/relationships/hyperlink" Target="https://doi.org/10.1016/B978-0-12-386983-8.00015-9" TargetMode="External"/>
<Relationship Id="rId53" Type="http://schemas.openxmlformats.org/officeDocument/2006/relationships/hyperlink" Target="https://doi.org/10.1016/S0022-1694(01)00594-7" TargetMode="External"/>
<Relationship Id="rId38" Type="http://schemas.openxmlformats.org/officeDocument/2006/relationships/hyperlink" Target="https://doi.org/10.1061/(ASCE)0733-9372(2004)130:6(674)" TargetMode="External"/>
<Relationship Id="rId42" Type="http://schemas.openxmlformats.org/officeDocument/2006/relationships/hyperlink" Target="https://doi.org/10.1080/10691898.2016.1246953" TargetMode="External"/>
<Relationship Id="rId50" Type="http://schemas.openxmlformats.org/officeDocument/2006/relationships/hyperlink" Target="https://doi.org/10.1111/j.1467-9868.2010.00749.x" TargetMode="External"/>
<Relationship Id="rId40" Type="http://schemas.openxmlformats.org/officeDocument/2006/relationships/hyperlink" Target="https://www.R-project.org/" TargetMode="External"/>
<Relationship Id="rId44" Type="http://schemas.openxmlformats.org/officeDocument/2006/relationships/hyperlink" Target="https://www.tceq.texas.gov/assets/public/waterquality/swqm/assess/16txir/2016_guidance.pdf" TargetMode="External"/>
<Relationship Id="rId46"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Statistical power of trend detection methods and sampling schedules for Escherichia coli concentrations</dc:title>
  <dc:creator>Michael Schramm 1,a, Lucas Gregory 2; 1 Texas Water Resources Institute, Texas AM AgriLife Research; a Corresponding author, michael.schramm@ag.tamu.edu</dc:creator>
  <cp:keywords/>
  <dcterms:created xsi:type="dcterms:W3CDTF">2020-11-19T16:32:19Z</dcterms:created>
  <dcterms:modified xsi:type="dcterms:W3CDTF">2020-11-19T10:32:20Z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This is the abstract. It consists of two paragraphs.</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date">
    <vt:lpwstr>2020-11-19</vt:lpwstr>
  </property>
  <property fmtid="{D5CDD505-2E9C-101B-9397-08002B2CF9AE}" pid="6" name="output">
    <vt:lpwstr/>
  </property>
</Properties>
</file>