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Date"/>
      </w:pPr>
      <w:r>
        <w:t xml:space="preserve">2020-12-02</w:t>
      </w:r>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bookmarkStart w:id="21" w:name="introduction"/>
    <w:p>
      <w:pPr>
        <w:pStyle w:val="Heading1"/>
      </w:pPr>
      <w:r>
        <w:t xml:space="preserve">Introduction</w:t>
      </w:r>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 a)</w:t>
      </w:r>
      <w:r>
        <w:t xml:space="preserve">. Delistings require 20 samples and the geometric mean below the 126/100 mL criterion.</w:t>
      </w:r>
      <w:r>
        <w:t xml:space="preserve"> </w:t>
      </w:r>
      <w:r>
        <w:t xml:space="preserve">TCEQ (2019 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identified 237 water bodies impaired due to elevated fecal indicator bacteria</w:t>
      </w:r>
      <w:r>
        <w:t xml:space="preserve"> </w:t>
      </w:r>
      <w:r>
        <w:t xml:space="preserve">(TCEQ 2019 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linear regression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on log-transformed</w:t>
      </w:r>
      <w:r>
        <w:t xml:space="preserve"> </w:t>
      </w:r>
      <w:r>
        <w:rPr>
          <w:i/>
        </w:rPr>
        <w:t xml:space="preserve">E. coli</w:t>
      </w:r>
      <w:r>
        <w:t xml:space="preserve"> </w:t>
      </w:r>
      <w:r>
        <w:t xml:space="preserve">concentrations are also suitable for identifying trends. In order to assess presence of a trend, the following linear regression is used:</w:t>
      </w:r>
    </w:p>
    <w:p>
      <w:pPr>
        <w:pStyle w:val="BodyText"/>
      </w:pPr>
      <m:oMathPara>
        <m:oMathParaPr>
          <m:jc m:val="center"/>
        </m:oMathParaPr>
        <m:oMath>
          <m:r>
            <m:rPr>
              <m:nor/>
              <m:sty m:val="p"/>
            </m:rPr>
            <m:t>log</m:t>
          </m:r>
          <m:r>
            <m:t>(</m:t>
          </m:r>
          <m:r>
            <m:t>y</m:t>
          </m:r>
          <m:r>
            <m:t>)</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linear regressions are utilized to assess</w:t>
      </w:r>
      <w:r>
        <w:t xml:space="preserve"> </w:t>
      </w:r>
      <w:r>
        <w:rPr>
          <w:i/>
        </w:rPr>
        <w:t xml:space="preserve">E. coli</w:t>
      </w:r>
      <w:r>
        <w:t xml:space="preserve"> </w:t>
      </w:r>
      <w:r>
        <w:t xml:space="preserve">trends, the analyst should plot residuals to ensure model residuals meet assumptions of heterogeneity and normal distribution around mean zero.</w:t>
      </w:r>
    </w:p>
    <w:p>
      <w:pPr>
        <w:pStyle w:val="BodyText"/>
      </w:pPr>
      <w:r>
        <w:t xml:space="preserve">Both the Mann-Kendall test and linear regression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guidance for assessment of attainment of the water quality criterion (20 samples over 7-years) is adequate given the ability to estimate confidence intervals for the geometric mean calculation. As a result,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linear regression trend tests at sampling sites across the state using Monte Carlo simulation. Second, we provide statistical power plots at different effect sizes for a range of observed variance values. Finally, we model the likelihood of adequate statistical power for</w:t>
      </w:r>
      <w:r>
        <w:t xml:space="preserve"> </w:t>
      </w:r>
      <w:r>
        <w:rPr>
          <w:i/>
        </w:rPr>
        <w:t xml:space="preserve">E. coli</w:t>
      </w:r>
      <w:r>
        <w:t xml:space="preserve"> </w:t>
      </w:r>
      <w:r>
        <w:t xml:space="preserve">trend detection at sampling sites across Texas.</w:t>
      </w:r>
    </w:p>
    <w:bookmarkEnd w:id="21"/>
    <w:bookmarkStart w:id="26" w:name="methods"/>
    <w:p>
      <w:pPr>
        <w:pStyle w:val="Heading1"/>
      </w:pPr>
      <w:r>
        <w:t xml:space="preserve">Methods</w:t>
      </w:r>
    </w:p>
    <w:bookmarkStart w:id="23" w:name="data"/>
    <w:p>
      <w:pPr>
        <w:pStyle w:val="Heading2"/>
      </w:pPr>
      <w:r>
        <w:t xml:space="preserve">Data</w:t>
      </w:r>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2">
        <w:r>
          <w:rPr>
            <w:rStyle w:val="Hyperlink"/>
          </w:rPr>
          <w:t xml:space="preserve">https://www.waterqualitydata.us/</w:t>
        </w:r>
      </w:hyperlink>
      <w:r>
        <w:t xml:space="preserve">)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bookmarkEnd w:id="23"/>
    <w:bookmarkStart w:id="24" w:name="statistical-power-computation"/>
    <w:p>
      <w:pPr>
        <w:pStyle w:val="Heading2"/>
      </w:pPr>
      <w:r>
        <w:t xml:space="preserve">Statistical Power Computation</w:t>
      </w:r>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likelihood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10, 20, 40, and 80 percent. Over 3.93 million simulations were run per trend detection method. Significance level, α, was set at 0.10. The Mann-Kendall test and linear regression is applied to each simulation sample and the number of times the tests correctly reject the null hypothesis (</w:t>
      </w:r>
      <w:r>
        <w:rPr>
          <w:i/>
        </w:rPr>
        <w:t xml:space="preserve">N</w:t>
      </w:r>
      <w:r>
        <w:rPr>
          <w:vertAlign w:val="subscript"/>
          <w:i/>
        </w:rPr>
        <w:t xml:space="preserve">rejected</w:t>
      </w:r>
      <w:r>
        <w:t xml:space="preserve">) are tabulated. Statistical power plots were also generated using Monte Carlo simulation on sample datasets generated using the quartiles (lower, median and upper) of the observed coefficient of variation (CV) of</w:t>
      </w:r>
      <w:r>
        <w:t xml:space="preserve"> </w:t>
      </w:r>
      <w:r>
        <w:rPr>
          <w:i/>
        </w:rPr>
        <w:t xml:space="preserve">E. coli</w:t>
      </w:r>
      <w:r>
        <w:t xml:space="preserve"> </w:t>
      </w:r>
      <w:r>
        <w:t xml:space="preserve">from SWQM sites. CV is a method of measuring the spread of a distribution relative to the size of the mean; specifically, it is ratio of the standard deviation to the mean. These power plots provide a general idea of the expected statistical power of characteristic</w:t>
      </w:r>
      <w:r>
        <w:t xml:space="preserve"> </w:t>
      </w:r>
      <w:r>
        <w:rPr>
          <w:i/>
        </w:rPr>
        <w:t xml:space="preserve">E. coli</w:t>
      </w:r>
      <w:r>
        <w:t xml:space="preserve"> </w:t>
      </w:r>
      <w:r>
        <w:t xml:space="preserve">datasets in the state using typical sampling intervals. They are not intended to be a replacement for conducting a statistical power test using site specific data.</w:t>
      </w:r>
    </w:p>
    <w:bookmarkEnd w:id="24"/>
    <w:bookmarkStart w:id="25" w:name="likelihood-of-adequate-statistical-power"/>
    <w:p>
      <w:pPr>
        <w:pStyle w:val="Heading2"/>
      </w:pPr>
      <w:r>
        <w:t xml:space="preserve">Likelihood of adequate statistical power</w:t>
      </w:r>
    </w:p>
    <w:p>
      <w:pPr>
        <w:pStyle w:val="FirstParagraph"/>
      </w:pPr>
      <w:r>
        <w:t xml:space="preserve">We modeled the likelihood that a SWQM site would have adequate statistical power as a function of sample size, variance, and effect size using generalized additive models (GAMs). GAMs are a flexible semi-parametric approach in which the response variable is a function of the sum of smoothing functions applied to independent covariates</w:t>
      </w:r>
      <w:r>
        <w:t xml:space="preserve"> </w:t>
      </w:r>
      <w:r>
        <w:t xml:space="preserve">(Wood 2011; Wood 2017)</w:t>
      </w:r>
      <w:r>
        <w:t xml:space="preserve">. GAMs were fit for each set of effect sizes with the mgcv package in R</w:t>
      </w:r>
      <w:r>
        <w:t xml:space="preserve"> </w:t>
      </w:r>
      <w:r>
        <w:t xml:space="preserve">(Wood 2017)</w:t>
      </w:r>
      <w:r>
        <w:t xml:space="preserve">. The general form of the GAM equation was:</w:t>
      </w:r>
    </w:p>
    <w:p>
      <w:pPr>
        <w:pStyle w:val="BodyText"/>
      </w:pPr>
      <m:oMathPara>
        <m:oMathParaPr>
          <m:jc m:val="center"/>
        </m:oMathParaPr>
        <m:oMath>
          <m:r>
            <m:t>P</m:t>
          </m:r>
          <m:r>
            <m:t>o</m:t>
          </m:r>
          <m:r>
            <m:t>w</m:t>
          </m:r>
          <m:r>
            <m:t>e</m:t>
          </m:r>
          <m:r>
            <m:t>r</m:t>
          </m:r>
          <m:r>
            <m:t>=</m:t>
          </m:r>
          <m:r>
            <m:t>s</m:t>
          </m:r>
          <m:r>
            <m:t>(</m:t>
          </m:r>
          <m:r>
            <m:t>c</m:t>
          </m:r>
          <m:r>
            <m:t>v</m:t>
          </m:r>
          <m:r>
            <m:t>)</m:t>
          </m:r>
          <m:r>
            <m:t>+</m:t>
          </m:r>
          <m:r>
            <m:t>s</m:t>
          </m:r>
          <m:r>
            <m:t>(</m:t>
          </m:r>
          <m:r>
            <m:t>s</m:t>
          </m:r>
          <m:r>
            <m:t>a</m:t>
          </m:r>
          <m:r>
            <m:t>m</m:t>
          </m:r>
          <m:r>
            <m:t>p</m:t>
          </m:r>
          <m:r>
            <m:t>l</m:t>
          </m:r>
          <m:r>
            <m:t>e</m:t>
          </m:r>
          <m:r>
            <m:t> </m:t>
          </m:r>
          <m:r>
            <m:t>s</m:t>
          </m:r>
          <m:r>
            <m:t>i</m:t>
          </m:r>
          <m:r>
            <m:t>z</m:t>
          </m:r>
          <m:r>
            <m:t>e</m:t>
          </m:r>
          <m:r>
            <m:t>)</m:t>
          </m:r>
          <m:r>
            <m:t>+</m:t>
          </m:r>
          <m:r>
            <m:t>ϵ</m:t>
          </m:r>
        </m:oMath>
      </m:oMathPara>
    </w:p>
    <w:p>
      <w:pPr>
        <w:pStyle w:val="FirstParagraph"/>
      </w:pPr>
      <w:r>
        <w:t xml:space="preserve">where</w:t>
      </w:r>
      <w:r>
        <w:t xml:space="preserve"> </w:t>
      </w:r>
      <w:r>
        <w:rPr>
          <w:i/>
        </w:rPr>
        <w:t xml:space="preserve">s</w:t>
      </w:r>
      <w:r>
        <w:t xml:space="preserve"> </w:t>
      </w:r>
      <w:r>
        <w:t xml:space="preserve">is a spline based smoothing function applied to each covariate,</w:t>
      </w:r>
      <w:r>
        <w:t xml:space="preserve"> </w:t>
      </w:r>
      <w:r>
        <w:rPr>
          <w:i/>
        </w:rPr>
        <w:t xml:space="preserve">cv</w:t>
      </w:r>
      <w:r>
        <w:t xml:space="preserve"> </w:t>
      </w:r>
      <w:r>
        <w:t xml:space="preserve">is the sample CV, and</w:t>
      </w:r>
      <w:r>
        <w:t xml:space="preserve"> </w:t>
      </w:r>
      <w:r>
        <w:rPr>
          <w:i/>
        </w:rPr>
        <w:t xml:space="preserve">sample size</w:t>
      </w:r>
      <w:r>
        <w:t xml:space="preserve"> </w:t>
      </w:r>
      <w:r>
        <w:t xml:space="preserve">is the annual number of samples collected at the site. The response variable</w:t>
      </w:r>
      <w:r>
        <w:t xml:space="preserve"> </w:t>
      </w:r>
      <w:r>
        <w:rPr>
          <w:i/>
        </w:rPr>
        <w:t xml:space="preserve">Power</w:t>
      </w:r>
      <w:r>
        <w:t xml:space="preserve"> </w:t>
      </w:r>
      <w:r>
        <w:t xml:space="preserve">is the statistical power within the interval [0,1]. GAMs were fit using the beta regression family and the logit link function. GAMs were not used to specifically test for relationships but only to describe and visualize the known functional relationships that influence statistical power of trend tests as they apply to SWQM stations.</w:t>
      </w:r>
    </w:p>
    <w:bookmarkEnd w:id="25"/>
    <w:bookmarkEnd w:id="26"/>
    <w:bookmarkStart w:id="30" w:name="results"/>
    <w:p>
      <w:pPr>
        <w:pStyle w:val="Heading1"/>
      </w:pPr>
      <w:r>
        <w:t xml:space="preserve">Results</w:t>
      </w:r>
    </w:p>
    <w:bookmarkStart w:id="27" w:name="monitoring-frequency"/>
    <w:p>
      <w:pPr>
        <w:pStyle w:val="Heading2"/>
      </w:pPr>
      <w:r>
        <w:t xml:space="preserve">Monitoring Frequency</w:t>
      </w:r>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5"/>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5a73cbea-b0da-4bf5-968b-e0e658752c4d"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a73cbea-b0da-4bf5-968b-e0e658752c4d"/>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6"/>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b5f50674-b75e-4ff4-8aab-85877f2ae17f"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f50674-b75e-4ff4-8aab-85877f2ae17f"/>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bookmarkEnd w:id="27"/>
    <w:bookmarkStart w:id="28" w:name="Xf2c104fa59849b5bb0503eaaaefb9f3330efb9c"/>
    <w:p>
      <w:pPr>
        <w:pStyle w:val="Heading2"/>
      </w:pPr>
      <w:r>
        <w:t xml:space="preserve">Estimated Statistical Power at SWQM Sites</w:t>
      </w:r>
    </w:p>
    <w:p>
      <w:pPr>
        <w:pStyle w:val="FirstParagraph"/>
      </w:pPr>
      <w:r>
        <w:t xml:space="preserve">At 5 to 40 percent effect sizes, all SWQM stations have relatively low statistical power (&lt;0.30) for detecting effects using the Mann-Kendall test and linear regression (Figure</w:t>
      </w:r>
      <w:r>
        <w:t xml:space="preserve"> </w:t>
      </w:r>
      <w:hyperlink w:anchor="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mkpowerdensity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At 80 percent decrease in</w:t>
      </w:r>
      <w:r>
        <w:t xml:space="preserve"> </w:t>
      </w:r>
      <w:r>
        <w:rPr>
          <w:i/>
        </w:rPr>
        <w:t xml:space="preserve">E. coli</w:t>
      </w:r>
      <w:r>
        <w:t xml:space="preserve"> </w:t>
      </w:r>
      <w:r>
        <w:t xml:space="preserve">concentrations,</w:t>
      </w:r>
    </w:p>
    <w:p>
      <w:pPr>
        <w:pStyle w:val="BodyText"/>
      </w:pPr>
      <w:r>
        <w:t xml:space="preserve">At 80 percent decrease in</w:t>
      </w:r>
      <w:r>
        <w:t xml:space="preserve"> </w:t>
      </w:r>
      <w:r>
        <w:rPr>
          <w:i/>
        </w:rPr>
        <w:t xml:space="preserve">E. coli</w:t>
      </w:r>
      <w:r>
        <w:t xml:space="preserve"> </w:t>
      </w:r>
      <w:r>
        <w:t xml:space="preserve">concentrations, sufficient statistical power is acheived for xx percent of sites using the Mann-Kendall test and xx percent of sites using linear regression. There is a high deviance in the statistical power distribution at 80 percent effect size.</w:t>
      </w:r>
    </w:p>
    <w:p>
      <w:pPr>
        <w:jc w:val="center"/>
        <w:pStyle w:val="Figure"/>
      </w:pPr>
      <w:r>
        <w:rPr/>
        <w:drawing>
          <wp:inline distT="0" distB="0" distL="0" distR="0">
            <wp:extent cx="5038344" cy="3419856"/>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7"/>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9d28c3b7-0952-41c1-a69a-f7e0c9c46916" w:name="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28c3b7-0952-41c1-a69a-f7e0c9c46916"/>
      <w:r>
        <w:rPr/>
        <w:t xml:space="preserve">: </w:t>
      </w:r>
      <w:r>
        <w:t xml:space="preserve">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pPr>
        <w:pStyle w:val="BodyText"/>
      </w:pPr>
      <w:r>
        <w:t xml:space="preserve">** add table reporting summary of average sample size, mean (cv), statistical power **</w:t>
      </w:r>
    </w:p>
    <w:bookmarkEnd w:id="28"/>
    <w:bookmarkStart w:id="29" w:name="functional-relationships"/>
    <w:p>
      <w:pPr>
        <w:pStyle w:val="Heading2"/>
      </w:pPr>
      <w:r>
        <w:t xml:space="preserve">Functional Relationships</w:t>
      </w:r>
    </w:p>
    <w:p>
      <w:pPr>
        <w:pStyle w:val="FirstParagraph"/>
      </w:pPr>
      <w:r>
        <w:t xml:space="preserve">Figure… indicates both tests are sufficiently powerful to detect trends at large effect sizes and with sufficient samples. At the median sample CV (1.94), six samples per year are required to achieve 0.8 power to detect a trend with at least an 80 percent decrease in</w:t>
      </w:r>
      <w:r>
        <w:t xml:space="preserve"> </w:t>
      </w:r>
      <w:r>
        <w:rPr>
          <w:i/>
        </w:rPr>
        <w:t xml:space="preserve">E. coli</w:t>
      </w:r>
      <w:r>
        <w:t xml:space="preserve"> </w:t>
      </w:r>
      <w:r>
        <w:t xml:space="preserve">concentrations over 7-years. Marginal increases in statistical power are observed with more than eight annual samples. Notably, neither method exhibit sufficient statistical power at smaller effect sizes.</w:t>
      </w:r>
    </w:p>
    <w:bookmarkEnd w:id="29"/>
    <w:bookmarkEnd w:id="30"/>
    <w:bookmarkStart w:id="31" w:name="discussion"/>
    <w:p>
      <w:pPr>
        <w:pStyle w:val="Heading1"/>
      </w:pPr>
      <w:r>
        <w:t xml:space="preserve">Discussion</w:t>
      </w:r>
    </w:p>
    <w:bookmarkEnd w:id="31"/>
    <w:bookmarkStart w:id="57" w:name="bibliography"/>
    <w:p>
      <w:pPr>
        <w:pStyle w:val="Heading1"/>
      </w:pPr>
      <w:r>
        <w:t xml:space="preserve">Bibliography</w:t>
      </w:r>
    </w:p>
    <w:bookmarkStart w:id="56" w:name="refs"/>
    <w:bookmarkStart w:id="33" w:name="ref-dataRetrieval"/>
    <w:p>
      <w:pPr>
        <w:pStyle w:val="Bibliography"/>
      </w:pPr>
      <w:r>
        <w:t xml:space="preserve">De Cicco LA, Lorenz D, Hirsch RM, Watkins W. 2018. dataRetrieval:</w:t>
      </w:r>
      <w:r>
        <w:t xml:space="preserve"> </w:t>
      </w:r>
      <w:r>
        <w:t xml:space="preserve">R</w:t>
      </w:r>
      <w:r>
        <w:t xml:space="preserve"> </w:t>
      </w:r>
      <w:r>
        <w:t xml:space="preserve">packages for discovering and retrieving water data available from</w:t>
      </w:r>
      <w:r>
        <w:t xml:space="preserve"> </w:t>
      </w:r>
      <w:r>
        <w:t xml:space="preserve">U.S.</w:t>
      </w:r>
      <w:r>
        <w:t xml:space="preserve"> </w:t>
      </w:r>
      <w:r>
        <w:t xml:space="preserve">Federal hydrologic web services. Reston, VA: U.S. Geological Survey; U.S. Geological Survey.</w:t>
      </w:r>
      <w:r>
        <w:t xml:space="preserve"> </w:t>
      </w:r>
      <w:hyperlink r:id="rId32">
        <w:r>
          <w:rPr>
            <w:rStyle w:val="Hyperlink"/>
          </w:rPr>
          <w:t xml:space="preserve">https://code.usgs.gov/water/dataRetrieval</w:t>
        </w:r>
      </w:hyperlink>
      <w:r>
        <w:t xml:space="preserve">.</w:t>
      </w:r>
    </w:p>
    <w:bookmarkEnd w:id="33"/>
    <w:bookmarkStart w:id="35" w:name="ref-helsel_statistical_2002"/>
    <w:p>
      <w:pPr>
        <w:pStyle w:val="Bibliography"/>
      </w:pPr>
      <w:r>
        <w:t xml:space="preserve">Helsel D, Hirsch R. 2002. Statistical methods in water resources. U.S. Geological Survey (Techniques of water-resources investigations of the</w:t>
      </w:r>
      <w:r>
        <w:t xml:space="preserve"> </w:t>
      </w:r>
      <w:r>
        <w:t xml:space="preserve">United States Geologic Survey</w:t>
      </w:r>
      <w:r>
        <w:t xml:space="preserve">).</w:t>
      </w:r>
      <w:r>
        <w:t xml:space="preserve"> </w:t>
      </w:r>
      <w:hyperlink r:id="rId34">
        <w:r>
          <w:rPr>
            <w:rStyle w:val="Hyperlink"/>
          </w:rPr>
          <w:t xml:space="preserve">http://water.usgs.gov/pubs/twri/twri4a3/</w:t>
        </w:r>
      </w:hyperlink>
      <w:r>
        <w:t xml:space="preserve">.</w:t>
      </w:r>
    </w:p>
    <w:bookmarkEnd w:id="35"/>
    <w:bookmarkStart w:id="37" w:name="ref-novotny_simplified_2004"/>
    <w:p>
      <w:pPr>
        <w:pStyle w:val="Bibliography"/>
      </w:pPr>
      <w:r>
        <w:t xml:space="preserve">Novotny V. 2004. Simplified databased total maximum daily loads, or the world is log-normal. Journal of Environmental Engineering. 130(6):674–683. doi:</w:t>
      </w:r>
      <w:hyperlink r:id="rId36">
        <w:r>
          <w:rPr>
            <w:rStyle w:val="Hyperlink"/>
          </w:rPr>
          <w:t xml:space="preserve">10.1061/(ASCE)0733-9372(2004)130:6(674)</w:t>
        </w:r>
      </w:hyperlink>
      <w:r>
        <w:t xml:space="preserve">.</w:t>
      </w:r>
    </w:p>
    <w:bookmarkEnd w:id="37"/>
    <w:bookmarkStart w:id="39" w:name="ref-Rcore"/>
    <w:p>
      <w:pPr>
        <w:pStyle w:val="Bibliography"/>
      </w:pPr>
      <w:r>
        <w:t xml:space="preserve">R Core Team. 2019. R: A language and environment for statistical computing. Vienna, Austria: R Foundation for Statistical Computing.</w:t>
      </w:r>
      <w:r>
        <w:t xml:space="preserve"> </w:t>
      </w:r>
      <w:hyperlink r:id="rId38">
        <w:r>
          <w:rPr>
            <w:rStyle w:val="Hyperlink"/>
          </w:rPr>
          <w:t xml:space="preserve">https://www.R-project.org/</w:t>
        </w:r>
      </w:hyperlink>
      <w:r>
        <w:t xml:space="preserve">.</w:t>
      </w:r>
    </w:p>
    <w:bookmarkEnd w:id="39"/>
    <w:bookmarkStart w:id="41" w:name="ref-sigal_play_2016"/>
    <w:p>
      <w:pPr>
        <w:pStyle w:val="Bibliography"/>
      </w:pPr>
      <w:r>
        <w:t xml:space="preserve">Sigal MJ, Chalmers RP. 2016. Play it again: Teaching statistics with</w:t>
      </w:r>
      <w:r>
        <w:t xml:space="preserve"> </w:t>
      </w:r>
      <w:r>
        <w:t xml:space="preserve">Monte Carlo</w:t>
      </w:r>
      <w:r>
        <w:t xml:space="preserve"> </w:t>
      </w:r>
      <w:r>
        <w:t xml:space="preserve">simulation. Journal of Statistics Education. 24(3):136–156. doi:</w:t>
      </w:r>
      <w:hyperlink r:id="rId40">
        <w:r>
          <w:rPr>
            <w:rStyle w:val="Hyperlink"/>
          </w:rPr>
          <w:t xml:space="preserve">10.1080/10691898.2016.1246953</w:t>
        </w:r>
      </w:hyperlink>
      <w:r>
        <w:t xml:space="preserve">.</w:t>
      </w:r>
    </w:p>
    <w:bookmarkEnd w:id="41"/>
    <w:bookmarkStart w:id="43" w:name="ref-tceq_2016_2019-1"/>
    <w:p>
      <w:pPr>
        <w:pStyle w:val="Bibliography"/>
      </w:pPr>
      <w:r>
        <w:t xml:space="preserve">TCEQ. 2019 a. 2016 guidance for assessing and reporting surface water quality in</w:t>
      </w:r>
      <w:r>
        <w:t xml:space="preserve"> </w:t>
      </w:r>
      <w:r>
        <w:t xml:space="preserve">Texas</w:t>
      </w:r>
      <w:r>
        <w:t xml:space="preserve">.</w:t>
      </w:r>
      <w:r>
        <w:t xml:space="preserve"> </w:t>
      </w:r>
      <w:hyperlink r:id="rId42">
        <w:r>
          <w:rPr>
            <w:rStyle w:val="Hyperlink"/>
          </w:rPr>
          <w:t xml:space="preserve">https://www.tceq.texas.gov/assets/public/waterquality/swqm/assess/16txir/2016_guidance.pdf</w:t>
        </w:r>
      </w:hyperlink>
      <w:r>
        <w:t xml:space="preserve">.</w:t>
      </w:r>
    </w:p>
    <w:bookmarkEnd w:id="43"/>
    <w:bookmarkStart w:id="45" w:name="ref-tceq_2019"/>
    <w:p>
      <w:pPr>
        <w:pStyle w:val="Bibliography"/>
      </w:pPr>
      <w:r>
        <w:t xml:space="preserve">TCEQ. 2019 b. Executive summary 2018</w:t>
      </w:r>
      <w:r>
        <w:t xml:space="preserve"> </w:t>
      </w:r>
      <w:r>
        <w:t xml:space="preserve">Texas</w:t>
      </w:r>
      <w:r>
        <w:t xml:space="preserve"> </w:t>
      </w:r>
      <w:r>
        <w:t xml:space="preserve">integrated report for</w:t>
      </w:r>
      <w:r>
        <w:t xml:space="preserve"> </w:t>
      </w:r>
      <w:r>
        <w:t xml:space="preserve">Clean Water Act Sections</w:t>
      </w:r>
      <w:r>
        <w:t xml:space="preserve"> </w:t>
      </w:r>
      <w:r>
        <w:t xml:space="preserve">305(b) and 303(d). Austin,</w:t>
      </w:r>
      <w:r>
        <w:t xml:space="preserve"> </w:t>
      </w:r>
      <w:r>
        <w:t xml:space="preserve">TX</w:t>
      </w:r>
      <w:r>
        <w:t xml:space="preserve">: TCEQ.</w:t>
      </w:r>
      <w:r>
        <w:t xml:space="preserve"> </w:t>
      </w:r>
      <w:hyperlink r:id="rId44">
        <w:r>
          <w:rPr>
            <w:rStyle w:val="Hyperlink"/>
          </w:rPr>
          <w:t xml:space="preserve">https://www.tceq.texas.gov/assets/public/waterquality/swqm/assess/18txir/2018_exec_summ.pdf</w:t>
        </w:r>
      </w:hyperlink>
      <w:r>
        <w:t xml:space="preserve">.</w:t>
      </w:r>
    </w:p>
    <w:bookmarkEnd w:id="45"/>
    <w:bookmarkStart w:id="47" w:name="ref-wilcox_introduction_2013"/>
    <w:p>
      <w:pPr>
        <w:pStyle w:val="Bibliography"/>
      </w:pPr>
      <w:r>
        <w:t xml:space="preserve">Wilcox R. 2013. Introduction to robust estimation and hypothesis testing. Third. Academic Press Elsevier.</w:t>
      </w:r>
      <w:r>
        <w:t xml:space="preserve"> </w:t>
      </w:r>
      <w:hyperlink r:id="rId46">
        <w:r>
          <w:rPr>
            <w:rStyle w:val="Hyperlink"/>
          </w:rPr>
          <w:t xml:space="preserve">https://doi.org/10.1016/B978-0-12-386983-8.00015-9</w:t>
        </w:r>
      </w:hyperlink>
      <w:r>
        <w:t xml:space="preserve">.</w:t>
      </w:r>
    </w:p>
    <w:bookmarkEnd w:id="47"/>
    <w:bookmarkStart w:id="49"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73(1):3–36. doi:</w:t>
      </w:r>
      <w:hyperlink r:id="rId48">
        <w:r>
          <w:rPr>
            <w:rStyle w:val="Hyperlink"/>
          </w:rPr>
          <w:t xml:space="preserve">10.1111/j.1467-9868.2010.00749.x</w:t>
        </w:r>
      </w:hyperlink>
      <w:r>
        <w:t xml:space="preserve">.</w:t>
      </w:r>
    </w:p>
    <w:bookmarkEnd w:id="49"/>
    <w:bookmarkStart w:id="50" w:name="ref-wood_2017"/>
    <w:p>
      <w:pPr>
        <w:pStyle w:val="Bibliography"/>
      </w:pPr>
      <w:r>
        <w:t xml:space="preserve">Wood SN. 2017. Generalized additive models: An introduction with</w:t>
      </w:r>
      <w:r>
        <w:t xml:space="preserve"> </w:t>
      </w:r>
      <w:r>
        <w:t xml:space="preserve">R</w:t>
      </w:r>
      <w:r>
        <w:t xml:space="preserve">. 2nd ed. Chapman; Hall/CRC.</w:t>
      </w:r>
    </w:p>
    <w:bookmarkEnd w:id="50"/>
    <w:bookmarkStart w:id="52" w:name="ref-yue_power_2002"/>
    <w:p>
      <w:pPr>
        <w:pStyle w:val="Bibliography"/>
      </w:pPr>
      <w:r>
        <w:t xml:space="preserve">Yue S, Pilon P, Cavadias G. 2002. Power of the</w:t>
      </w:r>
      <w:r>
        <w:t xml:space="preserve"> </w:t>
      </w:r>
      <w:r>
        <w:t xml:space="preserve">Mann–Kendall</w:t>
      </w:r>
      <w:r>
        <w:t xml:space="preserve"> </w:t>
      </w:r>
      <w:r>
        <w:t xml:space="preserve">and</w:t>
      </w:r>
      <w:r>
        <w:t xml:space="preserve"> </w:t>
      </w:r>
      <w:r>
        <w:t xml:space="preserve">Spearman’s</w:t>
      </w:r>
      <w:r>
        <w:t xml:space="preserve"> </w:t>
      </w:r>
      <w:r>
        <w:t xml:space="preserve">rho tests for detecting monotonic trends in hydrological series. Journal of Hydrology. 259(1):254–271. doi:</w:t>
      </w:r>
      <w:hyperlink r:id="rId51">
        <w:r>
          <w:rPr>
            <w:rStyle w:val="Hyperlink"/>
          </w:rPr>
          <w:t xml:space="preserve">10.1016/S0022-1694(01)00594-7</w:t>
        </w:r>
      </w:hyperlink>
      <w:r>
        <w:t xml:space="preserve">.</w:t>
      </w:r>
    </w:p>
    <w:bookmarkEnd w:id="52"/>
    <w:bookmarkStart w:id="55" w:name="ref-yue_regional_2002"/>
    <w:p>
      <w:pPr>
        <w:pStyle w:val="Bibliography"/>
      </w:pPr>
      <w:r>
        <w:t xml:space="preserve">Yue S, Wang CY. 2002. Regional streamflow trend detection with consideration of both temporal and spatial correlation. International Journal of Climatology. 22(8):933–946. doi:</w:t>
      </w:r>
      <w:hyperlink r:id="rId53">
        <w:r>
          <w:rPr>
            <w:rStyle w:val="Hyperlink"/>
          </w:rPr>
          <w:t xml:space="preserve">10.1002/joc.781</w:t>
        </w:r>
      </w:hyperlink>
      <w:r>
        <w:t xml:space="preserve">.</w:t>
      </w:r>
      <w:r>
        <w:t xml:space="preserve"> </w:t>
      </w:r>
      <w:hyperlink r:id="rId54">
        <w:r>
          <w:rPr>
            <w:rStyle w:val="Hyperlink"/>
          </w:rPr>
          <w:t xml:space="preserve">http://doi.wiley.com/10.1002/joc.781</w:t>
        </w:r>
      </w:hyperlink>
      <w:r>
        <w:t xml:space="preserve">.</w:t>
      </w:r>
    </w:p>
    <w:bookmarkEnd w:id="55"/>
    <w:bookmarkEnd w:id="56"/>
    <w:bookmarkEnd w:id="57"/>
    <w:sectPr w:rsidR="00EB5358" w:rsidSect="00E54FE7">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A345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8CE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E2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A892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2AD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1E57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421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4A0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B4DB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34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08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4"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3" Type="http://schemas.openxmlformats.org/officeDocument/2006/relationships/hyperlink" Target="https://doi.org/10.1002/joc.781" TargetMode="External"/>
<Relationship Id="rId46" Type="http://schemas.openxmlformats.org/officeDocument/2006/relationships/hyperlink" Target="https://doi.org/10.1016/B978-0-12-386983-8.00015-9" TargetMode="External"/>
<Relationship Id="rId51" Type="http://schemas.openxmlformats.org/officeDocument/2006/relationships/hyperlink" Target="https://doi.org/10.1016/S0022-1694(01)00594-7" TargetMode="External"/>
<Relationship Id="rId36" Type="http://schemas.openxmlformats.org/officeDocument/2006/relationships/hyperlink" Target="https://doi.org/10.1061/(ASCE)0733-9372(2004)130:6(674)" TargetMode="External"/>
<Relationship Id="rId40" Type="http://schemas.openxmlformats.org/officeDocument/2006/relationships/hyperlink" Target="https://doi.org/10.1080/10691898.2016.1246953" TargetMode="External"/>
<Relationship Id="rId48" Type="http://schemas.openxmlformats.org/officeDocument/2006/relationships/hyperlink" Target="https://doi.org/10.1111/j.1467-9868.2010.00749.x" TargetMode="External"/>
<Relationship Id="rId38" Type="http://schemas.openxmlformats.org/officeDocument/2006/relationships/hyperlink" Target="https://www.R-project.org/" TargetMode="External"/>
<Relationship Id="rId42" Type="http://schemas.openxmlformats.org/officeDocument/2006/relationships/hyperlink" Target="https://www.tceq.texas.gov/assets/public/waterquality/swqm/assess/16txir/2016_guidance.pdf" TargetMode="External"/>
<Relationship Id="rId44"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5" Type="http://schemas.openxmlformats.org/officeDocument/2006/relationships/image" Target="media/file371c1b25d19.png"/>
<Relationship Id="rId56" Type="http://schemas.openxmlformats.org/officeDocument/2006/relationships/image" Target="media/file371c664c744.png"/>
<Relationship Id="rId57" Type="http://schemas.openxmlformats.org/officeDocument/2006/relationships/image" Target="media/file371c7df6c77.png"/>
</Relationships>

</file>

<file path=word/_rels/footnotes.xml.rels><?xml version="1.0" encoding="UTF-8" standalone="yes"?>

<Relationships  xmlns="http://schemas.openxmlformats.org/package/2006/relationships">
<Relationship Id="rId54"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3" Type="http://schemas.openxmlformats.org/officeDocument/2006/relationships/hyperlink" Target="https://doi.org/10.1002/joc.781" TargetMode="External"/>
<Relationship Id="rId46" Type="http://schemas.openxmlformats.org/officeDocument/2006/relationships/hyperlink" Target="https://doi.org/10.1016/B978-0-12-386983-8.00015-9" TargetMode="External"/>
<Relationship Id="rId51" Type="http://schemas.openxmlformats.org/officeDocument/2006/relationships/hyperlink" Target="https://doi.org/10.1016/S0022-1694(01)00594-7" TargetMode="External"/>
<Relationship Id="rId36" Type="http://schemas.openxmlformats.org/officeDocument/2006/relationships/hyperlink" Target="https://doi.org/10.1061/(ASCE)0733-9372(2004)130:6(674)" TargetMode="External"/>
<Relationship Id="rId40" Type="http://schemas.openxmlformats.org/officeDocument/2006/relationships/hyperlink" Target="https://doi.org/10.1080/10691898.2016.1246953" TargetMode="External"/>
<Relationship Id="rId48" Type="http://schemas.openxmlformats.org/officeDocument/2006/relationships/hyperlink" Target="https://doi.org/10.1111/j.1467-9868.2010.00749.x" TargetMode="External"/>
<Relationship Id="rId38" Type="http://schemas.openxmlformats.org/officeDocument/2006/relationships/hyperlink" Target="https://www.R-project.org/" TargetMode="External"/>
<Relationship Id="rId42" Type="http://schemas.openxmlformats.org/officeDocument/2006/relationships/hyperlink" Target="https://www.tceq.texas.gov/assets/public/waterquality/swqm/assess/16txir/2016_guidance.pdf" TargetMode="External"/>
<Relationship Id="rId44"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Lucas Gregory 2; 1 Texas Water Resources Institute, Texas AM AgriLife Research; a Corresponding author, michael.schramm@ag.tamu.edu</dc:creator>
  <cp:keywords/>
  <dcterms:created xsi:type="dcterms:W3CDTF">2020-12-02T21:55:51Z</dcterms:created>
  <dcterms:modified xsi:type="dcterms:W3CDTF">2020-12-02T15:55:51Z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date">
    <vt:lpwstr>2020-12-02</vt:lpwstr>
  </property>
  <property fmtid="{D5CDD505-2E9C-101B-9397-08002B2CF9AE}" pid="6" name="output">
    <vt:lpwstr/>
  </property>
</Properties>
</file>