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666666"/>
          <w:sz w:val="20"/>
          <w:szCs w:val="20"/>
        </w:rPr>
        <w:t xml:space="preserve">UNIVERSIDADE DE SÃO PAULO</w:t>
      </w:r>
    </w:p>
    <w:p>
      <w:pPr>
        <w:jc w:val="center"/>
      </w:pPr>
      <w:r>
        <w:rPr>
          <w:color w:val="666666"/>
          <w:sz w:val="20"/>
          <w:szCs w:val="20"/>
        </w:rPr>
        <w:t xml:space="preserve">Escola de Artes, Ciências e Humanidades — PPgSI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F4E79"/>
          <w:sz w:val="44"/>
          <w:szCs w:val="44"/>
        </w:rPr>
        <w:t xml:space="preserve">Predição de Coautorias com CNN e GNN</w:t>
      </w:r>
    </w:p>
    <w:p>
      <w:r>
        <w:t xml:space="preserve"/>
      </w:r>
    </w:p>
    <w:p>
      <w:pPr>
        <w:jc w:val="center"/>
      </w:pPr>
      <w:r>
        <w:rPr>
          <w:color w:val="333333"/>
          <w:sz w:val="26"/>
          <w:szCs w:val="26"/>
        </w:rPr>
        <w:t xml:space="preserve">Relatório do Ciclo 1 — Pipeline OpenAlex e Baselines Reprodutíveis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Doutorando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Marcos Paulo Sanchez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Orientador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Prof. Dr. Luciano Antonio Digiampietri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Programa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Pós-Graduação em Sistemas de Informação — EACH/USP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Período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Junho de 2026 (início do cronograma, 3T/2026)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Repositório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coauthor-rec (commit dc9c901)</w:t>
            </w:r>
          </w:p>
        </w:tc>
      </w:tr>
    </w:tbl>
    <w:p>
      <w:r>
        <w:br w:type="page"/>
      </w:r>
    </w:p>
    <w:p>
      <w:r>
        <w:rPr>
          <w:b/>
          <w:bCs/>
          <w:color w:val="1F4E79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 do ciclo</w:t>
      </w:r>
    </w:p>
    <w:p>
      <w:r>
        <w:t xml:space="preserve">Transformar o Estudo Inicial da qualificação (artigo SBBD / notebook do case) em uma aplicação modular, configurável, testada e reprodutível, e construir o pipeline de coleta e preparação de dados do OpenAlex. Esta etapa corresponde às primeiras atividades do Plano de Trabalho (Cap. 6): refinamento do protocolo experimental, coleta/higienização/versionamento da base e consolidação dos modelos de referência.</w:t>
      </w:r>
    </w:p>
    <w:p>
      <w:r>
        <w:t xml:space="preserve">O ciclo ainda não inclui os módulos de aprendizado profundo (CNN textual e GNN relacional), previstos para 2027; ele prepara a fundação estrutural para eles.</w:t>
      </w:r>
    </w:p>
    <w:p>
      <w:pPr>
        <w:pStyle w:val="Heading1"/>
      </w:pPr>
      <w:r>
        <w:t xml:space="preserve">2. O que foi desenvolvido</w:t>
      </w:r>
    </w:p>
    <w:p>
      <w:r>
        <w:t xml:space="preserve">Pacote Python (coauthor_rec) organizado por responsabilidade, no qual cada módulo implementa uma seção da metodologia da qualificação: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Referência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collect/openalex.py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Coleta do OpenAlex via API (pyalex), em 3 modos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§4.2, §5.1.1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data/clean.py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Integração e limpeza; reconstrução de abstract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§5.1.1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data/gate.py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Gate de qualidade do corpus (5 critérios)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§4.3.2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split/temporal.py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Particionamento temporal T0→T1 e verdade fundamental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§5.1.3–5.1.4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graph/coauthor.py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Rede de coautoria (simples e ponderada)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§5.1.2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graph/hetero.py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Esquema do KG heterogêneo (stub p/ a fase GNN)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§4.3.1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models/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Baseline, oráculo topológico e híbrido (Random Forest)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§5.1.5–5.1.8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eval/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Métricas, regimes warm/cool/cold, análise estatística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§4.6, §5.1.6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cli.py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Interface de linha de comando do pipeline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—</w:t>
            </w:r>
          </w:p>
        </w:tc>
      </w:tr>
    </w:tbl>
    <w:p>
      <w:r>
        <w:t xml:space="preserve"/>
      </w:r>
    </w:p>
    <w:p>
      <w:r>
        <w:t xml:space="preserve">Acompanha suíte de </w:t>
      </w:r>
      <w:r>
        <w:rPr>
          <w:b/>
          <w:bCs/>
        </w:rPr>
        <w:t xml:space="preserve">18 testes automatizados</w:t>
      </w:r>
      <w:r>
        <w:t xml:space="preserve"> (pytest), incluindo um teste que garante ausência de vazamento temporal no split.</w:t>
      </w:r>
    </w:p>
    <w:p>
      <w:pPr>
        <w:pStyle w:val="Heading2"/>
      </w:pPr>
      <w:r>
        <w:t xml:space="preserve">2.1 Estratégias de coleta</w:t>
      </w:r>
    </w:p>
    <w:p>
      <w:r>
        <w:t xml:space="preserve">Em coerência com a §4.2.1 — que deixa a estratégia de coleta em aberto, mencionando tanto “profundidade de expansão” quanto “critérios temáticos” —, o coletor suporta três modos, selecionáveis por configuração: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snowball</w:t>
      </w:r>
      <w:r>
        <w:t xml:space="preserve"> — bola de neve a partir de um artigo/autor-semente (método do Estudo Inicial, Cap. 5);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thematic</w:t>
      </w:r>
      <w:r>
        <w:t xml:space="preserve"> — recorte por Concept do OpenAlex (cenário temático aberto da tese);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</w:t>
      </w:r>
      <w:r>
        <w:t xml:space="preserve"> — bola de neve a partir da semente, restrita aos Concepts temáticos.</w:t>
      </w:r>
    </w:p>
    <w:p>
      <w:r>
        <w:t xml:space="preserve">Os três produzem os mesmos arquivos e já capturam metadados adicionais do KG heterogêneo (instituições, venue/ISSN, concepts, citações), para reuso direto nos módulos de 2027.</w:t>
      </w:r>
    </w:p>
    <w:p>
      <w:pPr>
        <w:pStyle w:val="Heading2"/>
      </w:pPr>
      <w:r>
        <w:t xml:space="preserve">2.2 Protocolo experimental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Split temporal por artigo: </w:t>
      </w:r>
      <w:r>
        <w:t xml:space="preserve">os 80% de works mais antigos formam o treino (T0); os 20% mais recentes, o teste (T1).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Verdade fundamental: </w:t>
      </w:r>
      <w:r>
        <w:t xml:space="preserve">C_new(a) = C_future(a) \ C_past(a) — apenas colaborações inéditas são positivas (Eq. 14).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Gate de qualidade: </w:t>
      </w:r>
      <w:r>
        <w:t xml:space="preserve">o corpus precisa satisfazer 5 critérios mínimos antes da modelagem (§4.3.2).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Regimes: </w:t>
      </w:r>
      <w:r>
        <w:t xml:space="preserve">cada autor-alvo é warm (≥5 coautores em T0), cool (1–4) ou cold (0); métricas também por regime.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Métricas: </w:t>
      </w:r>
      <w:r>
        <w:t xml:space="preserve">Precision@K, Recall@K, F1@K, NDCG@K, MRR@K e MAP, com K ∈ {5,10,20,50,100,200}.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Estatística: </w:t>
      </w:r>
      <w:r>
        <w:t xml:space="preserve">Shapiro-Wilk → t pareado ou Wilcoxon; correção de Bonferroni; IC por bootstrap.</w:t>
      </w:r>
    </w:p>
    <w:p>
      <w:pPr>
        <w:pStyle w:val="Heading1"/>
      </w:pPr>
      <w:r>
        <w:t xml:space="preserve">3. Validação de ponta a ponta (dados reais)</w:t>
      </w:r>
    </w:p>
    <w:p>
      <w:r>
        <w:t xml:space="preserve">O pipeline completo foi executado sobre dados reais, partindo da semente W1983561455 (“Predicting Co-Author Relationship in Medical Co-Authorship Networks”):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Coleta (snowball, profundidade 2)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9.095 works / 27.119 autores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Limpeza (inglês, ano ≥ 2004, dedup)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5.878 works / 19.120 autores · 100% com abstract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Gate de qualidade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APROVADO (5/5; peso médio 1,387; 9.587 pares peso≥3)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Split temporal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treino 4.702 / teste 1.176 works · 5.894 autores-alvo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Regimes dos alvos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warm 979 · cool 78 · cold 4.837</w:t>
            </w:r>
          </w:p>
        </w:tc>
      </w:tr>
    </w:tbl>
    <w:p>
      <w:pPr>
        <w:pStyle w:val="Heading2"/>
      </w:pPr>
      <w:r>
        <w:t xml:space="preserve">3.1 Resultados (Recall@K, 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Oráculo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Híbrido-RF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2,91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19,27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3,42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5,01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20,29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4,96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20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7,55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20,46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7,82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9,83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20,47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10,52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10,58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20,47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12,31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200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11,85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20,47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</w:rPr>
              <w:t xml:space="preserve">12,81</w:t>
            </w:r>
          </w:p>
        </w:tc>
      </w:tr>
    </w:tbl>
    <w:p>
      <w:r>
        <w:t xml:space="preserve"/>
      </w:r>
    </w:p>
    <w:p>
      <w:r>
        <w:t xml:space="preserve">Tabela completa (todos os modelos e métricas) em </w:t>
      </w:r>
      <w:r>
        <w:rPr>
          <w:i/>
          <w:iCs/>
        </w:rPr>
        <w:t xml:space="preserve">runs/baselines/report.txt</w:t>
      </w:r>
      <w:r>
        <w:t xml:space="preserve">.</w:t>
      </w:r>
    </w:p>
    <w:p>
      <w:pPr>
        <w:pStyle w:val="Heading2"/>
      </w:pPr>
      <w:r>
        <w:t xml:space="preserve">3.2 Leitura dos resultados</w:t>
      </w:r>
    </w:p>
    <w:p>
      <w:r>
        <w:t xml:space="preserve">Os números reproduzem o padrão descrito na qualificação (§5.2–5.3):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 oráculo é um teto claro</w:t>
      </w:r>
      <w:r>
        <w:t xml:space="preserve"> (~20,5% de Recall): há um limite superior imposto pelo espaço de candidatos topológico — a topologia, sozinha, restringe a predição.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 híbrido supera o baseline em Recall</w:t>
      </w:r>
      <w:r>
        <w:t xml:space="preserve"> nos cortes maiores (12,81% vs 11,85% em K=200) e recupera 62,5% do oráculo em K=200.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 ganho é assimétrico:</w:t>
      </w:r>
      <w:r>
        <w:t xml:space="preserve"> a vantagem concentra-se na cobertura (Recall em K alto), não no topo do ranking — features topológicas não bastam para ordenar bem as primeiras posições.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 regime cold domina</w:t>
      </w:r>
      <w:r>
        <w:t xml:space="preserve"> (4.837 de 5.894 alvos) e tem o pior desempenho relativo — evidência empírica direta do cold-start que a tese ataca com a fusão CNN+GNN.</w:t>
      </w:r>
    </w:p>
    <w:p>
      <w:r>
        <w:t xml:space="preserve">Em síntese: a aplicação funciona de ponta a ponta sobre dados reais e </w:t>
      </w:r>
      <w:r>
        <w:rPr>
          <w:b/>
          <w:bCs/>
        </w:rPr>
        <w:t xml:space="preserve">sustenta empiricamente a motivação central da tese</w:t>
      </w:r>
      <w:r>
        <w:t xml:space="preserve">.</w:t>
      </w:r>
    </w:p>
    <w:p>
      <w:pPr>
        <w:pStyle w:val="Heading1"/>
      </w:pPr>
      <w:r>
        <w:t xml:space="preserve">4. Situação e próximos passos</w:t>
      </w:r>
    </w:p>
    <w:p>
      <w:r>
        <w:rPr>
          <w:b/>
          <w:bCs/>
        </w:rPr>
        <w:t xml:space="preserve">Concluído neste ciclo: </w:t>
      </w:r>
      <w:r>
        <w:t xml:space="preserve">protocolo experimental, pipeline de dados OpenAlex (3 modos), gate de qualidade, modelos de referência consolidados sob protocolo único com estratificação por regime e base estatística — tudo testado e validado em corpus real aprovado no gate.</w:t>
      </w:r>
    </w:p>
    <w:p>
      <w:r>
        <w:rPr>
          <w:b/>
          <w:bCs/>
        </w:rPr>
        <w:t xml:space="preserve">Próximos ciclos (2027), já com fundação pronta:</w:t>
      </w:r>
    </w:p>
    <w:p>
      <w:pPr>
        <w:pStyle w:val="ListParagraph"/>
        <w:numPr>
          <w:ilvl w:val="0"/>
          <w:numId w:val="3"/>
        </w:numPr>
      </w:pPr>
      <w:r>
        <w:t xml:space="preserve">Materialização do KG heterogêneo → HeteroData (PyTorch Geometric); esquema da Tabela 8 já fixado em graph/hetero.py.</w:t>
      </w:r>
    </w:p>
    <w:p>
      <w:pPr>
        <w:pStyle w:val="ListParagraph"/>
        <w:numPr>
          <w:ilvl w:val="0"/>
          <w:numId w:val="3"/>
        </w:numPr>
      </w:pPr>
      <w:r>
        <w:t xml:space="preserve">Módulo textual (BERT/SciBERT + CNN 1D) → embedding textual do autor.</w:t>
      </w:r>
    </w:p>
    <w:p>
      <w:pPr>
        <w:pStyle w:val="ListParagraph"/>
        <w:numPr>
          <w:ilvl w:val="0"/>
          <w:numId w:val="3"/>
        </w:numPr>
      </w:pPr>
      <w:r>
        <w:t xml:space="preserve">Módulo relacional (GNN heterogênea, indutiva para cold-start).</w:t>
      </w:r>
    </w:p>
    <w:p>
      <w:pPr>
        <w:pStyle w:val="ListParagraph"/>
        <w:numPr>
          <w:ilvl w:val="0"/>
          <w:numId w:val="3"/>
        </w:numPr>
      </w:pPr>
      <w:r>
        <w:t xml:space="preserve">Fusão multimodal (Eq. 10) e re-ranking supervisionado (Eq. 12); estudos de ablação.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6"/>
      </w:pBdr>
      <w:jc w:val="center"/>
    </w:pPr>
    <w:r>
      <w:rPr>
        <w:color w:val="666666"/>
        <w:sz w:val="18"/>
        <w:szCs w:val="18"/>
      </w:rPr>
      <w:t xml:space="preserve">coauthor-rec · Relatório do Ciclo 1 ·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2026-06-16T12:23:11.354Z</dcterms:created>
  <dcterms:modified xsi:type="dcterms:W3CDTF">2026-06-16T12:23:11.360Z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