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b/>
          <w:bCs/>
          <w:color w:val="1F4E79"/>
          <w:sz w:val="40"/>
          <w:szCs w:val="40"/>
        </w:rPr>
        <w:t xml:space="preserve">Predição de Coautorias com CNN e GNN</w:t>
      </w:r>
    </w:p>
    <w:p>
      <w:r>
        <w:t xml:space="preserve"/>
      </w:r>
    </w:p>
    <w:p>
      <w:pPr>
        <w:jc w:val="center"/>
      </w:pPr>
      <w:r>
        <w:rPr>
          <w:color w:val="333333"/>
          <w:sz w:val="24"/>
          <w:szCs w:val="24"/>
        </w:rPr>
        <w:t xml:space="preserve">Relatório de Avaliação — Comparação de Modelos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Doutorando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Marcos Paulo Sanchez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Orientador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Prof. Dr. Luciano A. Digiampietri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Programa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PPgSI — EACH/USP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Base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OpenAlex (snowball; 5.878 works / 19.120 autores)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Split temporal T0→T1; IC95% bootstrap; PYTHONHASHSEED=0</w:t>
            </w:r>
          </w:p>
        </w:tc>
      </w:tr>
    </w:tbl>
    <w:p>
      <w:r>
        <w:br w:type="page"/>
      </w:r>
    </w:p>
    <w:p>
      <w:r>
        <w:rPr>
          <w:b/>
          <w:bCs/>
          <w:color w:val="1F4E79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Objetivo e arquitetura</w:t>
      </w:r>
    </w:p>
    <w:p>
      <w:r>
        <w:t xml:space="preserve">Sistema híbrido de recomendação de coautores que funde representações textuais (CNN/SciBERT) e estruturais (GNN heterogênea) sobre um Grafo de Conhecimento do OpenAlex, avaliado como predição de links futuros (T0→T1) nos regimes warm/cool/cold. Este relatório consolida a avaliação comparativa dos modelos construídos.</w:t>
      </w:r>
    </w:p>
    <w:p>
      <w:r>
        <w:rPr>
          <w:b/>
          <w:bCs/>
        </w:rPr>
        <w:t xml:space="preserve">Cobertura da arquitetura proposta (Figura 1 da qualificação):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OpenAlex → KG heterogêneo (5 entidades/6 relações)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Concluído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Enriquecimento GenAI (estilo/assunto via LLM)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Feito; não melhorou a GNN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CNN + SciBERT → embedding textual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Concluído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GNN heterogênea → embedding estrutural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Concluído (H-GraphSAGE)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Fusão multimodal (Eq.10)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Concluído; empatou com a GNN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Produção: ranking de candidatos → Top-K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Concluído (gargalo identificado)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Avaliação: GT, regimes, métricas, estatística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Concluído (+newcomer, +bootstrap)</w:t>
            </w:r>
          </w:p>
        </w:tc>
      </w:tr>
    </w:tbl>
    <w:p>
      <w:pPr>
        <w:pStyle w:val="Heading1"/>
      </w:pPr>
      <w:r>
        <w:t xml:space="preserve">2. Materiais e método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Corpus: </w:t>
      </w:r>
      <w:r>
        <w:t xml:space="preserve">snowball no OpenAlex; após limpeza, 5.878 artigos e 19.120 autores; gate de qualidade aprovado. Teto de 50 coautores/artigo (anti-consórcio).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Split temporal: </w:t>
      </w:r>
      <w:r>
        <w:t xml:space="preserve">80% works mais antigos = T0 (treino); 20% recentes = T1 (teste). Ground truth = novas coautorias C_new = C_future \ C_past.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Regimes: </w:t>
      </w:r>
      <w:r>
        <w:t xml:space="preserve">warm (≥5 coautores em T0, n=976), cool (1–4, n=78), cold (0 mas ≥1 artigo, n=3); newcomers sem artigo em T0 (n=4837) reportados à parte.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Métricas: </w:t>
      </w:r>
      <w:r>
        <w:t xml:space="preserve">Precision@K, Recall@K, F1@K, NDCG@K, MRR@K, MAP — K ∈ {5,10,20,50,100,200}.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Estatística: </w:t>
      </w:r>
      <w:r>
        <w:t xml:space="preserve">IC95% por bootstrap (100 reamostragens de autores); testes pareados Wilcoxon com correção de Bonferroni. Execução com PYTHONHASHSEED=0 (reprodutível).</w:t>
      </w:r>
    </w:p>
    <w:p>
      <w:pPr>
        <w:pStyle w:val="Heading1"/>
      </w:pPr>
      <w:r>
        <w:t xml:space="preserve">3. Resultados</w:t>
      </w:r>
    </w:p>
    <w:p>
      <w:pPr>
        <w:pStyle w:val="Heading2"/>
      </w:pPr>
      <w:r>
        <w:t xml:space="preserve">3.1 Métricas gerais (média [IC95%], %)</w:t>
      </w:r>
    </w:p>
    <w:p>
      <w:r>
        <w:rPr>
          <w:b/>
          <w:bCs/>
        </w:rPr>
        <w:t xml:space="preserve">Recall@K — </w:t>
      </w:r>
      <w:r>
        <w:t xml:space="preserve">verde = melhor modelo realista (exclui o oráculo, que é o teto).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@10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@50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@200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(CN)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4.90 [4.7–5.1]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10.97 [10.7–11.2]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13.23 [12.9–13.5]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Oráculo (teto)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20.54 [20.1–20.9]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20.73 [20.4–21.1]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20.73 [20.3–21.1]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4.90 [4.7–5.1]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11.44 [11.2–11.7]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14.80 [14.5–15.1]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(SciBERT)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0.73 [0.6–0.9]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1.41 [1.3–1.6]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 [2.0–2.5]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GNN-rerank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4.51 [4.3–4.7]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9.50 [9.2–9.7]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12.30 [12.0–12.6]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4.84 [4.6–5.1]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10.91 [10.6–11.1]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14.84 [14.5–15.1]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Sup-Hybrid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4.18 [4.0–4.3]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10.10 [9.8–10.3]</w:t>
            </w:r>
          </w:p>
        </w:tc>
        <w:tc>
          <w:tcPr>
            <w:tcW w:type="dxa" w:w="2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14.81 [14.4–15.1]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Qualidade de ranqueamento no topo (NDCG@10 e MRR@10):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@5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@10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(CN)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5.43 [5.2–5.7]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5.43 [5.2–5.7]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Oráculo (teto)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47.69 [47.1–48.3]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37.23 [36.6–37.7]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5.48 [5.2–5.7]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5.23 [5.0–5.4]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(SciBERT)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0.71 [0.6–0.8]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0.75 [0.6–0.9]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GNN-rerank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4.98 [4.8–5.2]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4.74 [4.6–4.9]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5.34 [5.1–5.6]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5.11 [4.9–5.3]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Sup-Hybrid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4.67 [4.5–4.9]</w:t>
            </w:r>
          </w:p>
        </w:tc>
        <w:tc>
          <w:tcPr>
            <w:tcW w:type="dxa" w:w="3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4.41 [4.3–4.6]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3.2 Gráficos — métricas × K (barras = IC95%)</w:t>
      </w:r>
    </w:p>
    <w:p>
      <w:r>
        <w:rPr>
          <w:b/>
          <w:bCs/>
        </w:rPr>
        <w:t xml:space="preserve">Regime geral (n=5894):</w:t>
      </w:r>
    </w:p>
    <w:p>
      <w:pPr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metricas_overall.png" descr="metricas_overall.png" title="metricas_over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Regime cool (n=78) — onde o multimodal tem valor:</w:t>
      </w:r>
    </w:p>
    <w:p>
      <w:pPr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metricas_cool.png" descr="metricas_cool.png" title="metricas_co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Análise crítica (qual venceu, e por quê)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Melhor cobertura (Recall@200): </w:t>
      </w:r>
      <w:r>
        <w:t xml:space="preserve">Híbrido RF e Candidatos híbridos empatam (~14,8%; diferença dentro do IC, não significativa).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Melhor no topo do ranking (MRR/NDCG/MAP): </w:t>
      </w:r>
      <w:r>
        <w:t xml:space="preserve">o Baseline (Common Neighbors) — a heurística simples ordena melhor as primeiras posições; modelos que ampliam candidatos ganham recall mas perdem precisão no topo.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Ganho robusto do texto: </w:t>
      </w:r>
      <w:r>
        <w:t xml:space="preserve">apenas no regime cool — candidatos textuais alcançam coautores fora da vizinhança de 2 saltos, furando o teto do oráculo topológico. É onde a hipótese da tese se sustenta.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Não funcionaram como esperado: </w:t>
      </w:r>
      <w:r>
        <w:t xml:space="preserve">GNN-rerank e fusão end-to-end empataram com a topologia; o enriquecimento GenAI (categorias no KG) foi neutro/negativo; o ranqueador supervisionado sobre o pool híbrido piorou o topo. A fusão útil é de FONTES DE CANDIDATOS, não de representações.</w:t>
      </w:r>
    </w:p>
    <w:p>
      <w:r>
        <w:rPr>
          <w:b/>
          <w:bCs/>
        </w:rPr>
        <w:t xml:space="preserve">Significância (Wilcoxon + Bonferroni): </w:t>
      </w:r>
      <w:r>
        <w:t xml:space="preserve">o Híbrido RF é significativamente melhor que GNN/texto em R@50 e NDCG@10; nenhuma abordagem multimodal o supera de forma robusta. O único ganho significativo do texto/híbrido é em cool (R@10).</w:t>
      </w:r>
    </w:p>
    <w:p>
      <w:pPr>
        <w:pStyle w:val="Heading1"/>
      </w:pPr>
      <w:r>
        <w:t xml:space="preserve">5. Conclusão e próximos passos</w:t>
      </w:r>
    </w:p>
    <w:p>
      <w:r>
        <w:rPr>
          <w:b/>
          <w:bCs/>
        </w:rPr>
        <w:t xml:space="preserve">Conclusão: </w:t>
      </w:r>
      <w:r>
        <w:t xml:space="preserve">o Híbrido RF (topológico supervisionado) permanece o melhor modelo geral; o multimodal agrega valor de forma localizada e robusta no regime cool (baixa conectividade), graças ao alcance de candidatos via texto. A contribuição metodológica é caracterizar onde o multimodal ajuda e onde a topologia basta.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Ressalva estatística: </w:t>
      </w:r>
      <w:r>
        <w:t xml:space="preserve">cool tem IC largo (n=78) e cold é inconclusivo (n=3) neste corpus — diferenças nesses regimes são sugestivas, não conclusivas.</w:t>
      </w:r>
    </w:p>
    <w:p>
      <w:pPr>
        <w:pStyle w:val="ListParagraph"/>
        <w:numPr>
          <w:ilvl w:val="0"/>
          <w:numId w:val="2"/>
        </w:numPr>
      </w:pPr>
      <w:r>
        <w:t xml:space="preserve">Próximo: aprofundar cool/cold com um corpus com mais autores de baixa conectividade, para fortalecer estatisticamente o ganho do multimodal.</w:t>
      </w:r>
    </w:p>
    <w:p>
      <w:pPr>
        <w:pStyle w:val="ListParagraph"/>
        <w:numPr>
          <w:ilvl w:val="0"/>
          <w:numId w:val="2"/>
        </w:numPr>
      </w:pPr>
      <w:r>
        <w:t xml:space="preserve">Direção promissora: ranqueador que preserve a precisão do RF no topo sobre o pool de candidatos ampliado (estrutura ∪ texto).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6"/>
      </w:pBdr>
      <w:jc w:val="center"/>
    </w:pPr>
    <w:r>
      <w:rPr>
        <w:color w:val="666666"/>
        <w:sz w:val="16"/>
        <w:szCs w:val="16"/>
      </w:rPr>
      <w:t xml:space="preserve">coauthor-rec · Relatório de Avaliação · pág.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e42ff012a7b9d15b9a9f5765ae1f57658ef2963.png"/><Relationship Id="rId9" Type="http://schemas.openxmlformats.org/officeDocument/2006/relationships/image" Target="media/dba07d956060aec4cd9fe7b0722852462880d89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2026-06-18T13:25:12.564Z</dcterms:created>
  <dcterms:modified xsi:type="dcterms:W3CDTF">2026-06-18T13:25:12.570Z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