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40"/>
          <w:szCs w:val="40"/>
        </w:rPr>
        <w:t xml:space="preserve">Predição de Coautorias com CNN e GNN</w:t>
      </w:r>
    </w:p>
    <w:p>
      <w:r>
        <w:t xml:space="preserve"/>
      </w:r>
    </w:p>
    <w:p>
      <w:pPr>
        <w:jc w:val="center"/>
      </w:pPr>
      <w:r>
        <w:rPr>
          <w:color w:val="333333"/>
          <w:sz w:val="22"/>
          <w:szCs w:val="22"/>
        </w:rPr>
        <w:t xml:space="preserve">Relatório Científico — Construção, Resultados e Validação da Tese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Doutorando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Marcos Paulo Sanchez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Orientador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Prof. Dr. Luciano A. Digiampietri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Programa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PPgSI — EACH/USP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Médica (snowball, densa) e IA temática (45.732 autores, esparsa)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Protocolo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Predição de links T0→T1; IC95% bootstrap; Wilcoxon+Bonferroni; PYTHONHASHSEED=0</w:t>
            </w:r>
          </w:p>
        </w:tc>
      </w:tr>
    </w:tbl>
    <w:p>
      <w:r>
        <w:br w:type="page"/>
      </w:r>
    </w:p>
    <w:p>
      <w:r>
        <w:rPr>
          <w:b/>
          <w:bCs/>
          <w:color w:val="1F4E79"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Resumo executivo</w:t>
      </w:r>
    </w:p>
    <w:p>
      <w:r>
        <w:t xml:space="preserve">Investigamos a recomendação de coautores como predição de links futuros, comparando, sob um protocolo único, abordagens estruturais (topologia, Random Forest, GNN heterogênea) e textuais (SciBERT/CNN), além de sua fusão e do enriquecimento por IA Generativa. Principal achado: o gargalo não é a representação, e sim a GERAÇÃO DE CANDIDATOS — a topologia alcança apenas ~5% dos coautores futuros (mesmo a 3 saltos), enquanto o sinal textual recupera colaborações fora da estrutura. Em redes esparsas (domínio de IA) e, sobretudo, no cold-start, o texto é decisivo — onde a topologia é nula, é a única fonte de sinal. A hipótese da tese confirma-se numa forma refinada (ver Seção 9).</w:t>
      </w:r>
    </w:p>
    <w:p>
      <w:pPr>
        <w:pStyle w:val="Heading1"/>
      </w:pPr>
      <w:r>
        <w:t xml:space="preserve">2. Problema e hipóteses</w:t>
      </w:r>
    </w:p>
    <w:p>
      <w:r>
        <w:t xml:space="preserve">Problema: dado um autor-alvo e seu histórico até um instante T0, recomendar potenciais novos coautores, validando contra colaborações reais observadas no período seguinte T1.</w:t>
      </w:r>
    </w:p>
    <w:p>
      <w:r>
        <w:rPr>
          <w:b/>
          <w:bCs/>
        </w:rPr>
        <w:t xml:space="preserve">Hipótese central (qualificação): </w:t>
      </w:r>
      <w:r>
        <w:t xml:space="preserve">a combinação de representações textuais (CNN) e estruturais (GNN) supera cada uma isolada.</w:t>
      </w:r>
    </w:p>
    <w:p>
      <w:r>
        <w:rPr>
          <w:b/>
          <w:bCs/>
        </w:rPr>
        <w:t xml:space="preserve">Hipótese refinada (este trabalho): </w:t>
      </w:r>
      <w:r>
        <w:t xml:space="preserve">o valor do sinal textual está em ampliar o espaço de candidatos para além da vizinhança topológica — sendo decisivo quando a rede é esparsa ou o autor não tem histórico (cold-start), e complementar (não dominante no topo) quando há estrutura rica.</w:t>
      </w:r>
    </w:p>
    <w:p>
      <w:pPr>
        <w:pStyle w:val="Heading1"/>
      </w:pPr>
      <w:r>
        <w:t xml:space="preserve">3. Arquitetura e fluxo metodológico</w:t>
      </w:r>
    </w:p>
    <w:p>
      <w:r>
        <w:t xml:space="preserve">O sistema organiza-se em coleta/preparação, construção do Grafo de Conhecimento heterogêneo, duas vertentes de modelagem (estrutural e textual), geração de candidatos e avaliação temporal estratificada por regime de conectividade (warm/cool/cold).</w:t>
      </w:r>
    </w:p>
    <w:p>
      <w:pPr>
        <w:spacing w:before="8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diagrama_fluxo.png" descr="diagrama_fluxo.png" title="diagrama_flux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Figura 1 — Fluxo metodológico. O gargalo está na geração de candidatos.</w:t>
      </w:r>
    </w:p>
    <w:p>
      <w:pPr>
        <w:pStyle w:val="Heading1"/>
      </w:pPr>
      <w:r>
        <w:t xml:space="preserve">4. Construção passo a passo (a partir do baseline)</w:t>
      </w:r>
    </w:p>
    <w:p>
      <w:r>
        <w:t xml:space="preserve">Cada etapa segue o ciclo científico motivação → método → resultado → conclusão. O baseline de referência é o Common Neighbors (heurística de vizinhança de 2 saltos).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Baseline (Common Neighbors). </w:t>
      </w:r>
      <w:r>
        <w:t xml:space="preserve">Método: candidatos de 2 saltos ranqueados por nº de vizinhos em comum. Resultado: referência consistente, forte no topo do ranking. Conclusão: ponto de partida; limitado pela topologia.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Random Forest (reranking supervisionado). </w:t>
      </w:r>
      <w:r>
        <w:t xml:space="preserve">Método: RF sobre features topológicas (CN, Jaccard, Adamic-Adar) nos candidatos de 2 saltos. Resultado: ganho significativo de recall sobre o baseline. Conclusão: combinar sinais topológicos ajuda — mas continua preso ao 2-hop.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Módulo textual (SciBERT/CNN). </w:t>
      </w:r>
      <w:r>
        <w:t xml:space="preserve">Método: embeddings de título+abstract; similaridade entre autores. Resultado: fraco no geral, mas forte em baixa conectividade. Conclusão: o conteúdo carrega sinal que a estrutura não tem.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GNN heterogênea. </w:t>
      </w:r>
      <w:r>
        <w:t xml:space="preserve">Método: reranker 2-hop com agregação sobre o KG. Resultado: empata o RF. Conclusão: a representação profunda não supera o RF sob o mesmo espaço de candidatos.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Fusão end-to-end (CNN+GNN). </w:t>
      </w:r>
      <w:r>
        <w:t xml:space="preserve">Método: z_texto ⊕ z_grafo → camada densa. Resultado: empata a GNN. Conclusão: fundir representações não basta.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Enriquecimento por IA Generativa. </w:t>
      </w:r>
      <w:r>
        <w:t xml:space="preserve">Método: atributos de alto nível (estilo, contribuição) extraídos por LLM (OpenAI e Claude) como nós do KG. Resultado: neutro/negativo. Conclusão: categorias ruidosas não agregam.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Candidatos híbridos (estrutura ∪ texto). </w:t>
      </w:r>
      <w:r>
        <w:t xml:space="preserve">Método: ampliar o pool com vizinhos textuais. Resultado: empata/supera o RF em cobertura; o ganho vem do alcance. Conclusão: o gargalo era a geração de candidatos.</w:t>
      </w:r>
    </w:p>
    <w:p>
      <w:pPr>
        <w:pStyle w:val="Heading1"/>
      </w:pPr>
      <w:r>
        <w:t xml:space="preserve">5. Comparação com o baseline</w:t>
      </w:r>
    </w:p>
    <w:p>
      <w:r>
        <w:t xml:space="preserve">Δ vs Baseline = ganho em Recall@200 sobre o Common Neighbors (base de IA, autores ativos em T0). </w:t>
      </w:r>
      <w:r>
        <w:rPr>
          <w:i/>
          <w:iCs/>
        </w:rPr>
        <w:t xml:space="preserve">Verde = ganho; vermelho = perda. Oráculo = teto topológico.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580"/>
        <w:gridCol w:w="15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Recall@200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Δ vs Baseline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MRR@10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NDCG@10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(Common Neighbors)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2.67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Híbrido RF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D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+2.45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4.23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(SciBERT)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6.81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D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+5.52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3.86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1.69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GNN-rerank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D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+2.39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3.70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Cand. híbridos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7.06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D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+5.77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3.94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1.72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Sup-Hybrid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7.07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D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+5.78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Fusão (CNN+GNN)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D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+2.37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3.54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1.87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Oráculo (teto)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+5.02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31.40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12.72</w:t>
            </w:r>
          </w:p>
        </w:tc>
      </w:tr>
    </w:tbl>
    <w:p>
      <w:pPr>
        <w:spacing w:before="8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metricas_overall.png" descr="metricas_overall.png" title="metricas_over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Figura 2 — Métricas × K (autores ativos em T0; barras = IC95%).</w:t>
      </w:r>
    </w:p>
    <w:p>
      <w:pPr>
        <w:pStyle w:val="Heading1"/>
      </w:pPr>
      <w:r>
        <w:t xml:space="preserve">6. O insight central: o espaço de candidatos</w:t>
      </w:r>
    </w:p>
    <w:p>
      <w:r>
        <w:t xml:space="preserve">Os modelos topológicos só recomendam quem está a 2 saltos. Em redes esparsas isso alcança pouquíssimos coautores futuros; o texto traz candidatos fora da estrutura.</w:t>
      </w:r>
    </w:p>
    <w:p>
      <w:pPr>
        <w:spacing w:before="80"/>
        <w:jc w:val="center"/>
      </w:pPr>
      <w:r>
        <w:drawing>
          <wp:inline distT="0" distB="0" distL="0" distR="0">
            <wp:extent cx="6096000" cy="2552700"/>
            <wp:effectExtent t="0" r="0" b="0" l="0"/>
            <wp:docPr id="1" name="diagrama_candidatos.png" descr="diagrama_candidatos.png" title="diagrama_candida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Figura 3 — Por que o texto alcança o que a topologia não vê.</w:t>
      </w:r>
    </w:p>
    <w:p>
      <w:r>
        <w:rPr>
          <w:b/>
          <w:bCs/>
        </w:rPr>
        <w:t xml:space="preserve">Exemplo concreto (regime cool). </w:t>
      </w:r>
      <w:r>
        <w:t xml:space="preserve">O autor Icek Ajzen (3 coautores em T0) volta a colaborar, em T1, com Martin Fishbein — dupla de referência da Teoria do Comportamento Planejado. O modelo Textual recupera essa coautoria na 4ª posição; o Random Forest e o Baseline não a trazem nem no top-50, pois Fishbein está fora da vizinhança de 2 saltos de Ajzen. A afinidade temática (texto) prevê a colaboração que a estrutura não alcança.</w:t>
      </w:r>
    </w:p>
    <w:p>
      <w:pPr>
        <w:pStyle w:val="Heading1"/>
      </w:pPr>
      <w:r>
        <w:t xml:space="preserve">7. Avanço principal: cold-start</w:t>
      </w:r>
    </w:p>
    <w:p>
      <w:r>
        <w:t xml:space="preserve">Coletamos uma base temática de IA (45.732 autores) que popula os regimes de baixa conectividade (cool n=783, cold n=53). Com poder estatístico real: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cool R@200 (n=783)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cold R@200 (n=53)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(CN)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Híbrido RF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D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D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6.2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Cand. híbridos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D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D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4.7</w:t>
            </w:r>
          </w:p>
        </w:tc>
      </w:tr>
    </w:tbl>
    <w:p>
      <w:pPr>
        <w:spacing w:before="80"/>
        <w:jc w:val="center"/>
      </w:pPr>
      <w:r>
        <w:drawing>
          <wp:inline distT="0" distB="0" distL="0" distR="0">
            <wp:extent cx="5905500" cy="2266950"/>
            <wp:effectExtent t="0" r="0" b="0" l="0"/>
            <wp:docPr id="1" name="ai_cool_cold.png" descr="ai_cool_cold.png" title="ai_cool_co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Figura 4 — Recall@K por regime (base de IA). No cold, topologia ≈ 0; só o texto sobe.</w:t>
      </w:r>
    </w:p>
    <w:p>
      <w:r>
        <w:t xml:space="preserve">No cold-start os modelos topológicos zeram (vizinhança vazia); apenas o texto recomenda (Texto vs RF +6,2pp, p=0,0009). Em cool, texto/híbridos superam o RF (+4,0pp, p=1,2×10⁻²³).</w:t>
      </w:r>
    </w:p>
    <w:p>
      <w:pPr>
        <w:pStyle w:val="Heading1"/>
      </w:pPr>
      <w:r>
        <w:t xml:space="preserve">8. Experimentos de validação</w:t>
      </w:r>
    </w:p>
    <w:p>
      <w:r>
        <w:rPr>
          <w:b/>
          <w:bCs/>
        </w:rPr>
        <w:t xml:space="preserve">8.1 Compensa ir para 3 saltos? </w:t>
      </w:r>
      <w:r>
        <w:t xml:space="preserve">Medindo o alcance (fração de coautores futuros no pool) e o custo (tamanho do pool):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regime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alcance 2-hop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alcance 3-hop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pool 2-hop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pool 3-hop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geral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3,5%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4,9%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warm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3,8%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5,6%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119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cool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3,3%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4,0%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cold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before="80"/>
      </w:pPr>
      <w:r>
        <w:t xml:space="preserve">Não compensa: +1–2pp de alcance ao custo de ~4× mais candidatos; zero em cold. Mesmo a 3 saltos, a topologia alcança só ~5% dos coautores futuros — ~95% estão fora do grafo.</w:t>
      </w:r>
    </w:p>
    <w:p>
      <w:r>
        <w:rPr>
          <w:b/>
          <w:bCs/>
        </w:rPr>
        <w:t xml:space="preserve">8.2 A riqueza heterogênea da KG ajuda a GNN? </w:t>
      </w:r>
      <w:r>
        <w:t xml:space="preserve">Ablação (mesmas features/épocas/seed):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GNN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warm R@200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cool R@200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KG completo (6 relações)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4,01%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3,35%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só co-autoria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4,00%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3,35%</w:t>
            </w:r>
          </w:p>
        </w:tc>
      </w:tr>
    </w:tbl>
    <w:p>
      <w:pPr>
        <w:spacing w:before="80"/>
      </w:pPr>
      <w:r>
        <w:t xml:space="preserve">Idênticos: as relações extras (venue, conceito, instituição, citação) e o enriquecimento GenAI não agregam à recomendação. O sinal de grafo útil é a co-autoria.</w:t>
      </w:r>
    </w:p>
    <w:p>
      <w:pPr>
        <w:pStyle w:val="Heading1"/>
      </w:pPr>
      <w:r>
        <w:t xml:space="preserve">9. Validação da tese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80"/>
        <w:gridCol w:w="308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Hipótese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Veredito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Fusão CNN+GNN &gt; cada isolada (literal)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Não confirmada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Fusão empata GNN/RF (warm 3,99/cool 3,35)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amplia candidatos &gt; topologia (refinada)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D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Confirmada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cool +4,0pp p=1e-23; supera oráculo topológico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essencial no cold-start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D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Confirmada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topologia 0%; texto 6,2% (p&lt;0,001)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Enriquecimento GenAI melhora a GNN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Não confirmada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ablação: KG completo ≈ só co-autoria</w:t>
            </w:r>
          </w:p>
        </w:tc>
      </w:tr>
    </w:tbl>
    <w:p>
      <w:r>
        <w:rPr>
          <w:b/>
          <w:bCs/>
        </w:rPr>
        <w:t xml:space="preserve">Veredito geral: </w:t>
      </w:r>
      <w:r>
        <w:t xml:space="preserve">a tese é validada em forma refinada — a contribuição multimodal não está em fundir representações, e sim em usar a semântica textual para ampliar o espaço de candidatos, decisiva em redes esparsas e no cold-start, onde a topologia falha. É um resultado positivo, defensável e original.</w:t>
      </w:r>
    </w:p>
    <w:p>
      <w:pPr>
        <w:pStyle w:val="Heading1"/>
      </w:pPr>
      <w:r>
        <w:t xml:space="preserve">10. Discussão — lacunas, dados semânticos e combinações</w:t>
      </w:r>
    </w:p>
    <w:p>
      <w:r>
        <w:rPr>
          <w:b/>
          <w:bCs/>
        </w:rPr>
        <w:t xml:space="preserve">Lacunas (a explorar): </w:t>
      </w:r>
      <w:r>
        <w:t xml:space="preserve">encoder congelado (sem fine-tuning); learning-to-rank sobre o pool híbrido; GNN com atenção (HAN); ablação do sinal textual (título × abstract × conceitos); generalização a mais domínios.</w:t>
      </w:r>
    </w:p>
    <w:p>
      <w:r>
        <w:rPr>
          <w:b/>
          <w:bCs/>
        </w:rPr>
        <w:t xml:space="preserve">Mais dados semânticos: </w:t>
      </w:r>
    </w:p>
    <w:p>
      <w:pPr>
        <w:pStyle w:val="ListParagraph"/>
        <w:numPr>
          <w:ilvl w:val="0"/>
          <w:numId w:val="3"/>
        </w:numPr>
      </w:pPr>
      <w:r>
        <w:t xml:space="preserve">Texto completo (introdução/conclusão), não só o abstract.</w:t>
      </w:r>
    </w:p>
    <w:p>
      <w:pPr>
        <w:pStyle w:val="ListParagraph"/>
        <w:numPr>
          <w:ilvl w:val="0"/>
          <w:numId w:val="3"/>
        </w:numPr>
      </w:pPr>
      <w:r>
        <w:t xml:space="preserve">Referências como texto (títulos citados, contexto de citação).</w:t>
      </w:r>
    </w:p>
    <w:p>
      <w:pPr>
        <w:pStyle w:val="ListParagraph"/>
        <w:numPr>
          <w:ilvl w:val="0"/>
          <w:numId w:val="3"/>
        </w:numPr>
      </w:pPr>
      <w:r>
        <w:t xml:space="preserve">Perfil textual agregado do autor e conceitos/venue como texto.</w:t>
      </w:r>
    </w:p>
    <w:p>
      <w:pPr>
        <w:pStyle w:val="ListParagraph"/>
        <w:numPr>
          <w:ilvl w:val="0"/>
          <w:numId w:val="3"/>
        </w:numPr>
      </w:pPr>
      <w:r>
        <w:t xml:space="preserve">Ponderação temporal dos abstracts (deriva de interesse).</w:t>
      </w:r>
    </w:p>
    <w:p>
      <w:pPr>
        <w:pStyle w:val="ListParagraph"/>
        <w:numPr>
          <w:ilvl w:val="0"/>
          <w:numId w:val="3"/>
        </w:numPr>
      </w:pPr>
      <w:r>
        <w:t xml:space="preserve">Fine-tuning contrastivo do encoder em pares de coautoria; SPECTER2 (citation-informed).</w:t>
      </w:r>
    </w:p>
    <w:p>
      <w:r>
        <w:rPr>
          <w:b/>
          <w:bCs/>
        </w:rPr>
        <w:t xml:space="preserve">Combinações promissoras: </w:t>
      </w:r>
    </w:p>
    <w:p>
      <w:pPr>
        <w:pStyle w:val="ListParagraph"/>
        <w:numPr>
          <w:ilvl w:val="0"/>
          <w:numId w:val="3"/>
        </w:numPr>
      </w:pPr>
      <w:r>
        <w:t xml:space="preserve">Duas etapas: texto gera candidatos (recall) → RF reranqueia a união (precisão no topo).</w:t>
      </w:r>
    </w:p>
    <w:p>
      <w:pPr>
        <w:pStyle w:val="ListParagraph"/>
        <w:numPr>
          <w:ilvl w:val="0"/>
          <w:numId w:val="3"/>
        </w:numPr>
      </w:pPr>
      <w:r>
        <w:t xml:space="preserve">Learning-to-rank (LightGBM/LambdaMART) sobre o pool híbrido com features calibradas.</w:t>
      </w:r>
    </w:p>
    <w:p>
      <w:pPr>
        <w:pStyle w:val="ListParagraph"/>
        <w:numPr>
          <w:ilvl w:val="0"/>
          <w:numId w:val="3"/>
        </w:numPr>
      </w:pPr>
      <w:r>
        <w:t xml:space="preserve">Score fusion ponderado por regime (peso do texto ↑ em cool/cold).</w:t>
      </w:r>
    </w:p>
    <w:p>
      <w:pPr>
        <w:pStyle w:val="ListParagraph"/>
        <w:numPr>
          <w:ilvl w:val="0"/>
          <w:numId w:val="3"/>
        </w:numPr>
      </w:pPr>
      <w:r>
        <w:t xml:space="preserve">Encoder fine-tuned combinado às estratégias acima.</w:t>
      </w:r>
    </w:p>
    <w:p>
      <w:pPr>
        <w:pStyle w:val="Heading1"/>
      </w:pPr>
      <w:r>
        <w:t xml:space="preserve">11. Caminhos futuros (sequência pós-trabalho)</w:t>
      </w:r>
    </w:p>
    <w:p>
      <w:pPr>
        <w:pStyle w:val="ListParagraph"/>
        <w:numPr>
          <w:ilvl w:val="0"/>
          <w:numId w:val="2"/>
        </w:numPr>
      </w:pPr>
      <w:r>
        <w:t xml:space="preserve">Reranker de duas etapas (texto-recall → topologia-precisão) — o avanço mais provável sobre o RF.</w:t>
      </w:r>
    </w:p>
    <w:p>
      <w:pPr>
        <w:pStyle w:val="ListParagraph"/>
        <w:numPr>
          <w:ilvl w:val="0"/>
          <w:numId w:val="2"/>
        </w:numPr>
      </w:pPr>
      <w:r>
        <w:t xml:space="preserve">Fine-tuning do encoder científico e ablação dos sinais textuais.</w:t>
      </w:r>
    </w:p>
    <w:p>
      <w:pPr>
        <w:pStyle w:val="ListParagraph"/>
        <w:numPr>
          <w:ilvl w:val="0"/>
          <w:numId w:val="2"/>
        </w:numPr>
      </w:pPr>
      <w:r>
        <w:t xml:space="preserve">Estudo de generalização multi-domínio (denso × esparso) e curva densidade × ganho do texto.</w:t>
      </w:r>
    </w:p>
    <w:p>
      <w:pPr>
        <w:pStyle w:val="ListParagraph"/>
        <w:numPr>
          <w:ilvl w:val="0"/>
          <w:numId w:val="2"/>
        </w:numPr>
      </w:pPr>
      <w:r>
        <w:t xml:space="preserve">Recomendação explicável (por que este coautor?) usando os sinais textuais.</w:t>
      </w:r>
    </w:p>
    <w:p>
      <w:pPr>
        <w:pStyle w:val="ListParagraph"/>
        <w:numPr>
          <w:ilvl w:val="0"/>
          <w:numId w:val="2"/>
        </w:numPr>
      </w:pPr>
      <w:r>
        <w:t xml:space="preserve">Artigos: (a) cold-start de coautoria com semântica; (b) o gargalo de candidatos em redes esparsas.</w:t>
      </w:r>
    </w:p>
    <w:p>
      <w:pPr>
        <w:pStyle w:val="Heading1"/>
      </w:pPr>
      <w:r>
        <w:t xml:space="preserve">12. Conclusão</w:t>
      </w:r>
    </w:p>
    <w:p>
      <w:r>
        <w:t xml:space="preserve">O trabalho caracteriza, com rigor estatístico e em dois domínios contrastantes, onde cada fonte de informação importa na recomendação de coautoria. A estrutura domina autores bem conectados e o topo do ranking; a semântica textual é insubstituível quando a estrutura é esparsa ou ausente (cold-start). A contribuição central — a fusão útil é de fontes de candidatos, não de representações — reorienta o problema e abre caminhos claros de continuidade para a tese e para artigos.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6"/>
      </w:pBdr>
      <w:jc w:val="center"/>
    </w:pPr>
    <w:r>
      <w:rPr>
        <w:color w:val="666666"/>
        <w:sz w:val="16"/>
        <w:szCs w:val="16"/>
      </w:rPr>
      <w:t xml:space="preserve">coauthor-rec · Relatório científico · pág.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669f7f872cac960ef558a9a5663bcaa663ef54c.png"/><Relationship Id="rId9" Type="http://schemas.openxmlformats.org/officeDocument/2006/relationships/image" Target="media/c10964eae0f6ce4899673fabdb5103048e8ce48a.png"/><Relationship Id="rId10" Type="http://schemas.openxmlformats.org/officeDocument/2006/relationships/image" Target="media/6b6d62715b02b7fa37b858703d4c706023327be5.png"/><Relationship Id="rId11" Type="http://schemas.openxmlformats.org/officeDocument/2006/relationships/image" Target="media/d197f9667c36476c93f7f0b45b3dbae0ff99e91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2026-06-19T15:00:08.980Z</dcterms:created>
  <dcterms:modified xsi:type="dcterms:W3CDTF">2026-06-19T15:00:08.989Z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