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left"/>
      </w:pPr>
      <w:r>
        <w:rPr>
          <w:rFonts w:ascii="Calibri" w:cs="Calibri" w:eastAsia="Calibri" w:hAnsi="Calibri"/>
          <w:b/>
          <w:bCs/>
          <w:color w:val="B8860B"/>
          <w:sz w:val="20"/>
          <w:szCs w:val="20"/>
        </w:rPr>
        <w:t xml:space="preserve">PROJETO DE DOUTORADO · PPgSI — EACH/USP</w:t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1F3864"/>
          <w:sz w:val="56"/>
          <w:szCs w:val="56"/>
        </w:rPr>
        <w:t xml:space="preserve">Resumo do Sucesso do Projeto</w:t>
      </w:r>
    </w:p>
    <w:p>
      <w:pPr>
        <w:spacing w:after="120"/>
      </w:pPr>
      <w:r>
        <w:rPr>
          <w:rFonts w:ascii="Calibri" w:cs="Calibri" w:eastAsia="Calibri" w:hAnsi="Calibri"/>
          <w:color w:val="666666"/>
          <w:sz w:val="26"/>
          <w:szCs w:val="26"/>
        </w:rPr>
        <w:t xml:space="preserve">Recomendação de coautoria científica por predição de links: sistema híbrido texto + estrutura sobre um grafo de conhecimento do OpenAlex</w:t>
      </w:r>
    </w:p>
    <w:p>
      <w:pPr>
        <w:pBdr>
          <w:bottom w:val="single" w:color="1F3864" w:sz="6" w:space="1"/>
        </w:pBdr>
        <w:spacing w:after="200"/>
      </w:pPr>
    </w:p>
    <w:p>
      <w:pPr>
        <w:spacing w:after="120" w:line="30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Repositório analisado: </w:t>
      </w:r>
      <w:r>
        <w:rPr>
          <w:rFonts w:ascii="Calibri" w:cs="Calibri" w:eastAsia="Calibri" w:hAnsi="Calibri"/>
          <w:sz w:val="22"/>
          <w:szCs w:val="22"/>
        </w:rPr>
        <w:t xml:space="preserve">~/Doutorado/coauthor-rec</w:t>
      </w:r>
      <w:r>
        <w:rPr>
          <w:rFonts w:ascii="Calibri" w:cs="Calibri" w:eastAsia="Calibri" w:hAnsi="Calibri"/>
          <w:sz w:val="22"/>
          <w:szCs w:val="22"/>
        </w:rPr>
        <w:t xml:space="preserve">  ·  Último commit: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e1f8252</w:t>
      </w:r>
      <w:r>
        <w:rPr>
          <w:rFonts w:ascii="Calibri" w:cs="Calibri" w:eastAsia="Calibri" w:hAnsi="Calibri"/>
          <w:sz w:val="22"/>
          <w:szCs w:val="22"/>
        </w:rPr>
        <w:t xml:space="preserve"> (“Fecha gaps #1/#2/#4: GAT, fusão por atenção e avaliação indutiva”)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Pesquisador: </w:t>
      </w:r>
      <w:r>
        <w:rPr>
          <w:rFonts w:ascii="Calibri" w:cs="Calibri" w:eastAsia="Calibri" w:hAnsi="Calibri"/>
          <w:sz w:val="22"/>
          <w:szCs w:val="22"/>
        </w:rPr>
        <w:t xml:space="preserve">Marcos Paulo Sanchez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   ·   Orientador: </w:t>
      </w:r>
      <w:r>
        <w:rPr>
          <w:rFonts w:ascii="Calibri" w:cs="Calibri" w:eastAsia="Calibri" w:hAnsi="Calibri"/>
          <w:sz w:val="22"/>
          <w:szCs w:val="22"/>
        </w:rPr>
        <w:t xml:space="preserve">Prof. Dr. Luciano Antonio Digiampietri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Data da análise: </w:t>
      </w:r>
      <w:r>
        <w:rPr>
          <w:rFonts w:ascii="Calibri" w:cs="Calibri" w:eastAsia="Calibri" w:hAnsi="Calibri"/>
          <w:sz w:val="22"/>
          <w:szCs w:val="22"/>
        </w:rPr>
        <w:t xml:space="preserve">31 de agosto de 2026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   ·   Fontes: </w:t>
      </w:r>
      <w:r>
        <w:rPr>
          <w:rFonts w:ascii="Calibri" w:cs="Calibri" w:eastAsia="Calibri" w:hAnsi="Calibri"/>
          <w:sz w:val="22"/>
          <w:szCs w:val="22"/>
        </w:rPr>
        <w:t xml:space="preserve">docs/*.md, runs/*.json, RELATORIO_CICLO1.md, histórico git, suíte de testes</w:t>
      </w:r>
    </w:p>
    <w:p>
      <w:pPr>
        <w:spacing w:before="600"/>
      </w:pPr>
    </w:p>
    <w:p>
      <w:pPr>
        <w:pBdr>
          <w:left w:val="single" w:color="B8860B" w:sz="18" w:space="8"/>
        </w:pBdr>
        <w:spacing w:after="160" w:before="120"/>
        <w:ind w:left="36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Este documento foi gerado a partir dos artefatos versionados no repositório. Todos os números citados foram conferidos contra os arquivos de origem (runs/final_comparison.json, runs/significance*.json, runs/beyond/*.json, runs/ablation/*.json, runs/graph_stats.json). Onde um número existe apenas em documentação (não persistido em JSON), isso está sinalizado.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1. Veredito executivo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 projeto está bem-sucedido no que mais importa para uma tese: a hipótese central foi testada com rigor, refutada na sua forma ingênua e confirmada na forma que os dados sustentam. A proposta original — fundir representação textual (CNN) e estrutural (GNN) num único modelo end-to-end — não superou o melhor modelo topológico (Random Forest híbrido). Mas a investigação do porquê levou a um achado mais forte e mais útil: o gargalo da recomendação de coautoria não é a representação, e sim o espaço de candidatos. A partir desse diagnóstico, o reranker de duas etapas (RF → texto) tornou-se o primeiro modelo a vencer todos os demais em todas as faixas de K e em todos os regimes, com significância estatística, e a ultrapassar o teto do oráculo topológico.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Em paralelo, o projeto entregou o que uma banca costuma cobrar e raramente encontra pronto: protocolo anti-vazamento testado, dois corpora reais (médico e IA), intervalos de confiança por bootstrap, testes pareados com correção de Bonferroni, avaliação multidimensional (diversidade, novidade, cobertura), explicabilidade sistemática, ablação de camadas com peso interpretável por modalidade e avaliação indutiva. Os resultados negativos (fusão end-to-end, enriquecimento GenAI, KG heterogênea, 3 saltos, ranqueador supervisionado sobre pool híbrido) estão documentados com diagnóstico — o que fortalece, e não enfraquece, a tese.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Placar por dimensão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76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Dimensão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Evidência principal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Hipótese central (multimodal &gt; isolado)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7B34"/>
                <w:sz w:val="19"/>
                <w:szCs w:val="19"/>
              </w:rPr>
              <w:t xml:space="preserve">Confirmada (forma corrigida)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 etapas vence RF em todos K/regimes, p de 1e‑5 a 1e‑66 (Wilcoxon+Bonferroni); ultrapassa o oráculo topológico em Recall@200 (7,10 vs 6,31).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Cold-start (motivação da tese)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7B34"/>
                <w:sz w:val="19"/>
                <w:szCs w:val="19"/>
              </w:rPr>
              <w:t xml:space="preserve">Comprovado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Base IA, cold n=53: topologia = 0,0% em todo K; texto 6,16% R@200 (Δ vs RF +6,2pp, p=0,0009). Peso do texto no portão: 0,074 (warm) → 0,397 (cold).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Fusão end-to-end CNN+GNN (Eq. 10)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26A00"/>
                <w:sz w:val="19"/>
                <w:szCs w:val="19"/>
              </w:rPr>
              <w:t xml:space="preserve">Não confirmada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Empata a GNN-rerank (R@200 3,66 vs 3,68), bem abaixo de texto/2 etapas. Diagnóstico: reranking 2-hop anula a força do texto.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Infraestrutura e reprodutibilidade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7B34"/>
                <w:sz w:val="19"/>
                <w:szCs w:val="19"/>
              </w:rPr>
              <w:t xml:space="preserve">Sólida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Pacote modular + CLI, 19 arquivos / 49 funções de teste, filtros centralizados, PYTHONHASHSEED=0 fixado nos resultados finais, IC95% bootstrap.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Dados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7B34"/>
                <w:sz w:val="19"/>
                <w:szCs w:val="19"/>
              </w:rPr>
              <w:t xml:space="preserve">Dois corpora reais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Médico: 5.878 works / 19.120 autores (gate aprovado). IA: 13.924 works / 45.732 autores; KG T0 32.835 autores / 11.139 artigos; 2.003 alvos.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Avaliação além da acurácia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7B34"/>
                <w:sz w:val="19"/>
                <w:szCs w:val="19"/>
              </w:rPr>
              <w:t xml:space="preserve">Coberta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 etapas: melhor recall E maior novidade (12,05) E maior cobertura (24,0% do catálogo @10; 34,2% @20).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Explicabilidade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7B34"/>
                <w:sz w:val="19"/>
                <w:szCs w:val="19"/>
              </w:rPr>
              <w:t xml:space="preserve">Coberta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99,4% das recomendações explicáveis; 100% dos acertos. Cold: 0% estrutural, 97% temática.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Desempenho absoluto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26A00"/>
                <w:sz w:val="19"/>
                <w:szCs w:val="19"/>
              </w:rPr>
              <w:t xml:space="preserve">Modesto (tarefa difícil)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Recall@200 ~7% na base IA; ~95% dos coautores futuros estão fora do alcance de 3 saltos. Limite do problema, não do método.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Roadmap (10 atividades)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26A00"/>
                <w:sz w:val="19"/>
                <w:szCs w:val="19"/>
              </w:rPr>
              <w:t xml:space="preserve">~7 concluídas, 3 em curso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Passos 1–4 e 6 fechados; 5 e 7 concluídos na forma corrigida; 8–9 avançados após ROADMAP.md; 10 (redação) em curso.</w:t>
            </w:r>
          </w:p>
        </w:tc>
      </w:tr>
    </w:tbl>
    <w:p>
      <w:pPr>
        <w:spacing w:after="240" w:before="8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Tabela 1 — Placar do projeto por dimensão, com a evidência de origem.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2. O que foi construído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 estudo inicial (artigo SBBD / notebooks em _case_repo) foi transformado num pacote Python modular (coauthor_rec) com interface de linha de comando cobrindo o ciclo completo: coleta do OpenAlex em três modos (snowball, temático e híbrido), limpeza e reconstrução de abstracts, gate de qualidade com cinco critérios, split temporal por artigo (80% mais antigos = T0), construção da verdade fundamental C_new(a) = C_future(a) \ C_past(a), materialização do grafo de conhecimento heterogêneo em PyTorch Geometric (5 entidades, 6 relações), baselines, oráculo, Random Forest híbrido, encoders textuais (TF‑IDF, BERT, SciBERT, SPECTER), GNN heterogênea com reranker, fusão end-to-end, candidatos híbridos e o reranker de duas etapas.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Os critérios de inclusão/exclusão estão centralizados em configs/filters.yaml e documentados; o protocolo estatístico (Shapiro → t pareado/Wilcoxon, Bonferroni, bootstrap) está implementado em eval/stats.py e foi aplicado a todas as comparações relevantes. A suíte pytest tem 19 arquivos e 49 funções de teste, incluindo o teste anti-vazamento temporal. Há ainda um dashboard HTML com ICs, diagramas de fluxo e de geração de candidatos, dois relatórios .docx para o orientador e um guia pronto de fine-tuning do encoder (SLURM/Colab).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900"/>
        <w:gridCol w:w="1000"/>
        <w:gridCol w:w="2760"/>
        <w:gridCol w:w="2000"/>
      </w:tblGrid>
      <w:tr>
        <w:trPr>
          <w:tblHeader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Corpus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Works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Autores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Regimes dos alvos T0-ativos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Papel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Médico (snowball, semente W1983561455)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5.878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19.120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warm 976 · cool 78 · cold 3 (+4.837 newcomers)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Reproduz o estudo inicial; rede densa (clustering 0,88)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IA e correlatas (temático)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13.924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45.732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warm 1.167 · cool 783 · cold 53 (n=2.003)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Dá poder estatístico a cool/cold; rede esparsa</w:t>
            </w:r>
          </w:p>
        </w:tc>
      </w:tr>
    </w:tbl>
    <w:p>
      <w:pPr>
        <w:spacing w:after="240" w:before="8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Tabela 2 — Os dois corpora reais do OpenAlex usados na avaliação.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3. A hipótese central e como ela se confirmou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3.1 O modelo vencedor: reranker de duas etapas (RF → texto)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hipótese “texto + estrutura &gt; cada um isolado” foi testada de quatro formas. A fusão de representações (CNN+GNN end-to-end) e o ranqueador supervisionado sobre o pool híbrido falharam; a união simples de candidatos (Hybrid-cand) empatou com o RF. O que venceu foi a fusão de fontes de candidatos com ordenação que preserva a precisão estrutural: o estágio 1 ranqueia os candidatos de 2 saltos pelo Random Forest (precisão no topo) e o estágio 2 anexa, na cauda, vizinhos textuais (SciBERT) não cobertos pela estrutura (alcance). Na base de IA, com PYTHONHASHSEED=0 e IC95% por bootstrap: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00"/>
        <w:gridCol w:w="1400"/>
        <w:gridCol w:w="1300"/>
        <w:gridCol w:w="1600"/>
        <w:gridCol w:w="1360"/>
      </w:tblGrid>
      <w:tr>
        <w:trPr>
          <w:tblHeader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Recall@K (%) — base IA, n=2.003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Híbrido RF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Texto (SciBERT)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Cand. híbridos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2 etapas (RF→texto)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Oráculo top.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Geral @10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2,09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1,40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1,43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2,57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6,31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Geral @50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3,29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3,59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3,60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5,11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6,31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Geral @200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3,74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6,81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7,06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7,10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6,31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Warm @10 / @200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1,84 / 3,97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1,28 / 6,45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1,31 / 6,81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2,05 / 6,88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6,61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Cool @10 / @200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2,61 / 3,64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1,59 / 7,39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1,68 / 7,60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3,51 / 7,61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5,93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NDCG@10 geral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2,24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1,69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1,72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2,68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12,72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MRR@200 geral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4,57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4,50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4,56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5,64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31,40</w:t>
            </w:r>
          </w:p>
        </w:tc>
      </w:tr>
    </w:tbl>
    <w:p>
      <w:pPr>
        <w:spacing w:after="240" w:before="8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Tabela 3 — O 2 etapas domina em todas as faixas: melhor no topo (R@10, NDCG, MRR) e melhor no alcance (R@200), onde ultrapassa o teto do oráculo topológico. Fonte: runs/final_comparison.json.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comparação pareada 2 etapas vs RF é significativa em todos os K e regimes (Wilcoxon com Bonferroni, p de 1e‑5 a 1e‑66): geral R@10 +0,48pp (p=1,7e‑10), R@50 +1,82pp, R@200 +3,37pp; cool R@10 +0,90pp e R@200 +3,96pp. Vence até no R@5 de cool (2,35 vs 1,85), porque a cauda textual substitui o fallback de popularidade do RF por candidatos relevantes.</w:t>
      </w:r>
    </w:p>
    <w:p>
      <w:pPr>
        <w:pBdr>
          <w:left w:val="single" w:color="B8860B" w:sz="18" w:space="8"/>
        </w:pBdr>
        <w:spacing w:after="160" w:before="120"/>
        <w:ind w:left="36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Atenção: os valores de p da comparação 2 etapas × RF constam em docs/COMPARATIVO_MODELOS.md, mas o script scripts/two_stage_eval.py apenas os imprime — não há JSON persistido em runs/. Vale salvar esse artefato antes de citar na tese.</w:t>
      </w:r>
    </w:p>
    <w:p>
      <w:pPr>
        <w:spacing w:after="40" w:before="160"/>
        <w:jc w:val="center"/>
      </w:pPr>
      <w:r>
        <w:drawing>
          <wp:inline distT="0" distB="0" distL="0" distR="0">
            <wp:extent cx="5905500" cy="3295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Figura 1 — Métricas de ranqueamento (regime geral, n=2.003) com barras de IC95%. A curva do 2 etapas (verde-oliva) é a única acima de todas as outras em todos os painéis. Fonte: docs/metricas_overall.png.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3.2 Cold-start: onde a topologia falha por construção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motivação da tese — recomendar para pesquisadores com pouca ou nenhuma conectividade — só pôde ser testada com poder estatístico depois da coleta temática de IA (na base médica, cold tinha n=3). O resultado é o argumento mais limpo do projeto: para autores sem coautor em T0, a vizinhança de 2 saltos é vazia e os modelos topológicos (baseline e RF) zeram em todo K. Só o texto funciona: Recall@200 de 6,16% (Δ vs RF +6,2pp, p=0,0009); candidatos híbridos 4,70% (p=0,003). Em cool (n=783), texto e híbridos superam o RF de forma robusta (Δ=+4,0pp, p=1,2e‑23).</w:t>
      </w:r>
    </w:p>
    <w:p>
      <w:pPr>
        <w:spacing w:after="40" w:before="160"/>
        <w:jc w:val="center"/>
      </w:pPr>
      <w:r>
        <w:drawing>
          <wp:inline distT="0" distB="0" distL="0" distR="0">
            <wp:extent cx="5905500" cy="2266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Figura 2 — Base IA, Recall@K por regime. Em cold (n=53) a linha do RF é zero em todo K. Fonte: docs/ai_cool_cold.png.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Três análises independentes convergem para o mesmo mecanismo. O portão de atenção da fusão (α = peso do ramo textual) cresce monotonicamente de 0,074 em warm para 0,103 em cool e 0,397 em cold — o modelo quintuplica a dependência do texto quando não há estrutura. A explicabilidade sistemática mostra a explicação migrando de estrutural para temática (warm 78% estrutural → cold 0% estrutural, 97% temática). E a novidade das recomendações sobe de 11,93 (warm) para 13,67 (cold) no 2 etapas: no cold-start o sistema recomenda justamente autores long-tail que a topologia nunca alcançaria.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3.3 Além da acurácia: diversidade, novidade, cobertura e explicabilidade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300"/>
        <w:gridCol w:w="1900"/>
        <w:gridCol w:w="1500"/>
        <w:gridCol w:w="206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Modelo (K=10)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Recall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ILD (diversidade)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Novidade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Cobertura do catálogo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Baseline (2-hop)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0,94%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0,088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9,74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8,1%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Híbrido RF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2,09%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0,074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10,77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17,0%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Texto (SciBERT)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1,41%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0,035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11,51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15,6%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 etapas (RF→texto)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2,57%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0,056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12,05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24,0%</w:t>
            </w:r>
          </w:p>
        </w:tc>
      </w:tr>
    </w:tbl>
    <w:p>
      <w:pPr>
        <w:spacing w:after="240" w:before="8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Tabela 4 — O 2 etapas não compra acurácia recomendando hubs óbvios: é o mais novo e o que mais explora o catálogo (34,2% em K=20). Fonte: runs/beyond/beyond.json.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Na explicabilidade, 99,4% das 20.030 recomendações top‑10 do modelo vencedor têm justificativa (coautor em comum ou conceito OpenAlex em comum) e 100% das 335 que se converteram em coautoria real em T1 são explicáveis, 99,7% delas por afinidade temática. O cosseno textual médio é alto e estável (0,93–0,96) em todos os regimes; o que desaparece no cold-start é a topologia.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4. Resultados negativos que fortalecem a tese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Um dos pontos mais fortes do projeto é a disciplina com que hipóteses atraentes foram testadas e descartadas com diagnóstico. Cada resultado abaixo elimina uma alternativa que a banca poderia sugerir e aponta para o mesmo gargalo — a geração de candidatos.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700"/>
        <w:gridCol w:w="4160"/>
      </w:tblGrid>
      <w:tr>
        <w:trPr>
          <w:tblHeader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Experimento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Diagnóstico registrado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Fusão end-to-end CNN+GNN (Eq. 10)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26A00"/>
                <w:sz w:val="18"/>
                <w:szCs w:val="18"/>
              </w:rPr>
              <w:t xml:space="preserve">Empata GNN-rerank; abaixo de texto e 2 etapas (R@200 3,66 vs 7,10)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Reranking restrito a 2 saltos anula a força do texto; SciBERT estático já entra como feature da GNN (redundância); cabeça de ranking fraca (val loss ≈0,59 vs 0,69 do acaso).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Ranqueador supervisionado sobre pool híbrido (Sup-Hybrid)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22222"/>
                <w:sz w:val="18"/>
                <w:szCs w:val="18"/>
              </w:rPr>
              <w:t xml:space="preserve">Significativamente pior que RF no topo (NDCG@10 −4,78pp, p=2e‑38)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Candidatos textuais poluem as primeiras posições de um ranqueador forte; ganha R@200 ao custo de destruir P@5. Motivou o desenho em 2 etapas.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Candidatos híbridos (2-hop ∪ texto), rank=texto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26A00"/>
                <w:sz w:val="18"/>
                <w:szCs w:val="18"/>
              </w:rPr>
              <w:t xml:space="preserve">Empate/borderline com RF em R@200 (p oscila 0,002–0,21 conforme a seed); RF melhor em R@50 (p=1e‑9) e NDCG@10 (p=0,003)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Fusão de fontes é a direção certa (vence GNN e texto-only, p≈1e‑29/1e‑24), mas sem ordenação estrutural não ganha o topo.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Enriquecimento GenAI do KG (OpenAI + Claude)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26A00"/>
                <w:sz w:val="18"/>
                <w:szCs w:val="18"/>
              </w:rPr>
              <w:t xml:space="preserve">Neutro a negativo (cool 22,65 → 20,98)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Categorias de baixa variância (writing_style 91% igual), concordância 66%, hubs densos diluem na agregação mean. Texto livre (topic/methods) ainda não explorado.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KG heterogênea completa vs só coautoria (GNN)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26A00"/>
                <w:sz w:val="18"/>
                <w:szCs w:val="18"/>
              </w:rPr>
              <w:t xml:space="preserve">Idêntico (warm 4,01 vs 4,00; cool 3,35 vs 3,35)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Venue, conceito, instituição e citação não agregam sinal à recomendação via GNN; o sinal de grafo útil é a coautoria.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Candidatos a 3 saltos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26A00"/>
                <w:sz w:val="18"/>
                <w:szCs w:val="18"/>
              </w:rPr>
              <w:t xml:space="preserve">Não compensa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+1–2pp de alcance por ~4× mais candidatos; zero ganho em cold. Mesmo a 3 saltos a topologia alcança só ~5% dos coautores futuros.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GAT vs GraphSAGE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26A00"/>
                <w:sz w:val="18"/>
                <w:szCs w:val="18"/>
              </w:rPr>
              <w:t xml:space="preserve">Ganho pequeno e localizado (warm R@10 1,39 → 1,64)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Atenção por vizinho não cria informação nova; fica como opção, não decisão.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Aprendizado indutivo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7B34"/>
                <w:sz w:val="18"/>
                <w:szCs w:val="18"/>
              </w:rPr>
              <w:t xml:space="preserve">Positivo, modesto (R@10 1,56 vs 1,46 em 400 alvos held-out)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Encoder com features SciBERT generaliza melhor para autores nunca supervisionados — requisito da qualificação atendido.</w:t>
            </w:r>
          </w:p>
        </w:tc>
      </w:tr>
    </w:tbl>
    <w:p>
      <w:pPr>
        <w:spacing w:after="240" w:before="8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Tabela 5 — Alternativas testadas e descartadas ou qualificadas, com o diagnóstico registrado em docs/COMPARATIVO_MODELOS.md e docs/ABLACAO_CAMADAS.md.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5. Progresso frente ao plano de trabalho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 ROADMAP.md marca os passos 7, 8 e 9 como parciais, mas foi escrito antes dos commits que introduziram o reranker de 2 etapas, a avaliação multidimensional e a ablação de camadas. Lendo o estado atual do repositório, a situação é a seguinte: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900"/>
        <w:gridCol w:w="1000"/>
        <w:gridCol w:w="1900"/>
        <w:gridCol w:w="3060"/>
      </w:tblGrid>
      <w:tr>
        <w:trPr>
          <w:tblHeader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Atividade (Cap. 6 da qualificação)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Cronograma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 hoje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Protocolo experimental + verdade fundamental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3T/26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7B34"/>
                <w:sz w:val="18"/>
                <w:szCs w:val="18"/>
              </w:rPr>
              <w:t xml:space="preserve">Concluído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Split T0→T1, regimes warm/cool/cold + newcomer, teste anti-vazamento.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Coleta / limpeza / versionamento OpenAlex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3–4T/26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7B34"/>
                <w:sz w:val="18"/>
                <w:szCs w:val="18"/>
              </w:rPr>
              <w:t xml:space="preserve">Concluído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 modos; dois corpora reais; filtros centralizados.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Grafo heterogêneo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4T/26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7B34"/>
                <w:sz w:val="18"/>
                <w:szCs w:val="18"/>
              </w:rPr>
              <w:t xml:space="preserve">Concluído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KG Tabela 8 em PyG; teto anti-consórcio = 50; graph-stats.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Baselines de referência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4T/26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7B34"/>
                <w:sz w:val="18"/>
                <w:szCs w:val="18"/>
              </w:rPr>
              <w:t xml:space="preserve">Concluído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RF &gt; baseline (sig.); oráculo como teto.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1b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Enriquecimento GenAI do KG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4T/26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26A00"/>
                <w:sz w:val="18"/>
                <w:szCs w:val="18"/>
              </w:rPr>
              <w:t xml:space="preserve">Feito, não ajudou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Resultado negativo documentado; texto livre ainda aberto.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Módulo textual (CNN/BERT)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1S/27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7B34"/>
                <w:sz w:val="18"/>
                <w:szCs w:val="18"/>
              </w:rPr>
              <w:t xml:space="preserve">Concluído (adiantado)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 encoders comparados; SciBERT ≈ SPECTER; texto é o ramo que resolve cold-start.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Módulo relacional (GNN)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1S/27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7B34"/>
                <w:sz w:val="18"/>
                <w:szCs w:val="18"/>
              </w:rPr>
              <w:t xml:space="preserve">Concluído (adiantado)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GNN heterogênea + reranker 2-hop; GAT e indutivo avaliados.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Fusão CNN+GNN (Eq. 10)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2S/27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7B34"/>
                <w:sz w:val="18"/>
                <w:szCs w:val="18"/>
              </w:rPr>
              <w:t xml:space="preserve">Concluído na forma corrigida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End-to-end não confirma; fusão por portão e 2 etapas confirmam. Falta formalizar a reescrita da Eq. 10 na tese.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Experimentos comparativos + ablação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2S/27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7B34"/>
                <w:sz w:val="18"/>
                <w:szCs w:val="18"/>
              </w:rPr>
              <w:t xml:space="preserve">Avançado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Comparação de 9 modelos; ablação GAT/SAGE, componentes, α, KG, 3 saltos, GenAI.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Análise estatística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2S/27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26A00"/>
                <w:sz w:val="18"/>
                <w:szCs w:val="18"/>
              </w:rPr>
              <w:t xml:space="preserve">Avançado, falta persistir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Wilcoxon/Bonferroni/bootstrap aplicados a tudo; significância do 2 etapas não está salva em JSON.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Redação da tese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contínuo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26A00"/>
                <w:sz w:val="18"/>
                <w:szCs w:val="18"/>
              </w:rPr>
              <w:t xml:space="preserve">Em curso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Relatório Ciclo 1, relatório de avaliação, comparativo crítico; ROADMAP.md precisa de atualização.</w:t>
            </w:r>
          </w:p>
        </w:tc>
      </w:tr>
    </w:tbl>
    <w:p>
      <w:pPr>
        <w:spacing w:after="240" w:before="8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Tabela 6 — Status das atividades do plano de trabalho segundo o estado atual do repositório. Nota: o cronograma previa os módulos profundos para 2027; eles já estão implementados e avaliados em 2026.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6. Ressalvas honestas e riscos para a defesa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Números absolutos baixos. </w:t>
      </w:r>
      <w:r>
        <w:rPr>
          <w:rFonts w:ascii="Calibri" w:cs="Calibri" w:eastAsia="Calibri" w:hAnsi="Calibri"/>
          <w:sz w:val="22"/>
          <w:szCs w:val="22"/>
        </w:rPr>
        <w:t xml:space="preserve">Recall@200 do melhor modelo fica em ~7% na base IA e ~15–25% na base médica. O projeto argumenta bem que é um limite do problema (95% dos coautores futuros fora de 3 saltos; oráculo topológico satura em 6,3%), mas a banca vai perguntar. Convém enquadrar como “descoberta de colaboradores” e reportar sempre relativo ao oráculo.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Cold ainda é pequeno (n=53). </w:t>
      </w:r>
      <w:r>
        <w:rPr>
          <w:rFonts w:ascii="Calibri" w:cs="Calibri" w:eastAsia="Calibri" w:hAnsi="Calibri"/>
          <w:sz w:val="22"/>
          <w:szCs w:val="22"/>
        </w:rPr>
        <w:t xml:space="preserve">Os testes saem significativos, mas o IC é largo. Em cold, o texto puro (R@200 6,16%) supera o próprio 2 etapas (4,70%) e o R@10 do 2 etapas cai a 0,19% — vale investigar por que o estágio 2 não recupera tudo que o texto-only encontra quando o estágio 1 está vazio.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Reprodutibilidade fina. </w:t>
      </w:r>
      <w:r>
        <w:rPr>
          <w:rFonts w:ascii="Calibri" w:cs="Calibri" w:eastAsia="Calibri" w:hAnsi="Calibri"/>
          <w:sz w:val="22"/>
          <w:szCs w:val="22"/>
        </w:rPr>
        <w:t xml:space="preserve">Comparações borderline (Hybrid-cand × RF) oscilaram com PYTHONHASHSEED (p entre 0,002 e 0,21). Os resultados finais fixam a seed em 0, mas isso deve estar explícito na tese e em todo script.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Artefatos não persistidos. </w:t>
      </w:r>
      <w:r>
        <w:rPr>
          <w:rFonts w:ascii="Calibri" w:cs="Calibri" w:eastAsia="Calibri" w:hAnsi="Calibri"/>
          <w:sz w:val="22"/>
          <w:szCs w:val="22"/>
        </w:rPr>
        <w:t xml:space="preserve">A significância do 2 etapas vs RF e a do estudo cool/cold existem apenas como saída impressa e texto em Markdown. Salvar em runs/*.json fecha a cadeia de evidência.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Gate reprovado na base IA. </w:t>
      </w:r>
      <w:r>
        <w:rPr>
          <w:rFonts w:ascii="Calibri" w:cs="Calibri" w:eastAsia="Calibri" w:hAnsi="Calibri"/>
          <w:sz w:val="22"/>
          <w:szCs w:val="22"/>
        </w:rPr>
        <w:t xml:space="preserve">mean_coauthor_weight = 1,05 (esperado em coleta temática, não-snowball). Precisa de justificativa metodológica explícita ou de um critério de gate condicional ao modo de coleta.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Newcomers são inatendíveis. </w:t>
      </w:r>
      <w:r>
        <w:rPr>
          <w:rFonts w:ascii="Calibri" w:cs="Calibri" w:eastAsia="Calibri" w:hAnsi="Calibri"/>
          <w:sz w:val="22"/>
          <w:szCs w:val="22"/>
        </w:rPr>
        <w:t xml:space="preserve">Na base médica, 82% dos alvos (4.837) não têm perfil em T0 e nenhum modelo os atende. É uma fronteira legítima, mas a tese deve declarar o escopo (autores T0-ativos) sem ambiguidade.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Comparabilidade com o Ciclo 1. </w:t>
      </w:r>
      <w:r>
        <w:rPr>
          <w:rFonts w:ascii="Calibri" w:cs="Calibri" w:eastAsia="Calibri" w:hAnsi="Calibri"/>
          <w:sz w:val="22"/>
          <w:szCs w:val="22"/>
        </w:rPr>
        <w:t xml:space="preserve">Os números do relatório do Ciclo 1 foram gerados antes do teto de coautores = 50 e do bucket newcomer; não devem ser comparados diretamente com os atuais.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Distância entre proposta e resultado. </w:t>
      </w:r>
      <w:r>
        <w:rPr>
          <w:rFonts w:ascii="Calibri" w:cs="Calibri" w:eastAsia="Calibri" w:hAnsi="Calibri"/>
          <w:sz w:val="22"/>
          <w:szCs w:val="22"/>
        </w:rPr>
        <w:t xml:space="preserve">A qualificação propõe fusão de representações (Eq. 10); a tese vai defender fusão de fontes de candidatos. A narrativa já está escrita no COMPARATIVO_MODELOS.md, mas precisa ser incorporada formalmente à metodologia.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7. Próximos passos recomendados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Em ordem de custo-benefício para a defesa: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Persistir a significância do 2 etapas </w:t>
      </w:r>
      <w:r>
        <w:rPr>
          <w:rFonts w:ascii="Calibri" w:cs="Calibri" w:eastAsia="Calibri" w:hAnsi="Calibri"/>
          <w:sz w:val="22"/>
          <w:szCs w:val="22"/>
        </w:rPr>
        <w:t xml:space="preserve">(alterar two_stage_eval.py para gravar runs/two_stage/significance.json) e re-rodar cool_cold_study.py gravando os p-valores. Custo: horas.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Investigar o cold do 2 etapas </w:t>
      </w:r>
      <w:r>
        <w:rPr>
          <w:rFonts w:ascii="Calibri" w:cs="Calibri" w:eastAsia="Calibri" w:hAnsi="Calibri"/>
          <w:sz w:val="22"/>
          <w:szCs w:val="22"/>
        </w:rPr>
        <w:t xml:space="preserve">(por que 4,70 &lt; 6,16 do texto e R@10 0,19): provavelmente o fallback do estágio 1 ocupa posições quando o 2-hop é vazio. Corrigir pode tornar o 2 etapas dominante também em cold.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Fine-tuning do SciBERT/SPECTER em pares de coautoria </w:t>
      </w:r>
      <w:r>
        <w:rPr>
          <w:rFonts w:ascii="Calibri" w:cs="Calibri" w:eastAsia="Calibri" w:hAnsi="Calibri"/>
          <w:sz w:val="22"/>
          <w:szCs w:val="22"/>
        </w:rPr>
        <w:t xml:space="preserve">(scaffold pronto, precisa de 1 GPU por 10–60 min). É a única alavanca não testada que ataca diretamente o ramo que resolve cold-start.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Explorar topic/methods em texto livre do enriquecimento GenAI </w:t>
      </w:r>
      <w:r>
        <w:rPr>
          <w:rFonts w:ascii="Calibri" w:cs="Calibri" w:eastAsia="Calibri" w:hAnsi="Calibri"/>
          <w:sz w:val="22"/>
          <w:szCs w:val="22"/>
        </w:rPr>
        <w:t xml:space="preserve">como branch semântico, em vez de categorias — única avenida em aberto para a caixa GenAI da arquitetura.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Atualizar ROADMAP.md e formalizar a Eq. 10 revisada </w:t>
      </w:r>
      <w:r>
        <w:rPr>
          <w:rFonts w:ascii="Calibri" w:cs="Calibri" w:eastAsia="Calibri" w:hAnsi="Calibri"/>
          <w:sz w:val="22"/>
          <w:szCs w:val="22"/>
        </w:rPr>
        <w:t xml:space="preserve">(fusão de candidatos com ordenação estrutural) no capítulo de metodologia; incorporar o comparativo crítico como capítulo de resultados.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Validação externa opcional: </w:t>
      </w:r>
      <w:r>
        <w:rPr>
          <w:rFonts w:ascii="Calibri" w:cs="Calibri" w:eastAsia="Calibri" w:hAnsi="Calibri"/>
          <w:sz w:val="22"/>
          <w:szCs w:val="22"/>
        </w:rPr>
        <w:t xml:space="preserve">uma terceira base (outro domínio ou outro corte temporal) reforçaria que o padrão “valor do texto cresce com a esparsidade da rede” não é artefato dos dois corpora.</w:t>
      </w:r>
    </w:p>
    <w:p>
      <w:pPr>
        <w:pBdr>
          <w:bottom w:val="single" w:color="1F3864" w:sz="6" w:space="1"/>
        </w:pBdr>
        <w:spacing w:after="20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Fontes consultadas no repositório</w:t>
      </w:r>
    </w:p>
    <w:p>
      <w:pPr>
        <w:spacing w:after="120" w:line="300"/>
        <w:jc w:val="left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README.md · docs/ROADMAP.md · docs/COMPARATIVO_MODELOS.md · docs/TABELA_METRICAS.md · docs/AVALIACAO_MULTIDIMENSIONAL.md · docs/ABLACAO_CAMADAS.md · docs/FINETUNING.md · docs/RELATORIO_CICLO1.md · runs/final_comparison.json · runs/significance.json · runs/significance_hybrid.json · runs/beyond/beyond.json · runs/beyond/explain_systematic.json · runs/ablation/ablation.json · runs/ablation/inductive.json · runs/graph_stats.json · runs/cool_cold_frac0.8.json · tests/ (19 arquivos) · git log (20 commits mais recentes).</w:t>
      </w:r>
    </w:p>
    <w:sectPr>
      <w:headerReference w:type="default" r:id="rId7"/>
      <w:footerReference w:type="default" r:id="rId8"/>
      <w:pgSz w:w="11906" w:h="16838" w:orient="portrait"/>
      <w:pgMar w:top="1300" w:right="1250" w:bottom="1200" w:left="12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66666"/>
        <w:sz w:val="16"/>
        <w:szCs w:val="16"/>
      </w:rPr>
      <w:t xml:space="preserve">Página </w:t>
    </w:r>
    <w:r>
      <w:rPr>
        <w:rFonts w:ascii="Calibri" w:cs="Calibri" w:eastAsia="Calibri" w:hAnsi="Calibri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rFonts w:ascii="Calibri" w:cs="Calibri" w:eastAsia="Calibri" w:hAnsi="Calibri"/>
        <w:color w:val="666666"/>
        <w:sz w:val="16"/>
        <w:szCs w:val="16"/>
      </w:rPr>
      <w:t xml:space="preserve">coauthor-rec · Resumo do Sucesso do Projeto · agosto/2026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1F386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8865d38e4dbb9c7a50e673ec6c0cff6400ac5c1.png"/><Relationship Id="rId10" Type="http://schemas.openxmlformats.org/officeDocument/2006/relationships/image" Target="media/d197f9667c36476c93f7f0b45b3dbae0ff99e91a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Resumo do Sucesso do Projeto — coauthor-rec</dc:title>
  <dc:creator>Marcos Paulo Sanchez</dc:creator>
  <cp:lastModifiedBy>Un-named</cp:lastModifiedBy>
  <cp:revision>1</cp:revision>
  <dcterms:created xsi:type="dcterms:W3CDTF">2026-08-31T12:29:24.423Z</dcterms:created>
  <dcterms:modified xsi:type="dcterms:W3CDTF">2026-08-31T12:29:24.423Z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