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b/>
          <w:bCs/>
          <w:color w:val="1F4E79"/>
          <w:sz w:val="40"/>
          <w:szCs w:val="40"/>
        </w:rPr>
        <w:t xml:space="preserve">Predição de Coautorias com CNN e GNN</w:t>
      </w:r>
    </w:p>
    <w:p>
      <w:r>
        <w:t xml:space="preserve"/>
      </w:r>
    </w:p>
    <w:p>
      <w:pPr>
        <w:jc w:val="center"/>
      </w:pPr>
      <w:r>
        <w:rPr>
          <w:color w:val="333333"/>
          <w:sz w:val="23"/>
          <w:szCs w:val="23"/>
        </w:rPr>
        <w:t xml:space="preserve">Relatório de Avaliação — Desenvolvimento, Avanços e Comparação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Doutorando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Marcos Paulo Sanchez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Orientador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Prof. Dr. Luciano A. Digiampietri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Programa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PPgSI — EACH/USP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Bases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Médica (snowball, 19.120 autores) e IA temática (45.732 autores)</w:t>
            </w:r>
          </w:p>
        </w:tc>
      </w:tr>
      <w:tr>
        <w:tc>
          <w:tcPr>
            <w:tcW w:type="dxa" w:w="3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Protocolo</w:t>
            </w:r>
          </w:p>
        </w:tc>
        <w:tc>
          <w:tcPr>
            <w:tcW w:type="dxa" w:w="63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18"/>
                <w:szCs w:val="18"/>
              </w:rPr>
              <w:t xml:space="preserve">Split temporal T0→T1; IC95% bootstrap; Wilcoxon+Bonferroni; PYTHONHASHSEED=0</w:t>
            </w:r>
          </w:p>
        </w:tc>
      </w:tr>
    </w:tbl>
    <w:p>
      <w:r>
        <w:br w:type="page"/>
      </w:r>
    </w:p>
    <w:p>
      <w:r>
        <w:rPr>
          <w:b/>
          <w:bCs/>
          <w:color w:val="1F4E79"/>
          <w:sz w:val="26"/>
          <w:szCs w:val="26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Objetivo</w:t>
      </w:r>
    </w:p>
    <w:p>
      <w:r>
        <w:t xml:space="preserve">Desenvolver e avaliar um sistema híbrido de recomendação de coautores que combina representações textuais (CNN/SciBERT) e estruturais (GNN heterogênea) sobre um Grafo de Conhecimento do OpenAlex, tratando a recomendação como predição de links futuros (T0→T1). Este relatório descreve, passo a passo, o que foi feito, os avanços encontrados e a comparação com o modelo de referência (baseline).</w:t>
      </w:r>
    </w:p>
    <w:p>
      <w:pPr>
        <w:pStyle w:val="Heading1"/>
      </w:pPr>
      <w:r>
        <w:t xml:space="preserve">2. Passo a passo do desenvolvimento</w:t>
      </w:r>
    </w:p>
    <w:p>
      <w:r>
        <w:t xml:space="preserve">Cada etapa foi construída de forma incremental, testada e avaliada sob o mesmo protocolo. Resumo do que foi feito e o achado de cada etapa: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Coleta e preparação (OpenAlex): </w:t>
      </w:r>
      <w:r>
        <w:t xml:space="preserve">pipeline de coleta (snowball e temática), limpeza (inglês, ano≥2004, deduplicação) e gate de qualidade. Resultado: bases reprodutíveis e versionadas.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Grafo de Conhecimento heterogêneo: </w:t>
      </w:r>
      <w:r>
        <w:t xml:space="preserve">5 entidades (autor, artigo, instituição, venue, conceito) e 6 relações; teto anti-consórcio de 50 coautores/artigo. Resultado: KG materializado em PyTorch Geometric.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Baselines de referência: </w:t>
      </w:r>
      <w:r>
        <w:t xml:space="preserve">Common Neighbors (baseline), oráculo topológico (teto) e Random Forest sobre features topológicas. Achado: o RF melhora o recall sobre o baseline.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Módulo textual (CNN/BERT): </w:t>
      </w:r>
      <w:r>
        <w:t xml:space="preserve">comparação de encoders (TF-IDF, BERT, SciBERT, SPECTER). Achado: SciBERT≈SPECTER &gt; BERT &gt; TF-IDF; texto forte na baixa conectividade.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GNN heterogênea: </w:t>
      </w:r>
      <w:r>
        <w:t xml:space="preserve">reranker sobre candidatos de 2 saltos com features textuais nos nós. Achado: competitiva, mas não supera o RF; ranqueador da GNN é fraco.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Fusão end-to-end CNN+GNN (Eq. 10): </w:t>
      </w:r>
      <w:r>
        <w:t xml:space="preserve">treino conjunto. Achado: empatou com a GNN; fundir representações não bastou.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Enriquecimento GenAI (OpenAI + Claude): </w:t>
      </w:r>
      <w:r>
        <w:t xml:space="preserve">extração de atributos de alto nível dos abstracts (estilo, tipo de contribuição) como nós do KG. Achado: neutro/negativo — categorias ruidosas e de baixa variância.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Candidatos híbridos (estrutura ∪ texto): </w:t>
      </w:r>
      <w:r>
        <w:t xml:space="preserve">ampliar o pool com vizinhos textuais. Achado: empata o RF no geral e o supera em cobertura; o gargalo era a geração de candidatos, não a representação.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 de IA temática + cold-start: </w:t>
      </w:r>
      <w:r>
        <w:t xml:space="preserve">coleta focada em IA (45.732 autores) que populou os regimes cool/cold. Achado central: ver Seção 5.</w:t>
      </w:r>
    </w:p>
    <w:p>
      <w:pPr>
        <w:pStyle w:val="Heading1"/>
      </w:pPr>
      <w:r>
        <w:t xml:space="preserve">3. Comparação com o baseline (base de IA, autores ativos em T0)</w:t>
      </w:r>
    </w:p>
    <w:p>
      <w:r>
        <w:t xml:space="preserve">Δ vs Baseline = ganho/perda em Recall@200 sobre o Common Neighbors, na base de IA. </w:t>
      </w:r>
      <w:r>
        <w:rPr>
          <w:i/>
          <w:iCs/>
        </w:rPr>
        <w:t xml:space="preserve">Verde = ganho; vermelho = perda. Oráculo é o teto topológico (não é modelo operacional).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500"/>
        <w:gridCol w:w="1500"/>
        <w:gridCol w:w="1580"/>
        <w:gridCol w:w="1580"/>
      </w:tblGrid>
      <w:tr>
        <w:trPr>
          <w:tblHeader/>
        </w:trP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Recall@200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Δ vs Baseline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MRR@10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NDCG@10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(Common Neighbors)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1.29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—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2.67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1.15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3.74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+2.45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4.23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2.24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 (SciBERT)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6.81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+5.52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3.86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1.69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GNN-rerank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3.68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+2.39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3.70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2.00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7.06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+5.77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3.94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1.72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Sup-Hybrid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7.07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+5.78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0.93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0.38</w:t>
            </w:r>
          </w:p>
        </w:tc>
      </w:tr>
      <w:tr>
        <w:tc>
          <w:tcPr>
            <w:tcW w:type="dxa" w:w="32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Oráculo (teto)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6.31</w:t>
            </w:r>
          </w:p>
        </w:tc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+5.02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31.40</w:t>
            </w:r>
          </w:p>
        </w:tc>
        <w:tc>
          <w:tcPr>
            <w:tcW w:type="dxa" w:w="15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12.72</w:t>
            </w:r>
          </w:p>
        </w:tc>
      </w:tr>
    </w:tbl>
    <w:p>
      <w:pPr>
        <w:spacing w:before="120"/>
      </w:pPr>
      <w:r>
        <w:rPr>
          <w:b/>
          <w:bCs/>
        </w:rPr>
        <w:t xml:space="preserve">Leitura: </w:t>
      </w:r>
      <w:r>
        <w:t xml:space="preserve">na base de IA (rede de coautoria esparsa), o Texto e os Candidatos híbridos ganham fortemente do baseline em recall (~+5 a +6pp em R@200) e superam até o oráculo topológico — porque candidatos textuais alcançam coautores fora da vizinhança de 2 saltos, que a topologia (e seu teto) não atinge. O Híbrido RF e a GNN ganham menos (~+2,5pp). No topo do ranking (R@10), porém, RF e GNN ainda lideram entre os realistas — a estrutura ordena melhor as primeiras posições. Contraste importante: na base médica (snowball denso), o quadro se invertia — o RF dominava o geral e o topo. Ou seja, o valor do texto/multimodal cresce com a esparsidade da rede de colaboração.</w:t>
      </w:r>
    </w:p>
    <w:p>
      <w:pPr>
        <w:pStyle w:val="Heading1"/>
      </w:pPr>
      <w:r>
        <w:t xml:space="preserve">4. Gráficos (base de IA, autores ativos em T0)</w:t>
      </w:r>
    </w:p>
    <w:p>
      <w:r>
        <w:rPr>
          <w:b/>
          <w:bCs/>
        </w:rPr>
        <w:t xml:space="preserve">Métricas × K, autores ativos em T0 (n=2003; barras = IC95%):</w:t>
      </w:r>
    </w:p>
    <w:p>
      <w:pPr>
        <w:jc w:val="center"/>
      </w:pPr>
      <w:r>
        <w:drawing>
          <wp:inline distT="0" distB="0" distL="0" distR="0">
            <wp:extent cx="5715000" cy="3209925"/>
            <wp:effectExtent t="0" r="0" b="0" l="0"/>
            <wp:docPr id="1" name="metricas_overall.png" descr="metricas_overall.png" title="metricas_over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09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5. Avanço principal: cold-start na base de IA</w:t>
      </w:r>
    </w:p>
    <w:p>
      <w:r>
        <w:t xml:space="preserve">Na base médica (snowball denso), os regimes de baixa conectividade eram pequenos demais (cool n=78, cold n=3) para conclusões. Coletamos uma base temática de IA e correlatas (45.732 autores), que por ser menos densa populou esses regimes: cool n=783, cold n=53. Com poder estatístico real, o avanço fica claro: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2680"/>
        <w:gridCol w:w="2680"/>
      </w:tblGrid>
      <w:tr>
        <w:trPr>
          <w:tblHeader/>
        </w:trP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Modelo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cool R@200 (n=783)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1F4E79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r>
              <w:rPr>
                <w:b/>
                <w:bCs/>
                <w:color w:val="FFFFFF"/>
                <w:sz w:val="18"/>
                <w:szCs w:val="18"/>
              </w:rPr>
              <w:t xml:space="preserve">cold R@200 (n=53)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Baseline (CN)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Híbrido RF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3.6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8D7DA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0.0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Texto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7.4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6.2</w:t>
            </w:r>
          </w:p>
        </w:tc>
      </w:tr>
      <w:tr>
        <w:tc>
          <w:tcPr>
            <w:tcW w:type="dxa" w:w="4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EEF3F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18"/>
                <w:szCs w:val="18"/>
              </w:rPr>
              <w:t xml:space="preserve">Cand. híbridos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 w:val="false"/>
                <w:bCs w:val="false"/>
                <w:sz w:val="18"/>
                <w:szCs w:val="18"/>
              </w:rPr>
              <w:t xml:space="preserve">7.6</w:t>
            </w:r>
          </w:p>
        </w:tc>
        <w:tc>
          <w:tcPr>
            <w:tcW w:type="dxa" w:w="2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DEBD8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right"/>
            </w:pPr>
            <w:r>
              <w:rPr>
                <w:b/>
                <w:bCs/>
                <w:sz w:val="18"/>
                <w:szCs w:val="18"/>
              </w:rPr>
              <w:t xml:space="preserve">4.7</w:t>
            </w:r>
          </w:p>
        </w:tc>
      </w:tr>
    </w:tbl>
    <w:p>
      <w:pPr>
        <w:spacing w:before="120"/>
      </w:pPr>
      <w:r>
        <w:rPr>
          <w:b/>
          <w:bCs/>
        </w:rPr>
        <w:t xml:space="preserve">Cold-start (autores sem coautoria em T0): os modelos topológicos ZERAM </w:t>
      </w:r>
      <w:r>
        <w:t xml:space="preserve">— a vizinhança de 2 saltos é vazia, não há candidatos. Apenas o texto recomenda corretamente (Texto vs RF: +6,2pp em R@200, p=0,0009). Em cool, texto/candidatos híbridos superam o RF de forma altamente significativa (+4,0pp, p=1,2×10⁻²³).</w:t>
      </w:r>
    </w:p>
    <w:p>
      <w:pPr>
        <w:jc w:val="center"/>
      </w:pPr>
      <w:r>
        <w:drawing>
          <wp:inline distT="0" distB="0" distL="0" distR="0">
            <wp:extent cx="5905500" cy="2266950"/>
            <wp:effectExtent t="0" r="0" b="0" l="0"/>
            <wp:docPr id="1" name="ai_cool_cold.png" descr="ai_cool_cold.png" title="ai_cool_col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</w:pPr>
      <w:r>
        <w:t xml:space="preserve">6. Avanços encontrados (síntese)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RF &gt; Baseline em recall: </w:t>
      </w:r>
      <w:r>
        <w:t xml:space="preserve">o re-ranqueamento supervisionado recupera mais coautores futuros (significativo).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O gargalo é a geração de candidatos: </w:t>
      </w:r>
      <w:r>
        <w:t xml:space="preserve">fundir FONTES de candidatos (estrutura ∪ texto) empata/melhora o RF; fundir representações (GNN, end-to-end) ou enriquecer com categorias GenAI, não.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Cold-start resolvido pelo texto (avanço central): </w:t>
      </w:r>
      <w:r>
        <w:t xml:space="preserve">onde a topologia falha por construção (0% de recall), a semântica textual é a única fonte de sinal — confirmando a hipótese da tese exatamente onde é decisiva.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Complementaridade caracterizada: </w:t>
      </w:r>
      <w:r>
        <w:t xml:space="preserve">topologia domina autores bem conectados (warm) e o topo do ranking; texto domina baixa/nenhuma conectividade (cool/cold).</w:t>
      </w:r>
    </w:p>
    <w:p>
      <w:pPr>
        <w:pStyle w:val="Heading1"/>
      </w:pPr>
      <w:r>
        <w:t xml:space="preserve">7. Conclusão e próximos passos</w:t>
      </w:r>
    </w:p>
    <w:p>
      <w:r>
        <w:rPr>
          <w:b/>
          <w:bCs/>
        </w:rPr>
        <w:t xml:space="preserve">Conclusão: </w:t>
      </w:r>
      <w:r>
        <w:t xml:space="preserve">o baseline topológico e o Híbrido RF são fortes para pesquisadores bem conectados, mas insuficientes (cool) ou nulos (cold) no cold-start; é aí que o multimodal/textual é essencial e estatisticamente comprovado. A contribuição da tese é caracterizar onde cada fonte de informação importa e mostrar que a fusão útil é de fontes de candidatos.</w:t>
      </w:r>
    </w:p>
    <w:p>
      <w:pPr>
        <w:pStyle w:val="ListParagraph"/>
        <w:numPr>
          <w:ilvl w:val="0"/>
          <w:numId w:val="3"/>
        </w:numPr>
      </w:pPr>
      <w:r>
        <w:t xml:space="preserve">Rodar o pipeline completo (GNN + fusão) na base de IA para confirmar o quadro com todos os modelos.</w:t>
      </w:r>
    </w:p>
    <w:p>
      <w:pPr>
        <w:pStyle w:val="ListParagraph"/>
        <w:numPr>
          <w:ilvl w:val="0"/>
          <w:numId w:val="3"/>
        </w:numPr>
      </w:pPr>
      <w:r>
        <w:t xml:space="preserve">Ranqueador que preserve a precisão do RF no topo sobre o pool de candidatos ampliado.</w:t>
      </w:r>
    </w:p>
    <w:p>
      <w:pPr>
        <w:pStyle w:val="ListParagraph"/>
        <w:numPr>
          <w:ilvl w:val="0"/>
          <w:numId w:val="3"/>
        </w:numPr>
      </w:pPr>
      <w:r>
        <w:t xml:space="preserve">Recalibrar o gate de qualidade para coletas temáticas (mean_coauthor_weight menor).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4E79" w:sz="4" w:space="6"/>
      </w:pBdr>
      <w:jc w:val="center"/>
    </w:pPr>
    <w:r>
      <w:rPr>
        <w:color w:val="666666"/>
        <w:sz w:val="16"/>
        <w:szCs w:val="16"/>
      </w:rPr>
      <w:t xml:space="preserve">coauthor-rec · Relatório de Avaliação · pág. </w:t>
    </w:r>
    <w:r>
      <w:rPr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Arial" w:cs="Arial" w:eastAsia="Arial" w:hAnsi="Arial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1F4E7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86f5ce3bbde801b66310540962516068b750592d.png"/><Relationship Id="rId9" Type="http://schemas.openxmlformats.org/officeDocument/2006/relationships/image" Target="media/d197f9667c36476c93f7f0b45b3dbae0ff99e91a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2026-06-18T17:51:04.848Z</dcterms:created>
  <dcterms:modified xsi:type="dcterms:W3CDTF">2026-06-18T17:51:04.851Z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