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ABFM ITE Intelligence System</w:t>
      </w:r>
    </w:p>
    <w:p>
      <w:pPr>
        <w:jc w:val="center"/>
      </w:pPr>
      <w:r>
        <w:rPr>
          <w:b/>
        </w:rPr>
        <w:t>A Plain-Language Guide for Medical Educators</w:t>
      </w:r>
    </w:p>
    <w:p>
      <w:pPr>
        <w:jc w:val="center"/>
      </w:pPr>
      <w:r>
        <w:t>April 2026</w:t>
      </w:r>
    </w:p>
    <w:p>
      <w:r>
        <w:br w:type="page"/>
      </w:r>
    </w:p>
    <w:p>
      <w:pPr>
        <w:pStyle w:val="Heading1"/>
      </w:pPr>
      <w:r>
        <w:rPr>
          <w:color w:val="1F497D"/>
        </w:rPr>
        <w:t>What Is This System?</w:t>
      </w:r>
    </w:p>
    <w:p>
      <w:r>
        <w:t>The ABFM ITE Intelligence System is a custom-built research database and study-tool generator for Family Medicine residency programs. It connects two things that have never been connected before:</w:t>
        <w:br/>
        <w:br/>
        <w:t xml:space="preserve">  • Every question from the ABFM In-Training Examination (ITE) from 2018 to 2025 (1,629 questions)</w:t>
        <w:br/>
        <w:t xml:space="preserve">  • A library of 1,985 peer-reviewed clinical guidelines and journal articles that are the source material behind those questions</w:t>
        <w:br/>
        <w:br/>
        <w:t>The system can take a resident's actual ABFM score report, automatically identify their specific weak areas, and produce a personalized practice exam with explanations drawn directly from the clinical literature.</w:t>
      </w:r>
    </w:p>
    <w:p/>
    <w:tbl>
      <w:tblPr>
        <w:tblStyle w:val="TableGrid"/>
        <w:tblW w:type="auto" w:w="0"/>
        <w:tblLook w:firstColumn="1" w:firstRow="1" w:lastColumn="0" w:lastRow="0" w:noHBand="0" w:noVBand="1" w:val="04A0"/>
      </w:tblPr>
      <w:tblGrid>
        <w:gridCol w:w="8640"/>
      </w:tblGrid>
      <w:tr>
        <w:tc>
          <w:tcPr>
            <w:tcW w:type="dxa" w:w="8640"/>
            <w:shd w:val="clear" w:color="auto" w:fill="DEEAF1"/>
          </w:tcPr>
          <w:p>
            <w:r>
              <w:rPr>
                <w:b/>
              </w:rPr>
              <w:t xml:space="preserve">💡 One-sentence summary: </w:t>
            </w:r>
            <w:r>
              <w:t>This is a smart study engine that knows every ITE question ever asked, knows the guideline behind each one, and can build a custom study plan for any resident based on their actual exam performance.</w:t>
            </w:r>
          </w:p>
        </w:tc>
      </w:tr>
    </w:tbl>
    <w:p/>
    <w:p>
      <w:pPr>
        <w:pStyle w:val="Heading1"/>
      </w:pPr>
      <w:r>
        <w:rPr>
          <w:color w:val="1F497D"/>
        </w:rPr>
        <w:t>The Three Modules at a Glance</w:t>
      </w:r>
    </w:p>
    <w:p>
      <w:r>
        <w:t>The system is organized into three modules, each with a distinct job. Think of them like the three departments of a hospital:</w:t>
      </w:r>
    </w:p>
    <w:tbl>
      <w:tblPr>
        <w:tblStyle w:val="TableGrid"/>
        <w:tblW w:type="auto" w:w="0"/>
        <w:tblLook w:firstColumn="1" w:firstRow="1" w:lastColumn="0" w:lastRow="0" w:noHBand="0" w:noVBand="1" w:val="04A0"/>
      </w:tblPr>
      <w:tblGrid>
        <w:gridCol w:w="4320"/>
        <w:gridCol w:w="4320"/>
      </w:tblGrid>
      <w:tr>
        <w:tc>
          <w:tcPr>
            <w:tcW w:type="dxa" w:w="4320"/>
          </w:tcPr>
          <w:p>
            <w:r>
              <w:rPr>
                <w:b/>
              </w:rPr>
              <w:t>What it is called</w:t>
            </w:r>
          </w:p>
        </w:tc>
        <w:tc>
          <w:tcPr>
            <w:tcW w:type="dxa" w:w="4320"/>
          </w:tcPr>
          <w:p>
            <w:r>
              <w:rPr>
                <w:b/>
              </w:rPr>
              <w:t>What it does (plain language)</w:t>
            </w: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r>
              <w:t>Module 1 — The Warehouse</w:t>
            </w:r>
          </w:p>
        </w:tc>
        <w:tc>
          <w:tcPr>
            <w:tcW w:type="dxa" w:w="4320"/>
          </w:tcPr>
          <w:p>
            <w:r>
              <w:t>The stockroom. Stores all the raw files: exam PDFs, clinical guideline PDFs, and the database. Handles acquiring new articles.</w:t>
            </w:r>
          </w:p>
        </w:tc>
      </w:tr>
      <w:tr>
        <w:tc>
          <w:tcPr>
            <w:tcW w:type="dxa" w:w="4320"/>
          </w:tcPr>
          <w:p>
            <w:r>
              <w:t>Module 2 — The Processor</w:t>
            </w:r>
          </w:p>
        </w:tc>
        <w:tc>
          <w:tcPr>
            <w:tcW w:type="dxa" w:w="4320"/>
          </w:tcPr>
          <w:p>
            <w:r>
              <w:t>The lab. Reads those raw files and extracts structured clinical knowledge from them using AI. Tags every article and question with clinical metadata.</w:t>
            </w:r>
          </w:p>
        </w:tc>
      </w:tr>
      <w:tr>
        <w:tc>
          <w:tcPr>
            <w:tcW w:type="dxa" w:w="4320"/>
          </w:tcPr>
          <w:p>
            <w:r>
              <w:t>Module 3 — The Analyst</w:t>
            </w:r>
          </w:p>
        </w:tc>
        <w:tc>
          <w:tcPr>
            <w:tcW w:type="dxa" w:w="4320"/>
          </w:tcPr>
          <w:p>
            <w:r>
              <w:t>The consultant. Reads a resident's score report, finds their weak spots, and builds personalized study materials from the database.</w:t>
            </w:r>
          </w:p>
        </w:tc>
      </w:tr>
    </w:tbl>
    <w:p/>
    <w:p>
      <w:r>
        <w:t>Data flows in one direction: Warehouse → Processor → Analyst → Resident.</w:t>
      </w:r>
    </w:p>
    <w:p>
      <w:r>
        <w:br w:type="page"/>
      </w:r>
    </w:p>
    <w:p>
      <w:pPr>
        <w:pStyle w:val="Heading1"/>
      </w:pPr>
      <w:r>
        <w:rPr>
          <w:color w:val="1F497D"/>
        </w:rPr>
        <w:t>Module 1 — The Warehouse (Stockroom)</w:t>
      </w:r>
    </w:p>
    <w:p>
      <w:r>
        <w:t>Module 1 holds all the raw source material. Nothing gets built or analyzed until Module 1 has what it needs.</w:t>
      </w:r>
    </w:p>
    <w:p>
      <w:pPr>
        <w:pStyle w:val="Heading2"/>
      </w:pPr>
      <w:r>
        <w:rPr>
          <w:color w:val="2E74B5"/>
        </w:rPr>
        <w:t>What It Stores</w:t>
      </w:r>
    </w:p>
    <w:tbl>
      <w:tblPr>
        <w:tblStyle w:val="TableGrid"/>
        <w:tblW w:type="auto" w:w="0"/>
        <w:tblLook w:firstColumn="1" w:firstRow="1" w:lastColumn="0" w:lastRow="0" w:noHBand="0" w:noVBand="1" w:val="04A0"/>
      </w:tblPr>
      <w:tblGrid>
        <w:gridCol w:w="4320"/>
        <w:gridCol w:w="4320"/>
      </w:tblGrid>
      <w:tr>
        <w:tc>
          <w:tcPr>
            <w:tcW w:type="dxa" w:w="4320"/>
          </w:tcPr>
          <w:p>
            <w:r>
              <w:rPr>
                <w:b/>
              </w:rPr>
              <w:t>What it is called</w:t>
            </w:r>
          </w:p>
        </w:tc>
        <w:tc>
          <w:tcPr>
            <w:tcW w:type="dxa" w:w="4320"/>
          </w:tcPr>
          <w:p>
            <w:r>
              <w:rPr>
                <w:b/>
              </w:rPr>
              <w:t>What it does (plain language)</w:t>
            </w: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r>
              <w:t>966 clinical guideline PDFs</w:t>
            </w:r>
          </w:p>
        </w:tc>
        <w:tc>
          <w:tcPr>
            <w:tcW w:type="dxa" w:w="4320"/>
          </w:tcPr>
          <w:p>
            <w:r>
              <w:t>Peer-reviewed articles and guidelines — the references behind ITE questions. Organized into four priority tiers based on how closely they relate to the video course curriculum.</w:t>
            </w:r>
          </w:p>
        </w:tc>
      </w:tr>
      <w:tr>
        <w:tc>
          <w:tcPr>
            <w:tcW w:type="dxa" w:w="4320"/>
          </w:tcPr>
          <w:p>
            <w:r>
              <w:t>16 original ITE exam PDFs</w:t>
            </w:r>
          </w:p>
        </w:tc>
        <w:tc>
          <w:tcPr>
            <w:tcW w:type="dxa" w:w="4320"/>
          </w:tcPr>
          <w:p>
            <w:r>
              <w:t>The actual ABFM ITE exam booklets and answer keys for every year 2018–2025. These are the source of truth for all 1,629 questions.</w:t>
            </w:r>
          </w:p>
        </w:tc>
      </w:tr>
      <w:tr>
        <w:tc>
          <w:tcPr>
            <w:tcW w:type="dxa" w:w="4320"/>
          </w:tcPr>
          <w:p>
            <w:r>
              <w:t>42 practice question files</w:t>
            </w:r>
          </w:p>
        </w:tc>
        <w:tc>
          <w:tcPr>
            <w:tcW w:type="dxa" w:w="4320"/>
          </w:tcPr>
          <w:p>
            <w:r>
              <w:t>Ready-to-use study documents (Word + Excel) for residents: 8 full ITE year sets and 13 AAFP quiz sets.</w:t>
            </w:r>
          </w:p>
        </w:tc>
      </w:tr>
    </w:tbl>
    <w:p/>
    <w:p>
      <w:pPr>
        <w:pStyle w:val="Heading2"/>
      </w:pPr>
      <w:r>
        <w:rPr>
          <w:color w:val="2E74B5"/>
        </w:rPr>
        <w:t>The Four PDF Tiers (Priority System)</w:t>
      </w:r>
    </w:p>
    <w:p>
      <w:r>
        <w:t>The 966 clinical article PDFs are sorted into four folders based on two questions:</w:t>
        <w:br/>
        <w:t xml:space="preserve">  (1) Was this article cited in the AAFP video course? (High-yield gate)</w:t>
        <w:br/>
        <w:t xml:space="preserve">  (2) Has it been fully processed yet?</w:t>
      </w:r>
    </w:p>
    <w:tbl>
      <w:tblPr>
        <w:tblStyle w:val="TableGrid"/>
        <w:tblW w:type="auto" w:w="0"/>
        <w:tblLook w:firstColumn="1" w:firstRow="1" w:lastColumn="0" w:lastRow="0" w:noHBand="0" w:noVBand="1" w:val="04A0"/>
      </w:tblPr>
      <w:tblGrid>
        <w:gridCol w:w="4320"/>
        <w:gridCol w:w="4320"/>
      </w:tblGrid>
      <w:tr>
        <w:tc>
          <w:tcPr>
            <w:tcW w:type="dxa" w:w="4320"/>
          </w:tcPr>
          <w:p>
            <w:r>
              <w:rPr>
                <w:b/>
              </w:rPr>
              <w:t>What it is called</w:t>
            </w:r>
          </w:p>
        </w:tc>
        <w:tc>
          <w:tcPr>
            <w:tcW w:type="dxa" w:w="4320"/>
          </w:tcPr>
          <w:p>
            <w:r>
              <w:rPr>
                <w:b/>
              </w:rPr>
              <w:t>What it does (plain language)</w:t>
            </w: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r>
              <w:t>VC_pass/ (168 PDFs)</w:t>
            </w:r>
          </w:p>
        </w:tc>
        <w:tc>
          <w:tcPr>
            <w:tcW w:type="dxa" w:w="4320"/>
          </w:tcPr>
          <w:p>
            <w:r>
              <w:t>Video-course articles that have NOT been fully processed yet. High priority queue.</w:t>
            </w:r>
          </w:p>
        </w:tc>
      </w:tr>
      <w:tr>
        <w:tc>
          <w:tcPr>
            <w:tcW w:type="dxa" w:w="4320"/>
          </w:tcPr>
          <w:p>
            <w:r>
              <w:t>right_click/ (58 PDFs)</w:t>
            </w:r>
          </w:p>
        </w:tc>
        <w:tc>
          <w:tcPr>
            <w:tcW w:type="dxa" w:w="4320"/>
          </w:tcPr>
          <w:p>
            <w:r>
              <w:t>Video-course articles that ARE fully processed. The gold tier — highest clinical value.</w:t>
            </w:r>
          </w:p>
        </w:tc>
      </w:tr>
      <w:tr>
        <w:tc>
          <w:tcPr>
            <w:tcW w:type="dxa" w:w="4320"/>
          </w:tcPr>
          <w:p>
            <w:r>
              <w:t>VC_fail/ (623 PDFs)</w:t>
            </w:r>
          </w:p>
        </w:tc>
        <w:tc>
          <w:tcPr>
            <w:tcW w:type="dxa" w:w="4320"/>
          </w:tcPr>
          <w:p>
            <w:r>
              <w:t>Non-video-course articles waiting to be processed. Larger, lower-priority pool.</w:t>
            </w:r>
          </w:p>
        </w:tc>
      </w:tr>
      <w:tr>
        <w:tc>
          <w:tcPr>
            <w:tcW w:type="dxa" w:w="4320"/>
          </w:tcPr>
          <w:p>
            <w:r>
              <w:t>local_lite/ (117 PDFs)</w:t>
            </w:r>
          </w:p>
        </w:tc>
        <w:tc>
          <w:tcPr>
            <w:tcW w:type="dxa" w:w="4320"/>
          </w:tcPr>
          <w:p>
            <w:r>
              <w:t>Non-video-course articles that ARE fully processed.</w:t>
            </w:r>
          </w:p>
        </w:tc>
      </w:tr>
    </w:tbl>
    <w:p/>
    <w:tbl>
      <w:tblPr>
        <w:tblStyle w:val="TableGrid"/>
        <w:tblW w:type="auto" w:w="0"/>
        <w:tblLook w:firstColumn="1" w:firstRow="1" w:lastColumn="0" w:lastRow="0" w:noHBand="0" w:noVBand="1" w:val="04A0"/>
      </w:tblPr>
      <w:tblGrid>
        <w:gridCol w:w="8640"/>
      </w:tblGrid>
      <w:tr>
        <w:tc>
          <w:tcPr>
            <w:tcW w:type="dxa" w:w="8640"/>
            <w:shd w:val="clear" w:color="auto" w:fill="DEEAF1"/>
          </w:tcPr>
          <w:p>
            <w:r>
              <w:rPr>
                <w:b/>
              </w:rPr>
              <w:t xml:space="preserve">💡 Analogy: </w:t>
            </w:r>
            <w:r>
              <w:t>Think of this like a hospital chart room: VC_pass and right_click are the 'attending's priority stack' and VC_fail/local_lite are the 'general filing cabinet.'</w:t>
            </w:r>
          </w:p>
        </w:tc>
      </w:tr>
    </w:tbl>
    <w:p/>
    <w:p>
      <w:pPr>
        <w:pStyle w:val="Heading2"/>
      </w:pPr>
      <w:r>
        <w:rPr>
          <w:color w:val="2E74B5"/>
        </w:rPr>
        <w:t>What the Automated Scripts Do</w:t>
      </w:r>
    </w:p>
    <w:p>
      <w:r>
        <w:t>Module 1 contains programs (scripts) that run automatically to:</w:t>
      </w:r>
    </w:p>
    <w:p>
      <w:pPr>
        <w:pStyle w:val="ListBullet"/>
      </w:pPr>
      <w:r>
        <w:t>Search the internet for missing PDFs using three legal open-access strategies (EXA search engine, PubMed Central, and Unpaywall)</w:t>
      </w:r>
    </w:p>
    <w:p>
      <w:pPr>
        <w:pStyle w:val="ListBullet"/>
      </w:pPr>
      <w:r>
        <w:t>Download and file PDFs into the correct tier folder automatically</w:t>
      </w:r>
    </w:p>
    <w:p>
      <w:pPr>
        <w:pStyle w:val="ListBullet"/>
      </w:pPr>
      <w:r>
        <w:t>Detect and quarantine duplicate files</w:t>
      </w:r>
    </w:p>
    <w:p>
      <w:pPr>
        <w:pStyle w:val="ListBullet"/>
      </w:pPr>
      <w:r>
        <w:t>Rebuild the entire database from scratch if needed</w:t>
      </w:r>
    </w:p>
    <w:p>
      <w:pPr>
        <w:pStyle w:val="ListBullet"/>
      </w:pPr>
      <w:r>
        <w:t>Generate all 42 practice question documents on demand</w:t>
      </w:r>
    </w:p>
    <w:p>
      <w:r>
        <w:br w:type="page"/>
      </w:r>
    </w:p>
    <w:p>
      <w:pPr>
        <w:pStyle w:val="Heading1"/>
      </w:pPr>
      <w:r>
        <w:rPr>
          <w:color w:val="1F497D"/>
        </w:rPr>
        <w:t>Module 2 — The Processor (The Lab)</w:t>
      </w:r>
    </w:p>
    <w:p>
      <w:r>
        <w:t>Module 2 is where raw files become intelligent data. It reads the PDFs collected by Module 1 and extracts structured clinical knowledge from them using AI. It also reads every question and tags it with clinical categories.</w:t>
      </w:r>
    </w:p>
    <w:p>
      <w:pPr>
        <w:pStyle w:val="Heading2"/>
      </w:pPr>
      <w:r>
        <w:rPr>
          <w:color w:val="2E74B5"/>
        </w:rPr>
        <w:t>The Core Job: Turning PDFs into Knowledge</w:t>
      </w:r>
    </w:p>
    <w:p>
      <w:r>
        <w:t>Each clinical guideline PDF is passed through an AI reading pipeline. The pipeline has five specialized 'readers' — one for each clinical document type:</w:t>
      </w:r>
    </w:p>
    <w:tbl>
      <w:tblPr>
        <w:tblStyle w:val="TableGrid"/>
        <w:tblW w:type="auto" w:w="0"/>
        <w:tblLook w:firstColumn="1" w:firstRow="1" w:lastColumn="0" w:lastRow="0" w:noHBand="0" w:noVBand="1" w:val="04A0"/>
      </w:tblPr>
      <w:tblGrid>
        <w:gridCol w:w="4320"/>
        <w:gridCol w:w="4320"/>
      </w:tblGrid>
      <w:tr>
        <w:tc>
          <w:tcPr>
            <w:tcW w:type="dxa" w:w="4320"/>
          </w:tcPr>
          <w:p>
            <w:r>
              <w:rPr>
                <w:b/>
              </w:rPr>
              <w:t>What it is called</w:t>
            </w:r>
          </w:p>
        </w:tc>
        <w:tc>
          <w:tcPr>
            <w:tcW w:type="dxa" w:w="4320"/>
          </w:tcPr>
          <w:p>
            <w:r>
              <w:rPr>
                <w:b/>
              </w:rPr>
              <w:t>What it does (plain language)</w:t>
            </w: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r>
              <w:t>Chronic Disease Reader</w:t>
            </w:r>
          </w:p>
        </w:tc>
        <w:tc>
          <w:tcPr>
            <w:tcW w:type="dxa" w:w="4320"/>
          </w:tcPr>
          <w:p>
            <w:r>
              <w:t>Reads guidelines about chronic conditions like diabetes, hypertension, and COPD</w:t>
            </w:r>
          </w:p>
        </w:tc>
      </w:tr>
      <w:tr>
        <w:tc>
          <w:tcPr>
            <w:tcW w:type="dxa" w:w="4320"/>
          </w:tcPr>
          <w:p>
            <w:r>
              <w:t>Acute Condition Reader</w:t>
            </w:r>
          </w:p>
        </w:tc>
        <w:tc>
          <w:tcPr>
            <w:tcW w:type="dxa" w:w="4320"/>
          </w:tcPr>
          <w:p>
            <w:r>
              <w:t>Reads protocols for acute presentations like chest pain, sepsis, or fractures</w:t>
            </w:r>
          </w:p>
        </w:tc>
      </w:tr>
      <w:tr>
        <w:tc>
          <w:tcPr>
            <w:tcW w:type="dxa" w:w="4320"/>
          </w:tcPr>
          <w:p>
            <w:r>
              <w:t>Preventive Care Reader</w:t>
            </w:r>
          </w:p>
        </w:tc>
        <w:tc>
          <w:tcPr>
            <w:tcW w:type="dxa" w:w="4320"/>
          </w:tcPr>
          <w:p>
            <w:r>
              <w:t>Reads screening and immunization recommendations</w:t>
            </w:r>
          </w:p>
        </w:tc>
      </w:tr>
      <w:tr>
        <w:tc>
          <w:tcPr>
            <w:tcW w:type="dxa" w:w="4320"/>
          </w:tcPr>
          <w:p>
            <w:r>
              <w:t>Diagnostic Reader</w:t>
            </w:r>
          </w:p>
        </w:tc>
        <w:tc>
          <w:tcPr>
            <w:tcW w:type="dxa" w:w="4320"/>
          </w:tcPr>
          <w:p>
            <w:r>
              <w:t>Reads criteria and workup pathways for diagnoses</w:t>
            </w:r>
          </w:p>
        </w:tc>
      </w:tr>
      <w:tr>
        <w:tc>
          <w:tcPr>
            <w:tcW w:type="dxa" w:w="4320"/>
          </w:tcPr>
          <w:p>
            <w:r>
              <w:t>Clinical Trial Reader</w:t>
            </w:r>
          </w:p>
        </w:tc>
        <w:tc>
          <w:tcPr>
            <w:tcW w:type="dxa" w:w="4320"/>
          </w:tcPr>
          <w:p>
            <w:r>
              <w:t>Reads randomized controlled trial evidence summaries</w:t>
            </w:r>
          </w:p>
        </w:tc>
      </w:tr>
    </w:tbl>
    <w:p/>
    <w:p>
      <w:r>
        <w:t>After reading, each article gets a set of tags stored in the database: body system, ICD-10 codes, clinical concept tags, keywords, and a relevance score.</w:t>
      </w:r>
    </w:p>
    <w:p>
      <w:pPr>
        <w:pStyle w:val="Heading2"/>
      </w:pPr>
      <w:r>
        <w:rPr>
          <w:color w:val="2E74B5"/>
        </w:rPr>
        <w:t>Classifying Every ITE Question</w:t>
      </w:r>
    </w:p>
    <w:p>
      <w:r>
        <w:t>Module 2 also reads every ITE question and classifies it against the official ABFM exam blueprint — the five domains:</w:t>
      </w:r>
    </w:p>
    <w:p>
      <w:pPr>
        <w:pStyle w:val="ListBullet"/>
      </w:pPr>
      <w:r>
        <w:t>Acute Care</w:t>
      </w:r>
    </w:p>
    <w:p>
      <w:pPr>
        <w:pStyle w:val="ListBullet"/>
      </w:pPr>
      <w:r>
        <w:t>Chronic Care</w:t>
      </w:r>
    </w:p>
    <w:p>
      <w:pPr>
        <w:pStyle w:val="ListBullet"/>
      </w:pPr>
      <w:r>
        <w:t>Preventive Care</w:t>
      </w:r>
    </w:p>
    <w:p>
      <w:pPr>
        <w:pStyle w:val="ListBullet"/>
      </w:pPr>
      <w:r>
        <w:t>Emergent / Urgent Care</w:t>
      </w:r>
    </w:p>
    <w:p>
      <w:pPr>
        <w:pStyle w:val="ListBullet"/>
      </w:pPr>
      <w:r>
        <w:t>Foundations of Medicine</w:t>
      </w:r>
    </w:p>
    <w:p>
      <w:r>
        <w:t>It also assigns a body system (Cardiovascular, Respiratory, Endocrine, etc.) to each question. This tagging is what makes it possible for Module 3 to match a resident's weak areas to specific practice questions.</w:t>
      </w:r>
    </w:p>
    <w:p>
      <w:pPr>
        <w:pStyle w:val="Heading2"/>
      </w:pPr>
      <w:r>
        <w:rPr>
          <w:color w:val="2E74B5"/>
        </w:rPr>
        <w:t>Building the Video Course Outline Documents</w:t>
      </w:r>
    </w:p>
    <w:p>
      <w:r>
        <w:t>Module 2 contains the tools that build the enriched video course outline — the document that faculty use during the 48-session AAFP board prep course. It automatically injects high-yield question summaries, clinical pearls, and supplemental content into the session outline.</w:t>
      </w:r>
    </w:p>
    <w:tbl>
      <w:tblPr>
        <w:tblStyle w:val="TableGrid"/>
        <w:tblW w:type="auto" w:w="0"/>
        <w:tblLook w:firstColumn="1" w:firstRow="1" w:lastColumn="0" w:lastRow="0" w:noHBand="0" w:noVBand="1" w:val="04A0"/>
      </w:tblPr>
      <w:tblGrid>
        <w:gridCol w:w="8640"/>
      </w:tblGrid>
      <w:tr>
        <w:tc>
          <w:tcPr>
            <w:tcW w:type="dxa" w:w="8640"/>
            <w:shd w:val="clear" w:color="auto" w:fill="DEEAF1"/>
          </w:tcPr>
          <w:p>
            <w:r>
              <w:rPr>
                <w:b/>
              </w:rPr>
              <w:t xml:space="preserve">💡 Analogy: </w:t>
            </w:r>
            <w:r>
              <w:t>Module 2 is like a very fast, very thorough hospitalist who reads every chart, adds structured problem lists to each, and then links every problem to the relevant clinical guideline — automatically, for 1,985 articles.</w:t>
            </w:r>
          </w:p>
        </w:tc>
      </w:tr>
    </w:tbl>
    <w:p/>
    <w:p>
      <w:r>
        <w:br w:type="page"/>
      </w:r>
    </w:p>
    <w:p>
      <w:pPr>
        <w:pStyle w:val="Heading1"/>
      </w:pPr>
      <w:r>
        <w:rPr>
          <w:color w:val="1F497D"/>
        </w:rPr>
        <w:t>Module 3 — The Analyst (The Consultant)</w:t>
      </w:r>
    </w:p>
    <w:p>
      <w:r>
        <w:t>Module 3 is the resident-facing output layer. It takes everything the Warehouse stored and the Processor tagged — and turns it into personalized study tools.</w:t>
      </w:r>
    </w:p>
    <w:p>
      <w:pPr>
        <w:pStyle w:val="Heading2"/>
      </w:pPr>
      <w:r>
        <w:rPr>
          <w:color w:val="2E74B5"/>
        </w:rPr>
        <w:t>The Flagship Product: Personalized ITE Score Reports</w:t>
      </w:r>
    </w:p>
    <w:p>
      <w:r>
        <w:t>This is the most clinically powerful feature of the system. When a resident receives their ABFM ITE score report, that PDF can be fed directly into Module 3. Here is what happens:</w:t>
      </w:r>
    </w:p>
    <w:tbl>
      <w:tblPr>
        <w:tblStyle w:val="TableGrid"/>
        <w:tblW w:type="auto" w:w="0"/>
        <w:tblLook w:firstColumn="1" w:firstRow="1" w:lastColumn="0" w:lastRow="0" w:noHBand="0" w:noVBand="1" w:val="04A0"/>
      </w:tblPr>
      <w:tblGrid>
        <w:gridCol w:w="4320"/>
        <w:gridCol w:w="4320"/>
      </w:tblGrid>
      <w:tr>
        <w:tc>
          <w:tcPr>
            <w:tcW w:type="dxa" w:w="4320"/>
          </w:tcPr>
          <w:p>
            <w:r>
              <w:rPr>
                <w:b/>
              </w:rPr>
              <w:t>What it is called</w:t>
            </w:r>
          </w:p>
        </w:tc>
        <w:tc>
          <w:tcPr>
            <w:tcW w:type="dxa" w:w="4320"/>
          </w:tcPr>
          <w:p>
            <w:r>
              <w:rPr>
                <w:b/>
              </w:rPr>
              <w:t>What it does (plain language)</w:t>
            </w: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r>
              <w:t>Step 1 — Read the ABFM PDF</w:t>
            </w:r>
          </w:p>
        </w:tc>
        <w:tc>
          <w:tcPr>
            <w:tcW w:type="dxa" w:w="4320"/>
          </w:tcPr>
          <w:p>
            <w:r>
              <w:t>The system reads the scatter plot chart on the score report. It detects the color of each dot (red = wrong, green = correct) and its position on the chart (which encodes the question's difficulty and category).</w:t>
            </w:r>
          </w:p>
        </w:tc>
      </w:tr>
      <w:tr>
        <w:tc>
          <w:tcPr>
            <w:tcW w:type="dxa" w:w="4320"/>
          </w:tcPr>
          <w:p>
            <w:r>
              <w:t>Step 2 — Map to Blueprint &amp; Body System</w:t>
            </w:r>
          </w:p>
        </w:tc>
        <w:tc>
          <w:tcPr>
            <w:tcW w:type="dxa" w:w="4320"/>
          </w:tcPr>
          <w:p>
            <w:r>
              <w:t>Each dot is mapped to one of the five blueprint domains AND one of the body systems. The system knows exactly where every wrong answer falls.</w:t>
            </w:r>
          </w:p>
        </w:tc>
      </w:tr>
      <w:tr>
        <w:tc>
          <w:tcPr>
            <w:tcW w:type="dxa" w:w="4320"/>
          </w:tcPr>
          <w:p>
            <w:r>
              <w:t>Step 3 — Find the Weak Intersections</w:t>
            </w:r>
          </w:p>
        </w:tc>
        <w:tc>
          <w:tcPr>
            <w:tcW w:type="dxa" w:w="4320"/>
          </w:tcPr>
          <w:p>
            <w:r>
              <w:t>It calculates the resident's performance at every combination — for example, 'Cardiovascular × Acute Care.' These cross-category weak spots are invisible in standard score reports but are the most actionable targets for study.</w:t>
            </w:r>
          </w:p>
        </w:tc>
      </w:tr>
      <w:tr>
        <w:tc>
          <w:tcPr>
            <w:tcW w:type="dxa" w:w="4320"/>
          </w:tcPr>
          <w:p>
            <w:r>
              <w:t>Step 4 — Pull Relevant Practice Questions</w:t>
            </w:r>
          </w:p>
        </w:tc>
        <w:tc>
          <w:tcPr>
            <w:tcW w:type="dxa" w:w="4320"/>
          </w:tcPr>
          <w:p>
            <w:r>
              <w:t>It searches all 1,629 ITE questions and ranks the most relevant ones for the resident's specific weak areas. It targets 60 questions total, with at least 10 from each weak body system.</w:t>
            </w:r>
          </w:p>
        </w:tc>
      </w:tr>
      <w:tr>
        <w:tc>
          <w:tcPr>
            <w:tcW w:type="dxa" w:w="4320"/>
          </w:tcPr>
          <w:p>
            <w:r>
              <w:t>Step 5 — Build the Report</w:t>
            </w:r>
          </w:p>
        </w:tc>
        <w:tc>
          <w:tcPr>
            <w:tcW w:type="dxa" w:w="4320"/>
          </w:tcPr>
          <w:p>
            <w:r>
              <w:t>It generates two Word documents: a full study guide with answers and explanations, and a clean exam-format version with an answer key at the end.</w:t>
            </w:r>
          </w:p>
        </w:tc>
      </w:tr>
    </w:tbl>
    <w:p/>
    <w:tbl>
      <w:tblPr>
        <w:tblStyle w:val="TableGrid"/>
        <w:tblW w:type="auto" w:w="0"/>
        <w:tblLook w:firstColumn="1" w:firstRow="1" w:lastColumn="0" w:lastRow="0" w:noHBand="0" w:noVBand="1" w:val="04A0"/>
      </w:tblPr>
      <w:tblGrid>
        <w:gridCol w:w="8640"/>
      </w:tblGrid>
      <w:tr>
        <w:tc>
          <w:tcPr>
            <w:tcW w:type="dxa" w:w="8640"/>
            <w:shd w:val="clear" w:color="auto" w:fill="DEEAF1"/>
          </w:tcPr>
          <w:p>
            <w:r>
              <w:rPr>
                <w:b/>
              </w:rPr>
              <w:t xml:space="preserve">💡 What this means for a program director: </w:t>
            </w:r>
            <w:r>
              <w:t>In the time it takes to have a conversation with a resident, the system has already read their score report, identified their exact weaknesses, and produced a customized 60-question practice exam drawn from 8 years of real ITE content.</w:t>
            </w:r>
          </w:p>
        </w:tc>
      </w:tr>
    </w:tbl>
    <w:p/>
    <w:p>
      <w:pPr>
        <w:pStyle w:val="Heading2"/>
      </w:pPr>
      <w:r>
        <w:rPr>
          <w:color w:val="2E74B5"/>
        </w:rPr>
        <w:t>Residents Processed So Far</w:t>
      </w:r>
    </w:p>
    <w:tbl>
      <w:tblPr>
        <w:tblStyle w:val="TableGrid"/>
        <w:tblW w:type="auto" w:w="0"/>
        <w:tblLook w:firstColumn="1" w:firstRow="1" w:lastColumn="0" w:lastRow="0" w:noHBand="0" w:noVBand="1" w:val="04A0"/>
      </w:tblPr>
      <w:tblGrid>
        <w:gridCol w:w="4320"/>
        <w:gridCol w:w="4320"/>
      </w:tblGrid>
      <w:tr>
        <w:tc>
          <w:tcPr>
            <w:tcW w:type="dxa" w:w="4320"/>
          </w:tcPr>
          <w:p>
            <w:r>
              <w:rPr>
                <w:b/>
              </w:rPr>
              <w:t>What it is called</w:t>
            </w:r>
          </w:p>
        </w:tc>
        <w:tc>
          <w:tcPr>
            <w:tcW w:type="dxa" w:w="4320"/>
          </w:tcPr>
          <w:p>
            <w:r>
              <w:rPr>
                <w:b/>
              </w:rPr>
              <w:t>What it does (plain language)</w:t>
            </w:r>
          </w:p>
        </w:tc>
      </w:tr>
      <w:tr>
        <w:tc>
          <w:tcPr>
            <w:tcW w:type="dxa" w:w="4320"/>
          </w:tcPr>
          <w:p/>
        </w:tc>
        <w:tc>
          <w:tcPr>
            <w:tcW w:type="dxa" w:w="4320"/>
          </w:tcPr>
          <w:p/>
        </w:tc>
      </w:tr>
      <w:tr>
        <w:tc>
          <w:tcPr>
            <w:tcW w:type="dxa" w:w="4320"/>
          </w:tcPr>
          <w:p/>
        </w:tc>
        <w:tc>
          <w:tcPr>
            <w:tcW w:type="dxa" w:w="4320"/>
          </w:tcPr>
          <w:p/>
        </w:tc>
      </w:tr>
      <w:tr>
        <w:tc>
          <w:tcPr>
            <w:tcW w:type="dxa" w:w="4320"/>
          </w:tcPr>
          <w:p>
            <w:r>
              <w:t>Resident A (2025)</w:t>
            </w:r>
          </w:p>
        </w:tc>
        <w:tc>
          <w:tcPr>
            <w:tcW w:type="dxa" w:w="4320"/>
          </w:tcPr>
          <w:p>
            <w:r>
              <w:t>Raw score 65.4% → Scaled 510. 50 practice questions generated.</w:t>
            </w:r>
          </w:p>
        </w:tc>
      </w:tr>
      <w:tr>
        <w:tc>
          <w:tcPr>
            <w:tcW w:type="dxa" w:w="4320"/>
          </w:tcPr>
          <w:p>
            <w:r>
              <w:t>Resident B (2025)</w:t>
            </w:r>
          </w:p>
        </w:tc>
        <w:tc>
          <w:tcPr>
            <w:tcW w:type="dxa" w:w="4320"/>
          </w:tcPr>
          <w:p>
            <w:r>
              <w:t>Raw score 57.1% → Scaled ~430. 50 practice questions generated.</w:t>
            </w:r>
          </w:p>
        </w:tc>
      </w:tr>
    </w:tbl>
    <w:p/>
    <w:p>
      <w:pPr>
        <w:pStyle w:val="Heading2"/>
      </w:pPr>
      <w:r>
        <w:rPr>
          <w:color w:val="2E74B5"/>
        </w:rPr>
        <w:t>Other Outputs Module 3 Produces</w:t>
      </w:r>
    </w:p>
    <w:p>
      <w:pPr>
        <w:pStyle w:val="ListBullet"/>
      </w:pPr>
      <w:r>
        <w:t>Full Q&amp;A study sets for every ITE year (2018–2025): Word docs and Excel spreadsheets</w:t>
      </w:r>
    </w:p>
    <w:p>
      <w:pPr>
        <w:pStyle w:val="ListBullet"/>
      </w:pPr>
      <w:r>
        <w:t>Full Q&amp;A study sets for 13 AAFP quiz batches (1,221 questions)</w:t>
      </w:r>
    </w:p>
    <w:p>
      <w:pPr>
        <w:pStyle w:val="ListBullet"/>
      </w:pPr>
      <w:r>
        <w:t>Faculty PowerPoint presentations built from longitudinal exam trend data</w:t>
      </w:r>
    </w:p>
    <w:p>
      <w:pPr>
        <w:pStyle w:val="ListBullet"/>
      </w:pPr>
      <w:r>
        <w:t>Cross-analysis reports comparing the AAFP practice bank to real ITE content</w:t>
      </w:r>
    </w:p>
    <w:p>
      <w:r>
        <w:br w:type="page"/>
      </w:r>
    </w:p>
    <w:p>
      <w:pPr>
        <w:pStyle w:val="Heading1"/>
      </w:pPr>
      <w:r>
        <w:rPr>
          <w:color w:val="1F497D"/>
        </w:rPr>
        <w:t>The Database: The Shared Foundation</w:t>
      </w:r>
    </w:p>
    <w:p>
      <w:r>
        <w:t>All three modules read from and write to a single database file. The database is the central nervous system of the entire system. It contains:</w:t>
      </w:r>
    </w:p>
    <w:tbl>
      <w:tblPr>
        <w:tblStyle w:val="TableGrid"/>
        <w:tblW w:type="auto" w:w="0"/>
        <w:tblLook w:firstColumn="1" w:firstRow="1" w:lastColumn="0" w:lastRow="0" w:noHBand="0" w:noVBand="1" w:val="04A0"/>
      </w:tblPr>
      <w:tblGrid>
        <w:gridCol w:w="4320"/>
        <w:gridCol w:w="4320"/>
      </w:tblGrid>
      <w:tr>
        <w:tc>
          <w:tcPr>
            <w:tcW w:type="dxa" w:w="4320"/>
          </w:tcPr>
          <w:p>
            <w:r>
              <w:rPr>
                <w:b/>
              </w:rPr>
              <w:t>What it is called</w:t>
            </w:r>
          </w:p>
        </w:tc>
        <w:tc>
          <w:tcPr>
            <w:tcW w:type="dxa" w:w="4320"/>
          </w:tcPr>
          <w:p>
            <w:r>
              <w:rPr>
                <w:b/>
              </w:rPr>
              <w:t>What it does (plain language)</w:t>
            </w: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r>
              <w:t>1,629 ITE questions</w:t>
            </w:r>
          </w:p>
        </w:tc>
        <w:tc>
          <w:tcPr>
            <w:tcW w:type="dxa" w:w="4320"/>
          </w:tcPr>
          <w:p>
            <w:r>
              <w:t>All 8 years (2018–2025), fully classified</w:t>
            </w:r>
          </w:p>
        </w:tc>
      </w:tr>
      <w:tr>
        <w:tc>
          <w:tcPr>
            <w:tcW w:type="dxa" w:w="4320"/>
          </w:tcPr>
          <w:p>
            <w:r>
              <w:t>1,221 AAFP questions</w:t>
            </w:r>
          </w:p>
        </w:tc>
        <w:tc>
          <w:tcPr>
            <w:tcW w:type="dxa" w:w="4320"/>
          </w:tcPr>
          <w:p>
            <w:r>
              <w:t>Board review questions, fully classified</w:t>
            </w:r>
          </w:p>
        </w:tc>
      </w:tr>
      <w:tr>
        <w:tc>
          <w:tcPr>
            <w:tcW w:type="dxa" w:w="4320"/>
          </w:tcPr>
          <w:p>
            <w:r>
              <w:t>1,985 clinical articles</w:t>
            </w:r>
          </w:p>
        </w:tc>
        <w:tc>
          <w:tcPr>
            <w:tcW w:type="dxa" w:w="4320"/>
          </w:tcPr>
          <w:p>
            <w:r>
              <w:t>Metadata, tags, ICD-10 codes, keywords</w:t>
            </w:r>
          </w:p>
        </w:tc>
      </w:tr>
      <w:tr>
        <w:tc>
          <w:tcPr>
            <w:tcW w:type="dxa" w:w="4320"/>
          </w:tcPr>
          <w:p>
            <w:r>
              <w:t>2,470 question–article links</w:t>
            </w:r>
          </w:p>
        </w:tc>
        <w:tc>
          <w:tcPr>
            <w:tcW w:type="dxa" w:w="4320"/>
          </w:tcPr>
          <w:p>
            <w:r>
              <w:t>Direct connections between questions and their source guidelines</w:t>
            </w:r>
          </w:p>
        </w:tc>
      </w:tr>
      <w:tr>
        <w:tc>
          <w:tcPr>
            <w:tcW w:type="dxa" w:w="4320"/>
          </w:tcPr>
          <w:p>
            <w:r>
              <w:t>Vector similarity data</w:t>
            </w:r>
          </w:p>
        </w:tc>
        <w:tc>
          <w:tcPr>
            <w:tcW w:type="dxa" w:w="4320"/>
          </w:tcPr>
          <w:p>
            <w:r>
              <w:t>Mathematical fingerprints that allow 'find related questions' searches</w:t>
            </w:r>
          </w:p>
        </w:tc>
      </w:tr>
      <w:tr>
        <w:tc>
          <w:tcPr>
            <w:tcW w:type="dxa" w:w="4320"/>
          </w:tcPr>
          <w:p>
            <w:r>
              <w:t>Clinical pathways</w:t>
            </w:r>
          </w:p>
        </w:tc>
        <w:tc>
          <w:tcPr>
            <w:tcW w:type="dxa" w:w="4320"/>
          </w:tcPr>
          <w:p>
            <w:r>
              <w:t>3,971 rows grouping questions and articles into clinical workflows</w:t>
            </w:r>
          </w:p>
        </w:tc>
      </w:tr>
    </w:tbl>
    <w:p/>
    <w:tbl>
      <w:tblPr>
        <w:tblStyle w:val="TableGrid"/>
        <w:tblW w:type="auto" w:w="0"/>
        <w:tblLook w:firstColumn="1" w:firstRow="1" w:lastColumn="0" w:lastRow="0" w:noHBand="0" w:noVBand="1" w:val="04A0"/>
      </w:tblPr>
      <w:tblGrid>
        <w:gridCol w:w="8640"/>
      </w:tblGrid>
      <w:tr>
        <w:tc>
          <w:tcPr>
            <w:tcW w:type="dxa" w:w="8640"/>
            <w:shd w:val="clear" w:color="auto" w:fill="DEEAF1"/>
          </w:tcPr>
          <w:p>
            <w:r>
              <w:rPr>
                <w:b/>
              </w:rPr>
              <w:t xml:space="preserve">💡 What this means: </w:t>
            </w:r>
            <w:r>
              <w:t>Every question knows what article it came from. Every article knows which questions test it. When you ask 'what should this resident study for their weak area in cardiovascular chronic care?' — the database already knows the answer.</w:t>
            </w:r>
          </w:p>
        </w:tc>
      </w:tr>
    </w:tbl>
    <w:p/>
    <w:p>
      <w:pPr>
        <w:pStyle w:val="Heading1"/>
      </w:pPr>
      <w:r>
        <w:rPr>
          <w:color w:val="1F497D"/>
        </w:rPr>
        <w:t>Quick Reference: System Numbers</w:t>
      </w:r>
    </w:p>
    <w:tbl>
      <w:tblPr>
        <w:tblStyle w:val="TableGrid"/>
        <w:tblW w:type="auto" w:w="0"/>
        <w:tblLook w:firstColumn="1" w:firstRow="1" w:lastColumn="0" w:lastRow="0" w:noHBand="0" w:noVBand="1" w:val="04A0"/>
      </w:tblPr>
      <w:tblGrid>
        <w:gridCol w:w="4320"/>
        <w:gridCol w:w="4320"/>
      </w:tblGrid>
      <w:tr>
        <w:tc>
          <w:tcPr>
            <w:tcW w:type="dxa" w:w="4320"/>
          </w:tcPr>
          <w:p>
            <w:r>
              <w:rPr>
                <w:b/>
              </w:rPr>
              <w:t>What it is called</w:t>
            </w:r>
          </w:p>
        </w:tc>
        <w:tc>
          <w:tcPr>
            <w:tcW w:type="dxa" w:w="4320"/>
          </w:tcPr>
          <w:p>
            <w:r>
              <w:rPr>
                <w:b/>
              </w:rPr>
              <w:t>What it does (plain language)</w:t>
            </w: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r>
              <w:t>ITE exam years covered</w:t>
            </w:r>
          </w:p>
        </w:tc>
        <w:tc>
          <w:tcPr>
            <w:tcW w:type="dxa" w:w="4320"/>
          </w:tcPr>
          <w:p>
            <w:r>
              <w:t>2018–2025 (8 years)</w:t>
            </w:r>
          </w:p>
        </w:tc>
      </w:tr>
      <w:tr>
        <w:tc>
          <w:tcPr>
            <w:tcW w:type="dxa" w:w="4320"/>
          </w:tcPr>
          <w:p>
            <w:r>
              <w:t>Total ITE questions</w:t>
            </w:r>
          </w:p>
        </w:tc>
        <w:tc>
          <w:tcPr>
            <w:tcW w:type="dxa" w:w="4320"/>
          </w:tcPr>
          <w:p>
            <w:r>
              <w:t>1,629</w:t>
            </w:r>
          </w:p>
        </w:tc>
      </w:tr>
      <w:tr>
        <w:tc>
          <w:tcPr>
            <w:tcW w:type="dxa" w:w="4320"/>
          </w:tcPr>
          <w:p>
            <w:r>
              <w:t>Total AAFP questions</w:t>
            </w:r>
          </w:p>
        </w:tc>
        <w:tc>
          <w:tcPr>
            <w:tcW w:type="dxa" w:w="4320"/>
          </w:tcPr>
          <w:p>
            <w:r>
              <w:t>1,221</w:t>
            </w:r>
          </w:p>
        </w:tc>
      </w:tr>
      <w:tr>
        <w:tc>
          <w:tcPr>
            <w:tcW w:type="dxa" w:w="4320"/>
          </w:tcPr>
          <w:p>
            <w:r>
              <w:t>Clinical guideline PDFs</w:t>
            </w:r>
          </w:p>
        </w:tc>
        <w:tc>
          <w:tcPr>
            <w:tcW w:type="dxa" w:w="4320"/>
          </w:tcPr>
          <w:p>
            <w:r>
              <w:t>966 across 4 tiers</w:t>
            </w:r>
          </w:p>
        </w:tc>
      </w:tr>
      <w:tr>
        <w:tc>
          <w:tcPr>
            <w:tcW w:type="dxa" w:w="4320"/>
          </w:tcPr>
          <w:p>
            <w:r>
              <w:t>Indexed journal articles</w:t>
            </w:r>
          </w:p>
        </w:tc>
        <w:tc>
          <w:tcPr>
            <w:tcW w:type="dxa" w:w="4320"/>
          </w:tcPr>
          <w:p>
            <w:r>
              <w:t>1,985</w:t>
            </w:r>
          </w:p>
        </w:tc>
      </w:tr>
      <w:tr>
        <w:tc>
          <w:tcPr>
            <w:tcW w:type="dxa" w:w="4320"/>
          </w:tcPr>
          <w:p>
            <w:r>
              <w:t>Question–article links</w:t>
            </w:r>
          </w:p>
        </w:tc>
        <w:tc>
          <w:tcPr>
            <w:tcW w:type="dxa" w:w="4320"/>
          </w:tcPr>
          <w:p>
            <w:r>
              <w:t>2,470</w:t>
            </w:r>
          </w:p>
        </w:tc>
      </w:tr>
      <w:tr>
        <w:tc>
          <w:tcPr>
            <w:tcW w:type="dxa" w:w="4320"/>
          </w:tcPr>
          <w:p>
            <w:r>
              <w:t>Video course sessions</w:t>
            </w:r>
          </w:p>
        </w:tc>
        <w:tc>
          <w:tcPr>
            <w:tcW w:type="dxa" w:w="4320"/>
          </w:tcPr>
          <w:p>
            <w:r>
              <w:t>48</w:t>
            </w:r>
          </w:p>
        </w:tc>
      </w:tr>
      <w:tr>
        <w:tc>
          <w:tcPr>
            <w:tcW w:type="dxa" w:w="4320"/>
          </w:tcPr>
          <w:p>
            <w:r>
              <w:t>Practice files (DOCX + XLSX)</w:t>
            </w:r>
          </w:p>
        </w:tc>
        <w:tc>
          <w:tcPr>
            <w:tcW w:type="dxa" w:w="4320"/>
          </w:tcPr>
          <w:p>
            <w:r>
              <w:t>42</w:t>
            </w:r>
          </w:p>
        </w:tc>
      </w:tr>
      <w:tr>
        <w:tc>
          <w:tcPr>
            <w:tcW w:type="dxa" w:w="4320"/>
          </w:tcPr>
          <w:p>
            <w:r>
              <w:t>Automated scripts in the system</w:t>
            </w:r>
          </w:p>
        </w:tc>
        <w:tc>
          <w:tcPr>
            <w:tcW w:type="dxa" w:w="4320"/>
          </w:tcPr>
          <w:p>
            <w:r>
              <w:t>~120+ across all 3 modules</w:t>
            </w:r>
          </w:p>
        </w:tc>
      </w:tr>
      <w:tr>
        <w:tc>
          <w:tcPr>
            <w:tcW w:type="dxa" w:w="4320"/>
          </w:tcPr>
          <w:p>
            <w:r>
              <w:t>AI model used for classification</w:t>
            </w:r>
          </w:p>
        </w:tc>
        <w:tc>
          <w:tcPr>
            <w:tcW w:type="dxa" w:w="4320"/>
          </w:tcPr>
          <w:p>
            <w:r>
              <w:t>Claude (Anthropic) + OpenAI embeddings</w:t>
            </w:r>
          </w:p>
        </w:tc>
      </w:tr>
    </w:tbl>
    <w:p/>
    <w:p>
      <w:r>
        <w:br w:type="page"/>
      </w:r>
    </w:p>
    <w:p>
      <w:pPr>
        <w:pStyle w:val="Heading1"/>
      </w:pPr>
      <w:r>
        <w:rPr>
          <w:color w:val="1F497D"/>
        </w:rPr>
        <w:t>Glossary: Terms You May Encounter</w:t>
      </w:r>
    </w:p>
    <w:tbl>
      <w:tblPr>
        <w:tblStyle w:val="TableGrid"/>
        <w:tblW w:type="auto" w:w="0"/>
        <w:tblLook w:firstColumn="1" w:firstRow="1" w:lastColumn="0" w:lastRow="0" w:noHBand="0" w:noVBand="1" w:val="04A0"/>
      </w:tblPr>
      <w:tblGrid>
        <w:gridCol w:w="4320"/>
        <w:gridCol w:w="4320"/>
      </w:tblGrid>
      <w:tr>
        <w:tc>
          <w:tcPr>
            <w:tcW w:type="dxa" w:w="4320"/>
          </w:tcPr>
          <w:p>
            <w:r>
              <w:rPr>
                <w:b/>
              </w:rPr>
              <w:t>What it is called</w:t>
            </w:r>
          </w:p>
        </w:tc>
        <w:tc>
          <w:tcPr>
            <w:tcW w:type="dxa" w:w="4320"/>
          </w:tcPr>
          <w:p>
            <w:r>
              <w:rPr>
                <w:b/>
              </w:rPr>
              <w:t>What it does (plain language)</w:t>
            </w: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r>
              <w:t>ITE</w:t>
            </w:r>
          </w:p>
        </w:tc>
        <w:tc>
          <w:tcPr>
            <w:tcW w:type="dxa" w:w="4320"/>
          </w:tcPr>
          <w:p>
            <w:r>
              <w:t>In-Training Examination — the annual ABFM board exam residents take</w:t>
            </w:r>
          </w:p>
        </w:tc>
      </w:tr>
      <w:tr>
        <w:tc>
          <w:tcPr>
            <w:tcW w:type="dxa" w:w="4320"/>
          </w:tcPr>
          <w:p>
            <w:r>
              <w:t>ABFM</w:t>
            </w:r>
          </w:p>
        </w:tc>
        <w:tc>
          <w:tcPr>
            <w:tcW w:type="dxa" w:w="4320"/>
          </w:tcPr>
          <w:p>
            <w:r>
              <w:t>American Board of Family Medicine — the certifying board</w:t>
            </w:r>
          </w:p>
        </w:tc>
      </w:tr>
      <w:tr>
        <w:tc>
          <w:tcPr>
            <w:tcW w:type="dxa" w:w="4320"/>
          </w:tcPr>
          <w:p>
            <w:r>
              <w:t>VC / Video Course</w:t>
            </w:r>
          </w:p>
        </w:tc>
        <w:tc>
          <w:tcPr>
            <w:tcW w:type="dxa" w:w="4320"/>
          </w:tcPr>
          <w:p>
            <w:r>
              <w:t>The 48-session AAFP board prep video course — the primary curriculum filter</w:t>
            </w:r>
          </w:p>
        </w:tc>
      </w:tr>
      <w:tr>
        <w:tc>
          <w:tcPr>
            <w:tcW w:type="dxa" w:w="4320"/>
          </w:tcPr>
          <w:p>
            <w:r>
              <w:t>VC gate</w:t>
            </w:r>
          </w:p>
        </w:tc>
        <w:tc>
          <w:tcPr>
            <w:tcW w:type="dxa" w:w="4320"/>
          </w:tcPr>
          <w:p>
            <w:r>
              <w:t>A list of 352 articles cited in the video course. Passing this filter marks an article as high-yield and puts it in the right_click or VC_pass tier.</w:t>
            </w:r>
          </w:p>
        </w:tc>
      </w:tr>
      <w:tr>
        <w:tc>
          <w:tcPr>
            <w:tcW w:type="dxa" w:w="4320"/>
          </w:tcPr>
          <w:p>
            <w:r>
              <w:t>Blueprint</w:t>
            </w:r>
          </w:p>
        </w:tc>
        <w:tc>
          <w:tcPr>
            <w:tcW w:type="dxa" w:w="4320"/>
          </w:tcPr>
          <w:p>
            <w:r>
              <w:t>The official ABFM exam framework: 5 domains that define what the exam tests (Acute, Chronic, Preventive, Emergent, Foundations)</w:t>
            </w:r>
          </w:p>
        </w:tc>
      </w:tr>
      <w:tr>
        <w:tc>
          <w:tcPr>
            <w:tcW w:type="dxa" w:w="4320"/>
          </w:tcPr>
          <w:p>
            <w:r>
              <w:t>Codon filename</w:t>
            </w:r>
          </w:p>
        </w:tc>
        <w:tc>
          <w:tcPr>
            <w:tcW w:type="dxa" w:w="4320"/>
          </w:tcPr>
          <w:p>
            <w:r>
              <w:t>A specially formatted filename like Author_Year#@#ART-1234@#@.pdf that embeds a unique article ID directly in the file name so the system can find it instantly</w:t>
            </w:r>
          </w:p>
        </w:tc>
      </w:tr>
      <w:tr>
        <w:tc>
          <w:tcPr>
            <w:tcW w:type="dxa" w:w="4320"/>
          </w:tcPr>
          <w:p>
            <w:r>
              <w:t>Script / Program</w:t>
            </w:r>
          </w:p>
        </w:tc>
        <w:tc>
          <w:tcPr>
            <w:tcW w:type="dxa" w:w="4320"/>
          </w:tcPr>
          <w:p>
            <w:r>
              <w:t>A file containing automated instructions that a computer runs. In this system, scripts do things like download PDFs, read score reports, and build Word documents.</w:t>
            </w:r>
          </w:p>
        </w:tc>
      </w:tr>
      <w:tr>
        <w:tc>
          <w:tcPr>
            <w:tcW w:type="dxa" w:w="4320"/>
          </w:tcPr>
          <w:p>
            <w:r>
              <w:t>Database (DB)</w:t>
            </w:r>
          </w:p>
        </w:tc>
        <w:tc>
          <w:tcPr>
            <w:tcW w:type="dxa" w:w="4320"/>
          </w:tcPr>
          <w:p>
            <w:r>
              <w:t>A structured file that stores all the system's data in organized tables — like an extremely powerful, interconnected spreadsheet</w:t>
            </w:r>
          </w:p>
        </w:tc>
      </w:tr>
      <w:tr>
        <w:tc>
          <w:tcPr>
            <w:tcW w:type="dxa" w:w="4320"/>
          </w:tcPr>
          <w:p>
            <w:r>
              <w:t>API</w:t>
            </w:r>
          </w:p>
        </w:tc>
        <w:tc>
          <w:tcPr>
            <w:tcW w:type="dxa" w:w="4320"/>
          </w:tcPr>
          <w:p>
            <w:r>
              <w:t>A connection to an external AI service (like Claude or OpenAI) that the system calls to classify text, extract information, or generate content</w:t>
            </w:r>
          </w:p>
        </w:tc>
      </w:tr>
      <w:tr>
        <w:tc>
          <w:tcPr>
            <w:tcW w:type="dxa" w:w="4320"/>
          </w:tcPr>
          <w:p>
            <w:r>
              <w:t>ICD-10</w:t>
            </w:r>
          </w:p>
        </w:tc>
        <w:tc>
          <w:tcPr>
            <w:tcW w:type="dxa" w:w="4320"/>
          </w:tcPr>
          <w:p>
            <w:r>
              <w:t>Standard medical diagnosis codes. The system tags every article and question with ICD-10 codes to enable clinical cross-referencing.</w:t>
            </w:r>
          </w:p>
        </w:tc>
      </w:tr>
      <w:tr>
        <w:tc>
          <w:tcPr>
            <w:tcW w:type="dxa" w:w="4320"/>
          </w:tcPr>
          <w:p>
            <w:r>
              <w:t>ART-ID</w:t>
            </w:r>
          </w:p>
        </w:tc>
        <w:tc>
          <w:tcPr>
            <w:tcW w:type="dxa" w:w="4320"/>
          </w:tcPr>
          <w:p>
            <w:r>
              <w:t>A unique article identifier in the system (e.g. ART-1234). Every article has one.</w:t>
            </w:r>
          </w:p>
        </w:tc>
      </w:tr>
      <w:tr>
        <w:tc>
          <w:tcPr>
            <w:tcW w:type="dxa" w:w="4320"/>
          </w:tcPr>
          <w:p>
            <w:r>
              <w:t>QID</w:t>
            </w:r>
          </w:p>
        </w:tc>
        <w:tc>
          <w:tcPr>
            <w:tcW w:type="dxa" w:w="4320"/>
          </w:tcPr>
          <w:p>
            <w:r>
              <w:t>A unique question identifier (e.g. QID-2024-0042). Every ITE question has one.</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