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E3" w:rsidRDefault="00637801">
      <w:pPr>
        <w:rPr>
          <w:b/>
        </w:rPr>
      </w:pPr>
      <w:r w:rsidRPr="00637801">
        <w:rPr>
          <w:b/>
        </w:rPr>
        <w:t>NER-</w:t>
      </w:r>
      <w:proofErr w:type="spellStart"/>
      <w:r w:rsidRPr="00637801">
        <w:rPr>
          <w:b/>
        </w:rPr>
        <w:t>evaluaatioaineiston</w:t>
      </w:r>
      <w:proofErr w:type="spellEnd"/>
      <w:r w:rsidRPr="00637801">
        <w:rPr>
          <w:b/>
        </w:rPr>
        <w:t xml:space="preserve"> merkkaamisesta</w:t>
      </w:r>
    </w:p>
    <w:p w:rsidR="002C6623" w:rsidRPr="006F3ED7" w:rsidRDefault="002C6623" w:rsidP="002C6623">
      <w:r>
        <w:t xml:space="preserve">Aineiston laadusta: </w:t>
      </w:r>
      <w:proofErr w:type="spellStart"/>
      <w:r>
        <w:t>Omorfi</w:t>
      </w:r>
      <w:proofErr w:type="spellEnd"/>
      <w:r>
        <w:t xml:space="preserve"> tunnistaa aineiston sanoista noin 72 %, joten aineiston laatu vastaa varsin tarkasti koko kokoelman arvioitua laatua</w:t>
      </w:r>
      <w:r w:rsidR="000F0661">
        <w:t xml:space="preserve"> (vaikka paikoittain tuntuu siltä, että sotkua on paljon)</w:t>
      </w:r>
      <w:r>
        <w:t>.</w:t>
      </w:r>
    </w:p>
    <w:p w:rsidR="00637801" w:rsidRDefault="006F3ED7" w:rsidP="00B34AA6">
      <w:pPr>
        <w:pStyle w:val="ListParagraph"/>
        <w:numPr>
          <w:ilvl w:val="0"/>
          <w:numId w:val="1"/>
        </w:numPr>
      </w:pPr>
      <w:r w:rsidRPr="006F3ED7">
        <w:t xml:space="preserve">Käytettävät 8 </w:t>
      </w:r>
      <w:proofErr w:type="spellStart"/>
      <w:r w:rsidRPr="006F3ED7">
        <w:t>tagia</w:t>
      </w:r>
      <w:proofErr w:type="spellEnd"/>
      <w:r w:rsidRPr="006F3ED7">
        <w:t xml:space="preserve"> on sovittu</w:t>
      </w:r>
      <w:r>
        <w:t>. Niiden käyttöalue/semantiikka</w:t>
      </w:r>
      <w:r w:rsidR="00B34AA6">
        <w:t xml:space="preserve"> </w:t>
      </w:r>
      <w:r>
        <w:t>on hiukan auki</w:t>
      </w:r>
      <w:r w:rsidR="00B34AA6">
        <w:t>, mutta se täsme</w:t>
      </w:r>
      <w:r w:rsidR="00C62BE4">
        <w:t>n</w:t>
      </w:r>
      <w:r w:rsidR="00B34AA6">
        <w:t>netään n. 2000 sanan malliaineiston luomisessa.</w:t>
      </w:r>
    </w:p>
    <w:p w:rsidR="006F3ED7" w:rsidRDefault="004719B3" w:rsidP="006F3ED7">
      <w:pPr>
        <w:pStyle w:val="ListParagraph"/>
        <w:numPr>
          <w:ilvl w:val="0"/>
          <w:numId w:val="1"/>
        </w:numPr>
      </w:pPr>
      <w:r>
        <w:t>Tekstia</w:t>
      </w:r>
      <w:r w:rsidR="006F3ED7">
        <w:t>ineisto on paikoittain raskaasti virheellistä ja sanojen tunnistaminen on vaikeaa. Jos näyttää siltä että sanassa on yli 50 % merkeistä väärin, sanaa ei merkata, vaikka sen voisi tunnistaa merkattavaksi entiteetiksi.</w:t>
      </w:r>
    </w:p>
    <w:p w:rsidR="006F3ED7" w:rsidRDefault="006F3ED7" w:rsidP="006F3ED7">
      <w:pPr>
        <w:pStyle w:val="ListParagraph"/>
        <w:numPr>
          <w:ilvl w:val="0"/>
          <w:numId w:val="1"/>
        </w:numPr>
      </w:pPr>
      <w:r>
        <w:t>Jos sanan kirjoitusasu on vanhastava, 1800-luvun kieltä, mutta sen tunnistaa merkattavaksi entiteetiksi, se merkataan.</w:t>
      </w:r>
    </w:p>
    <w:p w:rsidR="0035567F" w:rsidRPr="0035567F" w:rsidRDefault="0035567F" w:rsidP="004719B3">
      <w:pPr>
        <w:rPr>
          <w:rFonts w:ascii="Segoe UI" w:hAnsi="Segoe UI" w:cs="Segoe UI"/>
          <w:b/>
          <w:color w:val="212121"/>
          <w:sz w:val="20"/>
          <w:szCs w:val="20"/>
        </w:rPr>
      </w:pPr>
      <w:bookmarkStart w:id="0" w:name="_GoBack"/>
      <w:bookmarkEnd w:id="0"/>
      <w:proofErr w:type="spellStart"/>
      <w:r w:rsidRPr="0035567F">
        <w:rPr>
          <w:rFonts w:ascii="Segoe UI" w:hAnsi="Segoe UI" w:cs="Segoe UI"/>
          <w:b/>
          <w:color w:val="212121"/>
          <w:sz w:val="20"/>
          <w:szCs w:val="20"/>
        </w:rPr>
        <w:t>FiNERin</w:t>
      </w:r>
      <w:proofErr w:type="spellEnd"/>
      <w:r w:rsidRPr="0035567F">
        <w:rPr>
          <w:rFonts w:ascii="Segoe UI" w:hAnsi="Segoe UI" w:cs="Segoe UI"/>
          <w:b/>
          <w:color w:val="212121"/>
          <w:sz w:val="20"/>
          <w:szCs w:val="20"/>
        </w:rPr>
        <w:t xml:space="preserve"> </w:t>
      </w:r>
      <w:proofErr w:type="spellStart"/>
      <w:r w:rsidRPr="0035567F">
        <w:rPr>
          <w:rFonts w:ascii="Segoe UI" w:hAnsi="Segoe UI" w:cs="Segoe UI"/>
          <w:b/>
          <w:color w:val="212121"/>
          <w:sz w:val="20"/>
          <w:szCs w:val="20"/>
        </w:rPr>
        <w:t>taggaus</w:t>
      </w:r>
      <w:proofErr w:type="spellEnd"/>
    </w:p>
    <w:p w:rsidR="00C76038" w:rsidRDefault="00C76038" w:rsidP="004719B3">
      <w:pPr>
        <w:rPr>
          <w:rFonts w:ascii="Segoe UI" w:hAnsi="Segoe UI" w:cs="Segoe UI"/>
          <w:color w:val="212121"/>
          <w:sz w:val="20"/>
          <w:szCs w:val="20"/>
        </w:rPr>
      </w:pP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Nimiluokkatagit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ovat XML-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tageja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alkutagi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EnamexPrsHum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&gt; kertoo, että kyseisestä sanasta alkaa monisanainen nimi,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lopputagi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&lt;/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EnamexPrsHum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&gt; kertoo, että kyseiseen sanaan päättyy monisanainen nimi ja tyhjä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tagi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EnamexLocPpl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/&gt; kertoo, että kyseinen sana on yksisanainen nimi.</w:t>
      </w:r>
      <w:r>
        <w:rPr>
          <w:rFonts w:ascii="Segoe UI" w:hAnsi="Segoe UI" w:cs="Segoe UI"/>
          <w:color w:val="212121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6"/>
        <w:gridCol w:w="4292"/>
      </w:tblGrid>
      <w:tr w:rsidR="004719B3" w:rsidRPr="004719B3" w:rsidTr="004719B3">
        <w:tc>
          <w:tcPr>
            <w:tcW w:w="5336" w:type="dxa"/>
          </w:tcPr>
          <w:p w:rsidR="004719B3" w:rsidRPr="004719B3" w:rsidRDefault="004719B3" w:rsidP="00556D72">
            <w:pPr>
              <w:rPr>
                <w:rFonts w:ascii="Segoe UI" w:hAnsi="Segoe UI" w:cs="Segoe UI"/>
                <w:b/>
                <w:color w:val="212121"/>
                <w:sz w:val="20"/>
                <w:szCs w:val="20"/>
              </w:rPr>
            </w:pPr>
            <w:proofErr w:type="spellStart"/>
            <w:r w:rsidRPr="004719B3">
              <w:rPr>
                <w:rFonts w:ascii="Segoe UI" w:hAnsi="Segoe UI" w:cs="Segoe UI"/>
                <w:b/>
                <w:color w:val="212121"/>
                <w:sz w:val="20"/>
                <w:szCs w:val="20"/>
              </w:rPr>
              <w:t>Tagi</w:t>
            </w:r>
            <w:proofErr w:type="spellEnd"/>
          </w:p>
        </w:tc>
        <w:tc>
          <w:tcPr>
            <w:tcW w:w="4292" w:type="dxa"/>
          </w:tcPr>
          <w:p w:rsidR="004719B3" w:rsidRPr="004719B3" w:rsidRDefault="004719B3" w:rsidP="00556D72">
            <w:pPr>
              <w:rPr>
                <w:rFonts w:ascii="Segoe UI" w:hAnsi="Segoe UI" w:cs="Segoe UI"/>
                <w:b/>
                <w:color w:val="212121"/>
                <w:sz w:val="20"/>
                <w:szCs w:val="20"/>
              </w:rPr>
            </w:pPr>
            <w:r w:rsidRPr="004719B3">
              <w:rPr>
                <w:rFonts w:ascii="Segoe UI" w:hAnsi="Segoe UI" w:cs="Segoe UI"/>
                <w:b/>
                <w:color w:val="212121"/>
                <w:sz w:val="20"/>
                <w:szCs w:val="20"/>
              </w:rPr>
              <w:t>Merkitys</w:t>
            </w:r>
          </w:p>
        </w:tc>
      </w:tr>
      <w:tr w:rsidR="004719B3" w:rsidRPr="004719B3" w:rsidTr="004719B3">
        <w:tc>
          <w:tcPr>
            <w:tcW w:w="5336" w:type="dxa"/>
          </w:tcPr>
          <w:p w:rsidR="004719B3" w:rsidRPr="004719B3" w:rsidRDefault="004719B3" w:rsidP="004719B3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20"/>
                <w:szCs w:val="20"/>
              </w:rPr>
              <w:t>EnamexPrsHum</w:t>
            </w:r>
            <w:proofErr w:type="spellEnd"/>
          </w:p>
        </w:tc>
        <w:tc>
          <w:tcPr>
            <w:tcW w:w="4292" w:type="dxa"/>
          </w:tcPr>
          <w:p w:rsidR="004719B3" w:rsidRPr="004719B3" w:rsidRDefault="004719B3" w:rsidP="00556D72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>henkilö</w:t>
            </w:r>
          </w:p>
        </w:tc>
      </w:tr>
      <w:tr w:rsidR="004719B3" w:rsidRPr="004719B3" w:rsidTr="004719B3">
        <w:tc>
          <w:tcPr>
            <w:tcW w:w="5336" w:type="dxa"/>
          </w:tcPr>
          <w:p w:rsidR="004719B3" w:rsidRPr="004719B3" w:rsidRDefault="004719B3" w:rsidP="004719B3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20"/>
                <w:szCs w:val="20"/>
              </w:rPr>
              <w:t>EnamexLocXxx</w:t>
            </w:r>
            <w:proofErr w:type="spellEnd"/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4292" w:type="dxa"/>
          </w:tcPr>
          <w:p w:rsidR="004719B3" w:rsidRPr="004719B3" w:rsidRDefault="004719B3" w:rsidP="00556D72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>yleinen paikka</w:t>
            </w:r>
          </w:p>
        </w:tc>
      </w:tr>
      <w:tr w:rsidR="004719B3" w:rsidRPr="004719B3" w:rsidTr="004719B3">
        <w:tc>
          <w:tcPr>
            <w:tcW w:w="5336" w:type="dxa"/>
          </w:tcPr>
          <w:p w:rsidR="004719B3" w:rsidRPr="004719B3" w:rsidRDefault="004719B3" w:rsidP="004719B3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20"/>
                <w:szCs w:val="20"/>
              </w:rPr>
              <w:t>EnamexLocGpl</w:t>
            </w:r>
            <w:proofErr w:type="spellEnd"/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4292" w:type="dxa"/>
          </w:tcPr>
          <w:p w:rsidR="004719B3" w:rsidRPr="004719B3" w:rsidRDefault="004719B3" w:rsidP="00556D72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>maantieteellinen paikka</w:t>
            </w:r>
          </w:p>
        </w:tc>
      </w:tr>
      <w:tr w:rsidR="004719B3" w:rsidRPr="004719B3" w:rsidTr="004719B3">
        <w:tc>
          <w:tcPr>
            <w:tcW w:w="5336" w:type="dxa"/>
          </w:tcPr>
          <w:p w:rsidR="004719B3" w:rsidRPr="004719B3" w:rsidRDefault="004719B3" w:rsidP="004719B3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20"/>
                <w:szCs w:val="20"/>
              </w:rPr>
              <w:t>EnamexLocPpl</w:t>
            </w:r>
            <w:proofErr w:type="spellEnd"/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4292" w:type="dxa"/>
          </w:tcPr>
          <w:p w:rsidR="004719B3" w:rsidRPr="004719B3" w:rsidRDefault="004719B3" w:rsidP="00556D72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>"poliittinen alue" (valtio, kaupunki tms.)</w:t>
            </w:r>
          </w:p>
        </w:tc>
      </w:tr>
      <w:tr w:rsidR="004719B3" w:rsidRPr="004719B3" w:rsidTr="004719B3">
        <w:tc>
          <w:tcPr>
            <w:tcW w:w="5336" w:type="dxa"/>
          </w:tcPr>
          <w:p w:rsidR="004719B3" w:rsidRPr="004719B3" w:rsidRDefault="004719B3" w:rsidP="004719B3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proofErr w:type="spellStart"/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>EnamexLocStr</w:t>
            </w:r>
            <w:proofErr w:type="spellEnd"/>
          </w:p>
        </w:tc>
        <w:tc>
          <w:tcPr>
            <w:tcW w:w="4292" w:type="dxa"/>
          </w:tcPr>
          <w:p w:rsidR="004719B3" w:rsidRPr="004719B3" w:rsidRDefault="004719B3" w:rsidP="00556D72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>katu, tie, katuosoite</w:t>
            </w:r>
          </w:p>
        </w:tc>
      </w:tr>
      <w:tr w:rsidR="004719B3" w:rsidRPr="004719B3" w:rsidTr="004719B3">
        <w:tc>
          <w:tcPr>
            <w:tcW w:w="5336" w:type="dxa"/>
          </w:tcPr>
          <w:p w:rsidR="004719B3" w:rsidRPr="004719B3" w:rsidRDefault="004719B3" w:rsidP="004719B3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proofErr w:type="spellStart"/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>EnamexOrgEdu</w:t>
            </w:r>
            <w:proofErr w:type="spellEnd"/>
          </w:p>
        </w:tc>
        <w:tc>
          <w:tcPr>
            <w:tcW w:w="4292" w:type="dxa"/>
          </w:tcPr>
          <w:p w:rsidR="004719B3" w:rsidRPr="004719B3" w:rsidRDefault="004719B3" w:rsidP="00556D72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>koulutusorganisaatio</w:t>
            </w:r>
          </w:p>
        </w:tc>
      </w:tr>
      <w:tr w:rsidR="004719B3" w:rsidRPr="004719B3" w:rsidTr="004719B3">
        <w:tc>
          <w:tcPr>
            <w:tcW w:w="5336" w:type="dxa"/>
          </w:tcPr>
          <w:p w:rsidR="004719B3" w:rsidRPr="004719B3" w:rsidRDefault="004719B3" w:rsidP="004719B3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  <w:t>EnamexOrgCrp</w:t>
            </w:r>
            <w:proofErr w:type="spellEnd"/>
            <w:r>
              <w:rPr>
                <w:rFonts w:ascii="Segoe UI" w:hAnsi="Segoe UI" w:cs="Segoe UI"/>
                <w:color w:val="212121"/>
                <w:sz w:val="20"/>
                <w:szCs w:val="20"/>
              </w:rPr>
              <w:br/>
            </w:r>
          </w:p>
        </w:tc>
        <w:tc>
          <w:tcPr>
            <w:tcW w:w="4292" w:type="dxa"/>
          </w:tcPr>
          <w:p w:rsidR="004719B3" w:rsidRPr="004719B3" w:rsidRDefault="004719B3" w:rsidP="00556D72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  <w:t>yritys, yhdistys, järjestö tms.</w:t>
            </w:r>
          </w:p>
        </w:tc>
      </w:tr>
      <w:tr w:rsidR="004719B3" w:rsidTr="004719B3">
        <w:tc>
          <w:tcPr>
            <w:tcW w:w="5336" w:type="dxa"/>
          </w:tcPr>
          <w:p w:rsidR="004719B3" w:rsidRDefault="004719B3" w:rsidP="004719B3">
            <w:proofErr w:type="spellStart"/>
            <w:r>
              <w:rPr>
                <w:rFonts w:ascii="Segoe UI" w:hAnsi="Segoe UI" w:cs="Segoe UI"/>
                <w:color w:val="212121"/>
                <w:sz w:val="20"/>
                <w:szCs w:val="20"/>
              </w:rPr>
              <w:t>TimexTmeDat</w:t>
            </w:r>
            <w:proofErr w:type="spellEnd"/>
          </w:p>
        </w:tc>
        <w:tc>
          <w:tcPr>
            <w:tcW w:w="4292" w:type="dxa"/>
          </w:tcPr>
          <w:p w:rsidR="004719B3" w:rsidRPr="004719B3" w:rsidRDefault="004719B3" w:rsidP="00556D72">
            <w:pPr>
              <w:rPr>
                <w:rFonts w:ascii="Segoe UI" w:hAnsi="Segoe UI" w:cs="Segoe UI"/>
                <w:color w:val="212121"/>
                <w:sz w:val="20"/>
                <w:szCs w:val="20"/>
              </w:rPr>
            </w:pPr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t>ajanilmaus</w:t>
            </w:r>
            <w:r w:rsidRPr="004719B3">
              <w:rPr>
                <w:rFonts w:ascii="Segoe UI" w:hAnsi="Segoe UI" w:cs="Segoe UI"/>
                <w:color w:val="212121"/>
                <w:sz w:val="20"/>
                <w:szCs w:val="20"/>
              </w:rPr>
              <w:br/>
            </w:r>
          </w:p>
        </w:tc>
      </w:tr>
    </w:tbl>
    <w:p w:rsidR="004719B3" w:rsidRDefault="004719B3" w:rsidP="004719B3"/>
    <w:sectPr w:rsidR="004719B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A3FF6"/>
    <w:multiLevelType w:val="hybridMultilevel"/>
    <w:tmpl w:val="6186A5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01"/>
    <w:rsid w:val="000F0661"/>
    <w:rsid w:val="001650F1"/>
    <w:rsid w:val="00294864"/>
    <w:rsid w:val="002C6623"/>
    <w:rsid w:val="0035567F"/>
    <w:rsid w:val="004719B3"/>
    <w:rsid w:val="005E33C9"/>
    <w:rsid w:val="00637801"/>
    <w:rsid w:val="006F3ED7"/>
    <w:rsid w:val="008D18D0"/>
    <w:rsid w:val="009B20E3"/>
    <w:rsid w:val="00B34AA6"/>
    <w:rsid w:val="00C62BE4"/>
    <w:rsid w:val="00C76038"/>
    <w:rsid w:val="00E3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F13D9-7914-4A1D-8767-41833CC1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D7"/>
    <w:pPr>
      <w:ind w:left="720"/>
      <w:contextualSpacing/>
    </w:pPr>
  </w:style>
  <w:style w:type="table" w:styleId="TableGrid">
    <w:name w:val="Table Grid"/>
    <w:basedOn w:val="TableNormal"/>
    <w:uiPriority w:val="39"/>
    <w:rsid w:val="00471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145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Kimmo</dc:creator>
  <cp:keywords/>
  <dc:description/>
  <cp:lastModifiedBy>Kimmo</cp:lastModifiedBy>
  <cp:revision>13</cp:revision>
  <dcterms:created xsi:type="dcterms:W3CDTF">2015-12-03T10:09:00Z</dcterms:created>
  <dcterms:modified xsi:type="dcterms:W3CDTF">2015-12-04T12:11:00Z</dcterms:modified>
</cp:coreProperties>
</file>