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80"/>
      </w:pPr>
      <w:r>
        <w:t xml:space="preserve"/>
      </w:r>
    </w:p>
    <w:p>
      <w:pPr>
        <w:spacing w:after="120"/>
        <w:jc w:val="center"/>
      </w:pPr>
      <w:r>
        <w:rPr>
          <w:sz w:val="96"/>
          <w:szCs w:val="96"/>
        </w:rPr>
        <w:t xml:space="preserve">🛍️</w:t>
      </w:r>
    </w:p>
    <w:p>
      <w:pPr>
        <w:spacing w:after="160"/>
        <w:jc w:val="center"/>
      </w:pPr>
      <w:r>
        <w:rPr>
          <w:rFonts w:ascii="Arial" w:cs="Arial" w:eastAsia="Arial" w:hAnsi="Arial"/>
          <w:b/>
          <w:bCs/>
          <w:color w:val="1F4E79"/>
          <w:sz w:val="72"/>
          <w:szCs w:val="72"/>
        </w:rPr>
        <w:t xml:space="preserve">VRINDA STORE</w:t>
      </w:r>
    </w:p>
    <w:p>
      <w:pPr>
        <w:spacing w:after="80"/>
        <w:jc w:val="center"/>
      </w:pPr>
      <w:r>
        <w:rPr>
          <w:rFonts w:ascii="Arial" w:cs="Arial" w:eastAsia="Arial" w:hAnsi="Arial"/>
          <w:color w:val="2E75B6"/>
          <w:sz w:val="40"/>
          <w:szCs w:val="40"/>
        </w:rPr>
        <w:t xml:space="preserve">Annual Sales Report</w:t>
      </w:r>
    </w:p>
    <w:p>
      <w:pPr>
        <w:spacing w:after="200"/>
        <w:jc w:val="center"/>
      </w:pPr>
      <w:r>
        <w:rPr>
          <w:rFonts w:ascii="Arial" w:cs="Arial" w:eastAsia="Arial" w:hAnsi="Arial"/>
          <w:i/>
          <w:iCs/>
          <w:color w:val="555555"/>
          <w:sz w:val="32"/>
          <w:szCs w:val="32"/>
        </w:rPr>
        <w:t xml:space="preserve">Fiscal Year 2022</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none"/>
              <w:left w:val="none"/>
              <w:bottom w:val="none"/>
              <w:right w:val="none"/>
            </w:tcBorders>
            <w:shd w:fill="2E75B6" w:val="clear"/>
            <w:tcMar>
              <w:top w:type="dxa" w:w="160"/>
              <w:left w:type="dxa" w:w="300"/>
              <w:bottom w:type="dxa" w:w="160"/>
              <w:right w:type="dxa" w:w="300"/>
            </w:tcMar>
          </w:tcPr>
          <w:p>
            <w:pPr>
              <w:jc w:val="center"/>
            </w:pPr>
            <w:r>
              <w:rPr>
                <w:rFonts w:ascii="Arial" w:cs="Arial" w:eastAsia="Arial" w:hAnsi="Arial"/>
                <w:color w:val="FFFFFF"/>
                <w:sz w:val="22"/>
                <w:szCs w:val="22"/>
              </w:rPr>
              <w:t xml:space="preserve">Data-Driven Analysis | Excel Dashboard Project</w:t>
            </w:r>
          </w:p>
        </w:tc>
      </w:tr>
    </w:tbl>
    <w:p>
      <w:pPr>
        <w:spacing w:after="80"/>
      </w:pPr>
      <w:r>
        <w:t xml:space="preserve"/>
      </w:r>
    </w:p>
    <w:p>
      <w:pPr>
        <w:spacing w:after="80"/>
      </w:pPr>
      <w:r>
        <w:t xml:space="preserve"/>
      </w:r>
    </w:p>
    <w:p>
      <w:pPr>
        <w:spacing w:after="80"/>
      </w:pPr>
      <w:r>
        <w:t xml:space="preserve"/>
      </w:r>
    </w:p>
    <w:p>
      <w:pPr>
        <w:spacing w:after="80"/>
      </w:pPr>
      <w:r>
        <w:t xml:space="preserve"/>
      </w:r>
    </w:p>
    <w:p>
      <w:pPr>
        <w:spacing w:after="80"/>
      </w:pPr>
      <w:r>
        <w:t xml:space="preserve"/>
      </w:r>
    </w:p>
    <w:p>
      <w:pPr>
        <w:spacing w:after="80"/>
      </w:pPr>
      <w:r>
        <w:t xml:space="preserve"/>
      </w:r>
    </w:p>
    <w:p>
      <w:pPr>
        <w:spacing w:after="80"/>
      </w:pPr>
      <w:r>
        <w:t xml:space="preserve"/>
      </w:r>
    </w:p>
    <w:p>
      <w:pPr>
        <w:spacing w:after="80"/>
      </w:pPr>
      <w:r>
        <w:t xml:space="preserve"/>
      </w:r>
    </w:p>
    <w:p>
      <w:r>
        <w:br w:type="page"/>
      </w:r>
    </w:p>
    <w:p>
      <w:pPr>
        <w:pStyle w:val="Heading1"/>
        <w:shd w:fill="1F4E79" w:val="clear"/>
        <w:spacing w:before="320" w:after="200"/>
        <w:ind w:left="200" w:right="200"/>
      </w:pPr>
      <w:r>
        <w:rPr>
          <w:rFonts w:ascii="Arial" w:cs="Arial" w:eastAsia="Arial" w:hAnsi="Arial"/>
          <w:b/>
          <w:bCs/>
          <w:color w:val="FFFFFF"/>
          <w:sz w:val="36"/>
          <w:szCs w:val="36"/>
        </w:rPr>
        <w:t xml:space="preserve">1. Executive Summary</w:t>
      </w:r>
    </w:p>
    <w:p>
      <w:pPr>
        <w:spacing w:after="200"/>
      </w:pPr>
      <w:r>
        <w:rPr>
          <w:rFonts w:ascii="Arial" w:cs="Arial" w:eastAsia="Arial" w:hAnsi="Arial"/>
          <w:b w:val="false"/>
          <w:bCs w:val="false"/>
          <w:color w:val="222222"/>
          <w:sz w:val="22"/>
          <w:szCs w:val="22"/>
        </w:rPr>
        <w:t xml:space="preserve">Vrinda Store achieved significant sales milestones in 2022. This report presents a comprehensive analysis of order performance, customer demographics, channel contributions, and regional sales — all derived from a dataset of over 31,000 transactions across 12 months.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left w:val="none"/>
              <w:bottom w:val="none"/>
              <w:right w:val="none"/>
            </w:tcBorders>
            <w:shd w:fill="2E75B6" w:val="clear"/>
            <w:tcMar>
              <w:top w:type="dxa" w:w="120"/>
              <w:left w:type="dxa" w:w="180"/>
              <w:bottom w:type="dxa" w:w="60"/>
              <w:right w:type="dxa" w:w="180"/>
            </w:tcMar>
          </w:tcPr>
          <w:p>
            <w:pPr>
              <w:jc w:val="center"/>
            </w:pPr>
            <w:r>
              <w:rPr>
                <w:rFonts w:ascii="Arial" w:cs="Arial" w:eastAsia="Arial" w:hAnsi="Arial"/>
                <w:b/>
                <w:bCs/>
                <w:color w:val="FFFFFF"/>
                <w:sz w:val="36"/>
                <w:szCs w:val="36"/>
              </w:rPr>
              <w:t xml:space="preserve">31,047</w:t>
            </w:r>
          </w:p>
        </w:tc>
        <w:tc>
          <w:tcPr>
            <w:tcW w:type="dxa" w:w="1872"/>
            <w:tcBorders>
              <w:top w:val="none"/>
              <w:left w:val="none"/>
              <w:bottom w:val="none"/>
              <w:right w:val="none"/>
            </w:tcBorders>
            <w:shd w:fill="2E75B6" w:val="clear"/>
            <w:tcMar>
              <w:top w:type="dxa" w:w="120"/>
              <w:left w:type="dxa" w:w="180"/>
              <w:bottom w:type="dxa" w:w="60"/>
              <w:right w:type="dxa" w:w="180"/>
            </w:tcMar>
          </w:tcPr>
          <w:p>
            <w:pPr>
              <w:jc w:val="center"/>
            </w:pPr>
            <w:r>
              <w:rPr>
                <w:rFonts w:ascii="Arial" w:cs="Arial" w:eastAsia="Arial" w:hAnsi="Arial"/>
                <w:b/>
                <w:bCs/>
                <w:color w:val="FFFFFF"/>
                <w:sz w:val="36"/>
                <w:szCs w:val="36"/>
              </w:rPr>
              <w:t xml:space="preserve">64%</w:t>
            </w:r>
          </w:p>
        </w:tc>
        <w:tc>
          <w:tcPr>
            <w:tcW w:type="dxa" w:w="1872"/>
            <w:tcBorders>
              <w:top w:val="none"/>
              <w:left w:val="none"/>
              <w:bottom w:val="none"/>
              <w:right w:val="none"/>
            </w:tcBorders>
            <w:shd w:fill="2E75B6" w:val="clear"/>
            <w:tcMar>
              <w:top w:type="dxa" w:w="120"/>
              <w:left w:type="dxa" w:w="180"/>
              <w:bottom w:type="dxa" w:w="60"/>
              <w:right w:type="dxa" w:w="180"/>
            </w:tcMar>
          </w:tcPr>
          <w:p>
            <w:pPr>
              <w:jc w:val="center"/>
            </w:pPr>
            <w:r>
              <w:rPr>
                <w:rFonts w:ascii="Arial" w:cs="Arial" w:eastAsia="Arial" w:hAnsi="Arial"/>
                <w:b/>
                <w:bCs/>
                <w:color w:val="FFFFFF"/>
                <w:sz w:val="36"/>
                <w:szCs w:val="36"/>
              </w:rPr>
              <w:t xml:space="preserve">92%</w:t>
            </w:r>
          </w:p>
        </w:tc>
        <w:tc>
          <w:tcPr>
            <w:tcW w:type="dxa" w:w="1872"/>
            <w:tcBorders>
              <w:top w:val="none"/>
              <w:left w:val="none"/>
              <w:bottom w:val="none"/>
              <w:right w:val="none"/>
            </w:tcBorders>
            <w:shd w:fill="2E75B6" w:val="clear"/>
            <w:tcMar>
              <w:top w:type="dxa" w:w="120"/>
              <w:left w:type="dxa" w:w="180"/>
              <w:bottom w:type="dxa" w:w="60"/>
              <w:right w:type="dxa" w:w="180"/>
            </w:tcMar>
          </w:tcPr>
          <w:p>
            <w:pPr>
              <w:jc w:val="center"/>
            </w:pPr>
            <w:r>
              <w:rPr>
                <w:rFonts w:ascii="Arial" w:cs="Arial" w:eastAsia="Arial" w:hAnsi="Arial"/>
                <w:b/>
                <w:bCs/>
                <w:color w:val="FFFFFF"/>
                <w:sz w:val="36"/>
                <w:szCs w:val="36"/>
              </w:rPr>
              <w:t xml:space="preserve">35%</w:t>
            </w:r>
          </w:p>
        </w:tc>
        <w:tc>
          <w:tcPr>
            <w:tcW w:type="dxa" w:w="1872"/>
            <w:tcBorders>
              <w:top w:val="none"/>
              <w:left w:val="none"/>
              <w:bottom w:val="none"/>
              <w:right w:val="none"/>
            </w:tcBorders>
            <w:shd w:fill="2E75B6" w:val="clear"/>
            <w:tcMar>
              <w:top w:type="dxa" w:w="120"/>
              <w:left w:type="dxa" w:w="180"/>
              <w:bottom w:type="dxa" w:w="60"/>
              <w:right w:type="dxa" w:w="180"/>
            </w:tcMar>
          </w:tcPr>
          <w:p>
            <w:pPr>
              <w:jc w:val="center"/>
            </w:pPr>
            <w:r>
              <w:rPr>
                <w:rFonts w:ascii="Arial" w:cs="Arial" w:eastAsia="Arial" w:hAnsi="Arial"/>
                <w:b/>
                <w:bCs/>
                <w:color w:val="FFFFFF"/>
                <w:sz w:val="36"/>
                <w:szCs w:val="36"/>
              </w:rPr>
              <w:t xml:space="preserve">₹2.99M</w:t>
            </w:r>
          </w:p>
        </w:tc>
      </w:tr>
      <w:tr>
        <w:tc>
          <w:tcPr>
            <w:tcW w:type="dxa" w:w="1872"/>
            <w:tcBorders>
              <w:top w:val="none"/>
              <w:left w:val="none"/>
              <w:bottom w:val="none"/>
              <w:right w:val="none"/>
            </w:tcBorders>
            <w:shd w:fill="D6E4F0" w:val="clear"/>
            <w:tcMar>
              <w:top w:type="dxa" w:w="80"/>
              <w:left w:type="dxa" w:w="180"/>
              <w:bottom w:type="dxa" w:w="100"/>
              <w:right w:type="dxa" w:w="180"/>
            </w:tcMar>
          </w:tcPr>
          <w:p>
            <w:pPr>
              <w:jc w:val="center"/>
            </w:pPr>
            <w:r>
              <w:rPr>
                <w:rFonts w:ascii="Arial" w:cs="Arial" w:eastAsia="Arial" w:hAnsi="Arial"/>
                <w:color w:val="1F4E79"/>
                <w:sz w:val="18"/>
                <w:szCs w:val="18"/>
              </w:rPr>
              <w:t xml:space="preserve">Total Orders</w:t>
            </w:r>
          </w:p>
        </w:tc>
        <w:tc>
          <w:tcPr>
            <w:tcW w:type="dxa" w:w="1872"/>
            <w:tcBorders>
              <w:top w:val="none"/>
              <w:left w:val="none"/>
              <w:bottom w:val="none"/>
              <w:right w:val="none"/>
            </w:tcBorders>
            <w:shd w:fill="D6E4F0" w:val="clear"/>
            <w:tcMar>
              <w:top w:type="dxa" w:w="80"/>
              <w:left w:type="dxa" w:w="180"/>
              <w:bottom w:type="dxa" w:w="100"/>
              <w:right w:type="dxa" w:w="180"/>
            </w:tcMar>
          </w:tcPr>
          <w:p>
            <w:pPr>
              <w:jc w:val="center"/>
            </w:pPr>
            <w:r>
              <w:rPr>
                <w:rFonts w:ascii="Arial" w:cs="Arial" w:eastAsia="Arial" w:hAnsi="Arial"/>
                <w:color w:val="1F4E79"/>
                <w:sz w:val="18"/>
                <w:szCs w:val="18"/>
              </w:rPr>
              <w:t xml:space="preserve">Women Buyers</w:t>
            </w:r>
          </w:p>
        </w:tc>
        <w:tc>
          <w:tcPr>
            <w:tcW w:type="dxa" w:w="1872"/>
            <w:tcBorders>
              <w:top w:val="none"/>
              <w:left w:val="none"/>
              <w:bottom w:val="none"/>
              <w:right w:val="none"/>
            </w:tcBorders>
            <w:shd w:fill="D6E4F0" w:val="clear"/>
            <w:tcMar>
              <w:top w:type="dxa" w:w="80"/>
              <w:left w:type="dxa" w:w="180"/>
              <w:bottom w:type="dxa" w:w="100"/>
              <w:right w:type="dxa" w:w="180"/>
            </w:tcMar>
          </w:tcPr>
          <w:p>
            <w:pPr>
              <w:jc w:val="center"/>
            </w:pPr>
            <w:r>
              <w:rPr>
                <w:rFonts w:ascii="Arial" w:cs="Arial" w:eastAsia="Arial" w:hAnsi="Arial"/>
                <w:color w:val="1F4E79"/>
                <w:sz w:val="18"/>
                <w:szCs w:val="18"/>
              </w:rPr>
              <w:t xml:space="preserve">Delivery Rate</w:t>
            </w:r>
          </w:p>
        </w:tc>
        <w:tc>
          <w:tcPr>
            <w:tcW w:type="dxa" w:w="1872"/>
            <w:tcBorders>
              <w:top w:val="none"/>
              <w:left w:val="none"/>
              <w:bottom w:val="none"/>
              <w:right w:val="none"/>
            </w:tcBorders>
            <w:shd w:fill="D6E4F0" w:val="clear"/>
            <w:tcMar>
              <w:top w:type="dxa" w:w="80"/>
              <w:left w:type="dxa" w:w="180"/>
              <w:bottom w:type="dxa" w:w="100"/>
              <w:right w:type="dxa" w:w="180"/>
            </w:tcMar>
          </w:tcPr>
          <w:p>
            <w:pPr>
              <w:jc w:val="center"/>
            </w:pPr>
            <w:r>
              <w:rPr>
                <w:rFonts w:ascii="Arial" w:cs="Arial" w:eastAsia="Arial" w:hAnsi="Arial"/>
                <w:color w:val="1F4E79"/>
                <w:sz w:val="18"/>
                <w:szCs w:val="18"/>
              </w:rPr>
              <w:t xml:space="preserve">Amazon Share</w:t>
            </w:r>
          </w:p>
        </w:tc>
        <w:tc>
          <w:tcPr>
            <w:tcW w:type="dxa" w:w="1872"/>
            <w:tcBorders>
              <w:top w:val="none"/>
              <w:left w:val="none"/>
              <w:bottom w:val="none"/>
              <w:right w:val="none"/>
            </w:tcBorders>
            <w:shd w:fill="D6E4F0" w:val="clear"/>
            <w:tcMar>
              <w:top w:type="dxa" w:w="80"/>
              <w:left w:type="dxa" w:w="180"/>
              <w:bottom w:type="dxa" w:w="100"/>
              <w:right w:type="dxa" w:w="180"/>
            </w:tcMar>
          </w:tcPr>
          <w:p>
            <w:pPr>
              <w:jc w:val="center"/>
            </w:pPr>
            <w:r>
              <w:rPr>
                <w:rFonts w:ascii="Arial" w:cs="Arial" w:eastAsia="Arial" w:hAnsi="Arial"/>
                <w:color w:val="1F4E79"/>
                <w:sz w:val="18"/>
                <w:szCs w:val="18"/>
              </w:rPr>
              <w:t xml:space="preserve">Top State (MH)</w:t>
            </w:r>
          </w:p>
        </w:tc>
      </w:tr>
    </w:tbl>
    <w:p>
      <w:pPr>
        <w:spacing w:after="80"/>
      </w:pPr>
      <w:r>
        <w:t xml:space="preserve"/>
      </w:r>
    </w:p>
    <w:p>
      <w:pPr>
        <w:spacing w:after="80"/>
      </w:pPr>
      <w:r>
        <w:t xml:space="preserve"/>
      </w:r>
    </w:p>
    <w:p>
      <w:pPr>
        <w:pStyle w:val="Heading1"/>
        <w:shd w:fill="1F4E79" w:val="clear"/>
        <w:spacing w:before="320" w:after="200"/>
        <w:ind w:left="200" w:right="200"/>
      </w:pPr>
      <w:r>
        <w:rPr>
          <w:rFonts w:ascii="Arial" w:cs="Arial" w:eastAsia="Arial" w:hAnsi="Arial"/>
          <w:b/>
          <w:bCs/>
          <w:color w:val="FFFFFF"/>
          <w:sz w:val="36"/>
          <w:szCs w:val="36"/>
        </w:rPr>
        <w:t xml:space="preserve">2. Dataset Summary</w:t>
      </w:r>
    </w:p>
    <w:p>
      <w:pPr>
        <w:pStyle w:val="Heading2"/>
        <w:pBdr>
          <w:bottom w:val="single" w:color="2E75B6" w:sz="4" w:space="1"/>
        </w:pBdr>
        <w:spacing w:before="260" w:after="120"/>
      </w:pPr>
      <w:r>
        <w:rPr>
          <w:rFonts w:ascii="Arial" w:cs="Arial" w:eastAsia="Arial" w:hAnsi="Arial"/>
          <w:b/>
          <w:bCs/>
          <w:color w:val="2E75B6"/>
          <w:sz w:val="28"/>
          <w:szCs w:val="28"/>
        </w:rPr>
        <w:t xml:space="preserve">2.1 Overview</w:t>
      </w:r>
    </w:p>
    <w:p>
      <w:pPr>
        <w:spacing w:after="160"/>
      </w:pPr>
      <w:r>
        <w:rPr>
          <w:rFonts w:ascii="Arial" w:cs="Arial" w:eastAsia="Arial" w:hAnsi="Arial"/>
          <w:b w:val="false"/>
          <w:bCs w:val="false"/>
          <w:color w:val="222222"/>
          <w:sz w:val="22"/>
          <w:szCs w:val="22"/>
        </w:rPr>
        <w:t xml:space="preserve">The dataset contains 31,047 rows and 20 columns covering all orders placed through Vrinda Store during January–December 2022. The data is complete with no missing values and required minimal cleaning before analysis.</w:t>
      </w:r>
    </w:p>
    <w:p>
      <w:pPr>
        <w:pStyle w:val="Heading2"/>
        <w:pBdr>
          <w:bottom w:val="single" w:color="2E75B6" w:sz="4" w:space="1"/>
        </w:pBdr>
        <w:spacing w:before="260" w:after="120"/>
      </w:pPr>
      <w:r>
        <w:rPr>
          <w:rFonts w:ascii="Arial" w:cs="Arial" w:eastAsia="Arial" w:hAnsi="Arial"/>
          <w:b/>
          <w:bCs/>
          <w:color w:val="2E75B6"/>
          <w:sz w:val="28"/>
          <w:szCs w:val="28"/>
        </w:rPr>
        <w:t xml:space="preserve">2.2 Key Data Fields</w:t>
      </w:r>
    </w:p>
    <w:p>
      <w:pPr>
        <w:pStyle w:val="ListParagraph"/>
        <w:numPr>
          <w:ilvl w:val="0"/>
          <w:numId w:val="2"/>
        </w:numPr>
        <w:spacing w:after="80"/>
      </w:pPr>
      <w:r>
        <w:rPr>
          <w:rFonts w:ascii="Arial" w:cs="Arial" w:eastAsia="Arial" w:hAnsi="Arial"/>
          <w:color w:val="333333"/>
          <w:sz w:val="22"/>
          <w:szCs w:val="22"/>
        </w:rPr>
        <w:t xml:space="preserve">Order ID &amp; Customer ID — Unique identifiers for orders and customers</w:t>
      </w:r>
    </w:p>
    <w:p>
      <w:pPr>
        <w:pStyle w:val="ListParagraph"/>
        <w:numPr>
          <w:ilvl w:val="0"/>
          <w:numId w:val="2"/>
        </w:numPr>
        <w:spacing w:after="80"/>
      </w:pPr>
      <w:r>
        <w:rPr>
          <w:rFonts w:ascii="Arial" w:cs="Arial" w:eastAsia="Arial" w:hAnsi="Arial"/>
          <w:color w:val="333333"/>
          <w:sz w:val="22"/>
          <w:szCs w:val="22"/>
        </w:rPr>
        <w:t xml:space="preserve">Gender &amp; Age Group — Customer demographic classification</w:t>
      </w:r>
    </w:p>
    <w:p>
      <w:pPr>
        <w:pStyle w:val="ListParagraph"/>
        <w:numPr>
          <w:ilvl w:val="0"/>
          <w:numId w:val="2"/>
        </w:numPr>
        <w:spacing w:after="80"/>
      </w:pPr>
      <w:r>
        <w:rPr>
          <w:rFonts w:ascii="Arial" w:cs="Arial" w:eastAsia="Arial" w:hAnsi="Arial"/>
          <w:color w:val="333333"/>
          <w:sz w:val="22"/>
          <w:szCs w:val="22"/>
        </w:rPr>
        <w:t xml:space="preserve">Date &amp; Month — Order timeline for trend analysis</w:t>
      </w:r>
    </w:p>
    <w:p>
      <w:pPr>
        <w:pStyle w:val="ListParagraph"/>
        <w:numPr>
          <w:ilvl w:val="0"/>
          <w:numId w:val="2"/>
        </w:numPr>
        <w:spacing w:after="80"/>
      </w:pPr>
      <w:r>
        <w:rPr>
          <w:rFonts w:ascii="Arial" w:cs="Arial" w:eastAsia="Arial" w:hAnsi="Arial"/>
          <w:color w:val="333333"/>
          <w:sz w:val="22"/>
          <w:szCs w:val="22"/>
        </w:rPr>
        <w:t xml:space="preserve">Order Status — Delivered, Cancelled, Returned, Refunded</w:t>
      </w:r>
    </w:p>
    <w:p>
      <w:pPr>
        <w:pStyle w:val="ListParagraph"/>
        <w:numPr>
          <w:ilvl w:val="0"/>
          <w:numId w:val="2"/>
        </w:numPr>
        <w:spacing w:after="80"/>
      </w:pPr>
      <w:r>
        <w:rPr>
          <w:rFonts w:ascii="Arial" w:cs="Arial" w:eastAsia="Arial" w:hAnsi="Arial"/>
          <w:color w:val="333333"/>
          <w:sz w:val="22"/>
          <w:szCs w:val="22"/>
        </w:rPr>
        <w:t xml:space="preserve">Channel — Sales platform: Amazon, Flipkart, Myntra, Meesho, Ajio, Nalli, Others</w:t>
      </w:r>
    </w:p>
    <w:p>
      <w:pPr>
        <w:pStyle w:val="ListParagraph"/>
        <w:numPr>
          <w:ilvl w:val="0"/>
          <w:numId w:val="2"/>
        </w:numPr>
        <w:spacing w:after="80"/>
      </w:pPr>
      <w:r>
        <w:rPr>
          <w:rFonts w:ascii="Arial" w:cs="Arial" w:eastAsia="Arial" w:hAnsi="Arial"/>
          <w:color w:val="333333"/>
          <w:sz w:val="22"/>
          <w:szCs w:val="22"/>
        </w:rPr>
        <w:t xml:space="preserve">Category &amp; Size — Product classification details</w:t>
      </w:r>
    </w:p>
    <w:p>
      <w:pPr>
        <w:pStyle w:val="ListParagraph"/>
        <w:numPr>
          <w:ilvl w:val="0"/>
          <w:numId w:val="2"/>
        </w:numPr>
        <w:spacing w:after="80"/>
      </w:pPr>
      <w:r>
        <w:rPr>
          <w:rFonts w:ascii="Arial" w:cs="Arial" w:eastAsia="Arial" w:hAnsi="Arial"/>
          <w:color w:val="333333"/>
          <w:sz w:val="22"/>
          <w:szCs w:val="22"/>
        </w:rPr>
        <w:t xml:space="preserve">Amount — Revenue generated per order</w:t>
      </w:r>
    </w:p>
    <w:p>
      <w:pPr>
        <w:pStyle w:val="ListParagraph"/>
        <w:numPr>
          <w:ilvl w:val="0"/>
          <w:numId w:val="2"/>
        </w:numPr>
        <w:spacing w:after="80"/>
      </w:pPr>
      <w:r>
        <w:rPr>
          <w:rFonts w:ascii="Arial" w:cs="Arial" w:eastAsia="Arial" w:hAnsi="Arial"/>
          <w:color w:val="333333"/>
          <w:sz w:val="22"/>
          <w:szCs w:val="22"/>
        </w:rPr>
        <w:t xml:space="preserve">Shipping Details — City, State, Postal Code, Country</w:t>
      </w:r>
    </w:p>
    <w:p>
      <w:pPr>
        <w:pStyle w:val="ListParagraph"/>
        <w:numPr>
          <w:ilvl w:val="0"/>
          <w:numId w:val="2"/>
        </w:numPr>
        <w:spacing w:after="80"/>
      </w:pPr>
      <w:r>
        <w:rPr>
          <w:rFonts w:ascii="Arial" w:cs="Arial" w:eastAsia="Arial" w:hAnsi="Arial"/>
          <w:color w:val="333333"/>
          <w:sz w:val="22"/>
          <w:szCs w:val="22"/>
        </w:rPr>
        <w:t xml:space="preserve">B2B Indicator — Business-to-business flag</w:t>
      </w:r>
    </w:p>
    <w:p>
      <w:pPr>
        <w:spacing w:after="80"/>
      </w:pPr>
      <w:r>
        <w:t xml:space="preserve"/>
      </w:r>
    </w:p>
    <w:p>
      <w:r>
        <w:br w:type="page"/>
      </w:r>
    </w:p>
    <w:p>
      <w:pPr>
        <w:pStyle w:val="Heading1"/>
        <w:shd w:fill="1F4E79" w:val="clear"/>
        <w:spacing w:before="320" w:after="200"/>
        <w:ind w:left="200" w:right="200"/>
      </w:pPr>
      <w:r>
        <w:rPr>
          <w:rFonts w:ascii="Arial" w:cs="Arial" w:eastAsia="Arial" w:hAnsi="Arial"/>
          <w:b/>
          <w:bCs/>
          <w:color w:val="FFFFFF"/>
          <w:sz w:val="36"/>
          <w:szCs w:val="36"/>
        </w:rPr>
        <w:t xml:space="preserve">3. Monthly Sales &amp; Orders Trend</w:t>
      </w:r>
    </w:p>
    <w:p>
      <w:pPr>
        <w:spacing w:after="160"/>
      </w:pPr>
      <w:r>
        <w:rPr>
          <w:rFonts w:ascii="Arial" w:cs="Arial" w:eastAsia="Arial" w:hAnsi="Arial"/>
          <w:b w:val="false"/>
          <w:bCs w:val="false"/>
          <w:color w:val="222222"/>
          <w:sz w:val="22"/>
          <w:szCs w:val="22"/>
        </w:rPr>
        <w:t xml:space="preserve">Monthly performance data reveals strong seasonality, with peak activity in the early months of the year and a gradual decline through the second half.</w:t>
      </w:r>
    </w:p>
    <w:p>
      <w:pPr>
        <w:spacing w:before="160" w:after="8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762500" cy="2857500"/>
                    </a:xfrm>
                    <a:prstGeom prst="rect">
                      <a:avLst/>
                    </a:prstGeom>
                  </pic:spPr>
                </pic:pic>
              </a:graphicData>
            </a:graphic>
          </wp:inline>
        </w:drawing>
      </w:r>
    </w:p>
    <w:p>
      <w:pPr>
        <w:spacing w:after="240"/>
        <w:jc w:val="center"/>
      </w:pPr>
      <w:r>
        <w:rPr>
          <w:rFonts w:ascii="Arial" w:cs="Arial" w:eastAsia="Arial" w:hAnsi="Arial"/>
          <w:i/>
          <w:iCs/>
          <w:color w:val="666666"/>
          <w:sz w:val="18"/>
          <w:szCs w:val="18"/>
        </w:rPr>
        <w:t xml:space="preserve">Figure 1: Orders vs Sales Amount by Month (Jan–Dec 2022)</w:t>
      </w:r>
    </w:p>
    <w:p>
      <w:pPr>
        <w:pStyle w:val="Heading2"/>
        <w:pBdr>
          <w:bottom w:val="single" w:color="2E75B6" w:sz="4" w:space="1"/>
        </w:pBdr>
        <w:spacing w:before="260" w:after="120"/>
      </w:pPr>
      <w:r>
        <w:rPr>
          <w:rFonts w:ascii="Arial" w:cs="Arial" w:eastAsia="Arial" w:hAnsi="Arial"/>
          <w:b/>
          <w:bCs/>
          <w:color w:val="2E75B6"/>
          <w:sz w:val="28"/>
          <w:szCs w:val="28"/>
        </w:rPr>
        <w:t xml:space="preserve">Key Observations</w:t>
      </w:r>
    </w:p>
    <w:p>
      <w:pPr>
        <w:pStyle w:val="ListParagraph"/>
        <w:numPr>
          <w:ilvl w:val="0"/>
          <w:numId w:val="2"/>
        </w:numPr>
        <w:spacing w:after="80"/>
      </w:pPr>
      <w:r>
        <w:rPr>
          <w:rFonts w:ascii="Arial" w:cs="Arial" w:eastAsia="Arial" w:hAnsi="Arial"/>
          <w:color w:val="333333"/>
          <w:sz w:val="22"/>
          <w:szCs w:val="22"/>
        </w:rPr>
        <w:t xml:space="preserve">March was the peak month — highest sales amount (~₹1.93M) and highest order count (~2,820 orders)</w:t>
      </w:r>
    </w:p>
    <w:p>
      <w:pPr>
        <w:pStyle w:val="ListParagraph"/>
        <w:numPr>
          <w:ilvl w:val="0"/>
          <w:numId w:val="2"/>
        </w:numPr>
        <w:spacing w:after="80"/>
      </w:pPr>
      <w:r>
        <w:rPr>
          <w:rFonts w:ascii="Arial" w:cs="Arial" w:eastAsia="Arial" w:hAnsi="Arial"/>
          <w:color w:val="333333"/>
          <w:sz w:val="22"/>
          <w:szCs w:val="22"/>
        </w:rPr>
        <w:t xml:space="preserve">February showed the second-strongest performance, indicating a strong Q1</w:t>
      </w:r>
    </w:p>
    <w:p>
      <w:pPr>
        <w:pStyle w:val="ListParagraph"/>
        <w:numPr>
          <w:ilvl w:val="0"/>
          <w:numId w:val="2"/>
        </w:numPr>
        <w:spacing w:after="80"/>
      </w:pPr>
      <w:r>
        <w:rPr>
          <w:rFonts w:ascii="Arial" w:cs="Arial" w:eastAsia="Arial" w:hAnsi="Arial"/>
          <w:color w:val="333333"/>
          <w:sz w:val="22"/>
          <w:szCs w:val="22"/>
        </w:rPr>
        <w:t xml:space="preserve">Sales and order counts declined steadily from April onwards through December</w:t>
      </w:r>
    </w:p>
    <w:p>
      <w:pPr>
        <w:pStyle w:val="ListParagraph"/>
        <w:numPr>
          <w:ilvl w:val="0"/>
          <w:numId w:val="2"/>
        </w:numPr>
        <w:spacing w:after="80"/>
      </w:pPr>
      <w:r>
        <w:rPr>
          <w:rFonts w:ascii="Arial" w:cs="Arial" w:eastAsia="Arial" w:hAnsi="Arial"/>
          <w:color w:val="333333"/>
          <w:sz w:val="22"/>
          <w:szCs w:val="22"/>
        </w:rPr>
        <w:t xml:space="preserve">November and December recorded the lowest revenue (~₹1.61–1.63M), suggesting limited year-end promotions</w:t>
      </w:r>
    </w:p>
    <w:p>
      <w:pPr>
        <w:pStyle w:val="ListParagraph"/>
        <w:numPr>
          <w:ilvl w:val="0"/>
          <w:numId w:val="2"/>
        </w:numPr>
        <w:spacing w:after="80"/>
      </w:pPr>
      <w:r>
        <w:rPr>
          <w:rFonts w:ascii="Arial" w:cs="Arial" w:eastAsia="Arial" w:hAnsi="Arial"/>
          <w:color w:val="333333"/>
          <w:sz w:val="22"/>
          <w:szCs w:val="22"/>
        </w:rPr>
        <w:t xml:space="preserve">The order count and sales amount trend closely together, confirming consistent average order values throughout the year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2E75B6" w:val="clear"/>
            <w:tcMar>
              <w:top w:type="dxa" w:w="100"/>
              <w:left w:type="dxa" w:w="120"/>
              <w:bottom w:type="dxa" w:w="100"/>
              <w:right w:type="dxa" w:w="120"/>
            </w:tcMar>
            <w:vAlign w:val="center"/>
          </w:tcPr>
          <w:p>
            <w:pPr>
              <w:jc w:val="center"/>
            </w:pPr>
            <w:r>
              <w:rPr>
                <w:sz w:val="24"/>
                <w:szCs w:val="24"/>
              </w:rPr>
              <w:t xml:space="preserve">💡</w:t>
            </w:r>
          </w:p>
        </w:tc>
        <w:tc>
          <w:tcPr>
            <w:tcW w:type="dxa" w:w="9160"/>
            <w:tcBorders>
              <w:top w:val="none"/>
              <w:left w:val="none"/>
              <w:bottom w:val="none"/>
              <w:right w:val="none"/>
            </w:tcBorders>
            <w:shd w:fill="EBF5FB" w:val="clear"/>
            <w:tcMar>
              <w:top w:type="dxa" w:w="100"/>
              <w:left w:type="dxa" w:w="160"/>
              <w:bottom w:type="dxa" w:w="100"/>
              <w:right w:type="dxa" w:w="160"/>
            </w:tcMar>
          </w:tcPr>
          <w:p>
            <w:r>
              <w:rPr>
                <w:rFonts w:ascii="Arial" w:cs="Arial" w:eastAsia="Arial" w:hAnsi="Arial"/>
                <w:i/>
                <w:iCs/>
                <w:color w:val="1A5276"/>
                <w:sz w:val="20"/>
                <w:szCs w:val="20"/>
              </w:rPr>
              <w:t xml:space="preserve">Opportunity: Launching festive-season campaigns in October–December could significantly reverse the end-of-year decline.</w:t>
            </w:r>
          </w:p>
        </w:tc>
      </w:tr>
    </w:tbl>
    <w:p>
      <w:pPr>
        <w:spacing w:after="80"/>
      </w:pPr>
      <w:r>
        <w:t xml:space="preserve"/>
      </w:r>
    </w:p>
    <w:p>
      <w:r>
        <w:br w:type="page"/>
      </w:r>
    </w:p>
    <w:p>
      <w:pPr>
        <w:pStyle w:val="Heading1"/>
        <w:shd w:fill="1F4E79" w:val="clear"/>
        <w:spacing w:before="320" w:after="200"/>
        <w:ind w:left="200" w:right="200"/>
      </w:pPr>
      <w:r>
        <w:rPr>
          <w:rFonts w:ascii="Arial" w:cs="Arial" w:eastAsia="Arial" w:hAnsi="Arial"/>
          <w:b/>
          <w:bCs/>
          <w:color w:val="FFFFFF"/>
          <w:sz w:val="36"/>
          <w:szCs w:val="36"/>
        </w:rPr>
        <w:t xml:space="preserve">4. Gender-Based Sales Analysis</w:t>
      </w:r>
    </w:p>
    <w:p>
      <w:pPr>
        <w:spacing w:after="160"/>
      </w:pPr>
      <w:r>
        <w:rPr>
          <w:rFonts w:ascii="Arial" w:cs="Arial" w:eastAsia="Arial" w:hAnsi="Arial"/>
          <w:b w:val="false"/>
          <w:bCs w:val="false"/>
          <w:color w:val="222222"/>
          <w:sz w:val="22"/>
          <w:szCs w:val="22"/>
        </w:rPr>
        <w:t xml:space="preserve">Gender analysis reveals a decisive skew toward female customers in both order count and revenue share.</w:t>
      </w:r>
    </w:p>
    <w:p>
      <w:pPr>
        <w:spacing w:before="160" w:after="80"/>
        <w:jc w:val="center"/>
      </w:pPr>
      <w:r>
        <w:drawing>
          <wp:inline distT="0" distB="0" distL="0" distR="0">
            <wp:extent cx="3048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48000" cy="2667000"/>
                    </a:xfrm>
                    <a:prstGeom prst="rect">
                      <a:avLst/>
                    </a:prstGeom>
                  </pic:spPr>
                </pic:pic>
              </a:graphicData>
            </a:graphic>
          </wp:inline>
        </w:drawing>
      </w:r>
    </w:p>
    <w:p>
      <w:pPr>
        <w:spacing w:after="240"/>
        <w:jc w:val="center"/>
      </w:pPr>
      <w:r>
        <w:rPr>
          <w:rFonts w:ascii="Arial" w:cs="Arial" w:eastAsia="Arial" w:hAnsi="Arial"/>
          <w:i/>
          <w:iCs/>
          <w:color w:val="666666"/>
          <w:sz w:val="18"/>
          <w:szCs w:val="18"/>
        </w:rPr>
        <w:t xml:space="preserve">Figure 2: Sales Distribution — Men vs Women</w:t>
      </w:r>
    </w:p>
    <w:p>
      <w:pPr>
        <w:pStyle w:val="Heading2"/>
        <w:pBdr>
          <w:bottom w:val="single" w:color="2E75B6" w:sz="4" w:space="1"/>
        </w:pBdr>
        <w:spacing w:before="260" w:after="120"/>
      </w:pPr>
      <w:r>
        <w:rPr>
          <w:rFonts w:ascii="Arial" w:cs="Arial" w:eastAsia="Arial" w:hAnsi="Arial"/>
          <w:b/>
          <w:bCs/>
          <w:color w:val="2E75B6"/>
          <w:sz w:val="28"/>
          <w:szCs w:val="28"/>
        </w:rPr>
        <w:t xml:space="preserve">4.1 Revenue Split</w:t>
      </w:r>
    </w:p>
    <w:p>
      <w:pPr>
        <w:pStyle w:val="ListParagraph"/>
        <w:numPr>
          <w:ilvl w:val="0"/>
          <w:numId w:val="2"/>
        </w:numPr>
        <w:spacing w:after="80"/>
      </w:pPr>
      <w:r>
        <w:rPr>
          <w:rFonts w:ascii="Arial" w:cs="Arial" w:eastAsia="Arial" w:hAnsi="Arial"/>
          <w:color w:val="333333"/>
          <w:sz w:val="22"/>
          <w:szCs w:val="22"/>
        </w:rPr>
        <w:t xml:space="preserve">Women contributed 64% of total sales, nearly double the contribution of men (36%)</w:t>
      </w:r>
    </w:p>
    <w:p>
      <w:pPr>
        <w:pStyle w:val="ListParagraph"/>
        <w:numPr>
          <w:ilvl w:val="0"/>
          <w:numId w:val="2"/>
        </w:numPr>
        <w:spacing w:after="80"/>
      </w:pPr>
      <w:r>
        <w:rPr>
          <w:rFonts w:ascii="Arial" w:cs="Arial" w:eastAsia="Arial" w:hAnsi="Arial"/>
          <w:color w:val="333333"/>
          <w:sz w:val="22"/>
          <w:szCs w:val="22"/>
        </w:rPr>
        <w:t xml:space="preserve">This pattern is consistent across all sales channels and product categories</w:t>
      </w:r>
    </w:p>
    <w:p>
      <w:pPr>
        <w:spacing w:after="80"/>
      </w:pPr>
      <w:r>
        <w:t xml:space="preserve"/>
      </w:r>
    </w:p>
    <w:p>
      <w:pPr>
        <w:spacing w:before="160" w:after="8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rFonts w:ascii="Arial" w:cs="Arial" w:eastAsia="Arial" w:hAnsi="Arial"/>
          <w:i/>
          <w:iCs/>
          <w:color w:val="666666"/>
          <w:sz w:val="18"/>
          <w:szCs w:val="18"/>
        </w:rPr>
        <w:t xml:space="preserve">Figure 3: Orders by Age Group &amp; Gender</w:t>
      </w:r>
    </w:p>
    <w:p>
      <w:pPr>
        <w:pStyle w:val="Heading2"/>
        <w:pBdr>
          <w:bottom w:val="single" w:color="2E75B6" w:sz="4" w:space="1"/>
        </w:pBdr>
        <w:spacing w:before="260" w:after="120"/>
      </w:pPr>
      <w:r>
        <w:rPr>
          <w:rFonts w:ascii="Arial" w:cs="Arial" w:eastAsia="Arial" w:hAnsi="Arial"/>
          <w:b/>
          <w:bCs/>
          <w:color w:val="2E75B6"/>
          <w:sz w:val="28"/>
          <w:szCs w:val="28"/>
        </w:rPr>
        <w:t xml:space="preserve">4.2 Age Group Breakdown</w:t>
      </w:r>
    </w:p>
    <w:p>
      <w:pPr>
        <w:pStyle w:val="ListParagraph"/>
        <w:numPr>
          <w:ilvl w:val="0"/>
          <w:numId w:val="2"/>
        </w:numPr>
        <w:spacing w:after="80"/>
      </w:pPr>
      <w:r>
        <w:rPr>
          <w:rFonts w:ascii="Arial" w:cs="Arial" w:eastAsia="Arial" w:hAnsi="Arial"/>
          <w:color w:val="333333"/>
          <w:sz w:val="22"/>
          <w:szCs w:val="22"/>
        </w:rPr>
        <w:t xml:space="preserve">Adult women are the single largest customer segment at 34.59% of all orders</w:t>
      </w:r>
    </w:p>
    <w:p>
      <w:pPr>
        <w:pStyle w:val="ListParagraph"/>
        <w:numPr>
          <w:ilvl w:val="0"/>
          <w:numId w:val="2"/>
        </w:numPr>
        <w:spacing w:after="80"/>
      </w:pPr>
      <w:r>
        <w:rPr>
          <w:rFonts w:ascii="Arial" w:cs="Arial" w:eastAsia="Arial" w:hAnsi="Arial"/>
          <w:color w:val="333333"/>
          <w:sz w:val="22"/>
          <w:szCs w:val="22"/>
        </w:rPr>
        <w:t xml:space="preserve">Teenage women account for 21.13%, making them the second-largest group</w:t>
      </w:r>
    </w:p>
    <w:p>
      <w:pPr>
        <w:pStyle w:val="ListParagraph"/>
        <w:numPr>
          <w:ilvl w:val="0"/>
          <w:numId w:val="2"/>
        </w:numPr>
        <w:spacing w:after="80"/>
      </w:pPr>
      <w:r>
        <w:rPr>
          <w:rFonts w:ascii="Arial" w:cs="Arial" w:eastAsia="Arial" w:hAnsi="Arial"/>
          <w:color w:val="333333"/>
          <w:sz w:val="22"/>
          <w:szCs w:val="22"/>
        </w:rPr>
        <w:t xml:space="preserve">Senior women (13.70%) outperform senior men (5.91%) by over 2x</w:t>
      </w:r>
    </w:p>
    <w:p>
      <w:pPr>
        <w:pStyle w:val="ListParagraph"/>
        <w:numPr>
          <w:ilvl w:val="0"/>
          <w:numId w:val="2"/>
        </w:numPr>
        <w:spacing w:after="80"/>
      </w:pPr>
      <w:r>
        <w:rPr>
          <w:rFonts w:ascii="Arial" w:cs="Arial" w:eastAsia="Arial" w:hAnsi="Arial"/>
          <w:color w:val="333333"/>
          <w:sz w:val="22"/>
          <w:szCs w:val="22"/>
        </w:rPr>
        <w:t xml:space="preserve">Across all age groups, women consistently place more orders than men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2E75B6" w:val="clear"/>
            <w:tcMar>
              <w:top w:type="dxa" w:w="100"/>
              <w:left w:type="dxa" w:w="120"/>
              <w:bottom w:type="dxa" w:w="100"/>
              <w:right w:type="dxa" w:w="120"/>
            </w:tcMar>
            <w:vAlign w:val="center"/>
          </w:tcPr>
          <w:p>
            <w:pPr>
              <w:jc w:val="center"/>
            </w:pPr>
            <w:r>
              <w:rPr>
                <w:sz w:val="24"/>
                <w:szCs w:val="24"/>
              </w:rPr>
              <w:t xml:space="preserve">💡</w:t>
            </w:r>
          </w:p>
        </w:tc>
        <w:tc>
          <w:tcPr>
            <w:tcW w:type="dxa" w:w="9160"/>
            <w:tcBorders>
              <w:top w:val="none"/>
              <w:left w:val="none"/>
              <w:bottom w:val="none"/>
              <w:right w:val="none"/>
            </w:tcBorders>
            <w:shd w:fill="EBF5FB" w:val="clear"/>
            <w:tcMar>
              <w:top w:type="dxa" w:w="100"/>
              <w:left w:type="dxa" w:w="160"/>
              <w:bottom w:type="dxa" w:w="100"/>
              <w:right w:type="dxa" w:w="160"/>
            </w:tcMar>
          </w:tcPr>
          <w:p>
            <w:r>
              <w:rPr>
                <w:rFonts w:ascii="Arial" w:cs="Arial" w:eastAsia="Arial" w:hAnsi="Arial"/>
                <w:i/>
                <w:iCs/>
                <w:color w:val="1A5276"/>
                <w:sz w:val="20"/>
                <w:szCs w:val="20"/>
              </w:rPr>
              <w:t xml:space="preserve">Recommendation: Direct 70% of marketing budget toward adult and teenage women segments. Consider women-centric loyalty programmes, referral incentives, and curated product bundles.</w:t>
            </w:r>
          </w:p>
        </w:tc>
      </w:tr>
    </w:tbl>
    <w:p>
      <w:pPr>
        <w:spacing w:after="80"/>
      </w:pPr>
      <w:r>
        <w:t xml:space="preserve"/>
      </w:r>
    </w:p>
    <w:p>
      <w:r>
        <w:br w:type="page"/>
      </w:r>
    </w:p>
    <w:p>
      <w:pPr>
        <w:pStyle w:val="Heading1"/>
        <w:shd w:fill="1F4E79" w:val="clear"/>
        <w:spacing w:before="320" w:after="200"/>
        <w:ind w:left="200" w:right="200"/>
      </w:pPr>
      <w:r>
        <w:rPr>
          <w:rFonts w:ascii="Arial" w:cs="Arial" w:eastAsia="Arial" w:hAnsi="Arial"/>
          <w:b/>
          <w:bCs/>
          <w:color w:val="FFFFFF"/>
          <w:sz w:val="36"/>
          <w:szCs w:val="36"/>
        </w:rPr>
        <w:t xml:space="preserve">5. Order Status Analysis</w:t>
      </w:r>
    </w:p>
    <w:p>
      <w:pPr>
        <w:spacing w:after="160"/>
      </w:pPr>
      <w:r>
        <w:rPr>
          <w:rFonts w:ascii="Arial" w:cs="Arial" w:eastAsia="Arial" w:hAnsi="Arial"/>
          <w:b w:val="false"/>
          <w:bCs w:val="false"/>
          <w:color w:val="222222"/>
          <w:sz w:val="22"/>
          <w:szCs w:val="22"/>
        </w:rPr>
        <w:t xml:space="preserve">Order fulfilment health is a critical indicator of operational efficiency and customer satisfaction.</w:t>
      </w:r>
    </w:p>
    <w:p>
      <w:pPr>
        <w:spacing w:before="160" w:after="80"/>
        <w:jc w:val="center"/>
      </w:pPr>
      <w:r>
        <w:drawing>
          <wp:inline distT="0" distB="0" distL="0" distR="0">
            <wp:extent cx="3238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2857500"/>
                    </a:xfrm>
                    <a:prstGeom prst="rect">
                      <a:avLst/>
                    </a:prstGeom>
                  </pic:spPr>
                </pic:pic>
              </a:graphicData>
            </a:graphic>
          </wp:inline>
        </w:drawing>
      </w:r>
    </w:p>
    <w:p>
      <w:pPr>
        <w:spacing w:after="240"/>
        <w:jc w:val="center"/>
      </w:pPr>
      <w:r>
        <w:rPr>
          <w:rFonts w:ascii="Arial" w:cs="Arial" w:eastAsia="Arial" w:hAnsi="Arial"/>
          <w:i/>
          <w:iCs/>
          <w:color w:val="666666"/>
          <w:sz w:val="18"/>
          <w:szCs w:val="18"/>
        </w:rPr>
        <w:t xml:space="preserve">Figure 4: Order Status Distribution</w:t>
      </w:r>
    </w:p>
    <w:p>
      <w:pPr>
        <w:pStyle w:val="Heading2"/>
        <w:pBdr>
          <w:bottom w:val="single" w:color="2E75B6" w:sz="4" w:space="1"/>
        </w:pBdr>
        <w:spacing w:before="260" w:after="120"/>
      </w:pPr>
      <w:r>
        <w:rPr>
          <w:rFonts w:ascii="Arial" w:cs="Arial" w:eastAsia="Arial" w:hAnsi="Arial"/>
          <w:b/>
          <w:bCs/>
          <w:color w:val="2E75B6"/>
          <w:sz w:val="28"/>
          <w:szCs w:val="28"/>
        </w:rPr>
        <w:t xml:space="preserve">Key Metrics</w:t>
      </w:r>
    </w:p>
    <w:p>
      <w:pPr>
        <w:pStyle w:val="ListParagraph"/>
        <w:numPr>
          <w:ilvl w:val="0"/>
          <w:numId w:val="2"/>
        </w:numPr>
        <w:spacing w:after="80"/>
      </w:pPr>
      <w:r>
        <w:rPr>
          <w:rFonts w:ascii="Arial" w:cs="Arial" w:eastAsia="Arial" w:hAnsi="Arial"/>
          <w:color w:val="333333"/>
          <w:sz w:val="22"/>
          <w:szCs w:val="22"/>
        </w:rPr>
        <w:t xml:space="preserve">Delivered: 92% — An excellent fulfilment rate indicating strong logistics performance</w:t>
      </w:r>
    </w:p>
    <w:p>
      <w:pPr>
        <w:pStyle w:val="ListParagraph"/>
        <w:numPr>
          <w:ilvl w:val="0"/>
          <w:numId w:val="2"/>
        </w:numPr>
        <w:spacing w:after="80"/>
      </w:pPr>
      <w:r>
        <w:rPr>
          <w:rFonts w:ascii="Arial" w:cs="Arial" w:eastAsia="Arial" w:hAnsi="Arial"/>
          <w:color w:val="333333"/>
          <w:sz w:val="22"/>
          <w:szCs w:val="22"/>
        </w:rPr>
        <w:t xml:space="preserve">Returned: 3% — Moderate; signals potential product quality or sizing issues</w:t>
      </w:r>
    </w:p>
    <w:p>
      <w:pPr>
        <w:pStyle w:val="ListParagraph"/>
        <w:numPr>
          <w:ilvl w:val="0"/>
          <w:numId w:val="2"/>
        </w:numPr>
        <w:spacing w:after="80"/>
      </w:pPr>
      <w:r>
        <w:rPr>
          <w:rFonts w:ascii="Arial" w:cs="Arial" w:eastAsia="Arial" w:hAnsi="Arial"/>
          <w:color w:val="333333"/>
          <w:sz w:val="22"/>
          <w:szCs w:val="22"/>
        </w:rPr>
        <w:t xml:space="preserve">Cancelled: 3% — Moderate; may reflect stock availability or customer indecision</w:t>
      </w:r>
    </w:p>
    <w:p>
      <w:pPr>
        <w:pStyle w:val="ListParagraph"/>
        <w:numPr>
          <w:ilvl w:val="0"/>
          <w:numId w:val="2"/>
        </w:numPr>
        <w:spacing w:after="80"/>
      </w:pPr>
      <w:r>
        <w:rPr>
          <w:rFonts w:ascii="Arial" w:cs="Arial" w:eastAsia="Arial" w:hAnsi="Arial"/>
          <w:color w:val="333333"/>
          <w:sz w:val="22"/>
          <w:szCs w:val="22"/>
        </w:rPr>
        <w:t xml:space="preserve">Refunded: 2% — Low refund rate reflects good post-delivery satisfaction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2E75B6" w:val="clear"/>
            <w:tcMar>
              <w:top w:type="dxa" w:w="100"/>
              <w:left w:type="dxa" w:w="120"/>
              <w:bottom w:type="dxa" w:w="100"/>
              <w:right w:type="dxa" w:w="120"/>
            </w:tcMar>
            <w:vAlign w:val="center"/>
          </w:tcPr>
          <w:p>
            <w:pPr>
              <w:jc w:val="center"/>
            </w:pPr>
            <w:r>
              <w:rPr>
                <w:sz w:val="24"/>
                <w:szCs w:val="24"/>
              </w:rPr>
              <w:t xml:space="preserve">💡</w:t>
            </w:r>
          </w:p>
        </w:tc>
        <w:tc>
          <w:tcPr>
            <w:tcW w:type="dxa" w:w="9160"/>
            <w:tcBorders>
              <w:top w:val="none"/>
              <w:left w:val="none"/>
              <w:bottom w:val="none"/>
              <w:right w:val="none"/>
            </w:tcBorders>
            <w:shd w:fill="EBF5FB" w:val="clear"/>
            <w:tcMar>
              <w:top w:type="dxa" w:w="100"/>
              <w:left w:type="dxa" w:w="160"/>
              <w:bottom w:type="dxa" w:w="100"/>
              <w:right w:type="dxa" w:w="160"/>
            </w:tcMar>
          </w:tcPr>
          <w:p>
            <w:r>
              <w:rPr>
                <w:rFonts w:ascii="Arial" w:cs="Arial" w:eastAsia="Arial" w:hAnsi="Arial"/>
                <w:i/>
                <w:iCs/>
                <w:color w:val="1A5276"/>
                <w:sz w:val="20"/>
                <w:szCs w:val="20"/>
              </w:rPr>
              <w:t xml:space="preserve">Recommendation: Investigate reasons for returns in high-return categories. Reducing return + cancel rates by even 1% each could meaningfully improve net revenue.</w:t>
            </w:r>
          </w:p>
        </w:tc>
      </w:tr>
    </w:tbl>
    <w:p>
      <w:pPr>
        <w:spacing w:after="80"/>
      </w:pPr>
      <w:r>
        <w:t xml:space="preserve"/>
      </w:r>
    </w:p>
    <w:p>
      <w:r>
        <w:br w:type="page"/>
      </w:r>
    </w:p>
    <w:p>
      <w:pPr>
        <w:pStyle w:val="Heading1"/>
        <w:shd w:fill="1F4E79" w:val="clear"/>
        <w:spacing w:before="320" w:after="200"/>
        <w:ind w:left="200" w:right="200"/>
      </w:pPr>
      <w:r>
        <w:rPr>
          <w:rFonts w:ascii="Arial" w:cs="Arial" w:eastAsia="Arial" w:hAnsi="Arial"/>
          <w:b/>
          <w:bCs/>
          <w:color w:val="FFFFFF"/>
          <w:sz w:val="36"/>
          <w:szCs w:val="36"/>
        </w:rPr>
        <w:t xml:space="preserve">6. Sales Channel Performance</w:t>
      </w:r>
    </w:p>
    <w:p>
      <w:pPr>
        <w:spacing w:after="160"/>
      </w:pPr>
      <w:r>
        <w:rPr>
          <w:rFonts w:ascii="Arial" w:cs="Arial" w:eastAsia="Arial" w:hAnsi="Arial"/>
          <w:b w:val="false"/>
          <w:bCs w:val="false"/>
          <w:color w:val="222222"/>
          <w:sz w:val="22"/>
          <w:szCs w:val="22"/>
        </w:rPr>
        <w:t xml:space="preserve">Vrinda Store sells across multiple e-commerce platforms. Channel diversification provides resilience, but concentration in top platforms drives volume.</w:t>
      </w:r>
    </w:p>
    <w:p>
      <w:pPr>
        <w:spacing w:before="160" w:after="80"/>
        <w:jc w:val="center"/>
      </w:pPr>
      <w:r>
        <w:drawing>
          <wp:inline distT="0" distB="0" distL="0" distR="0">
            <wp:extent cx="3619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857500"/>
                    </a:xfrm>
                    <a:prstGeom prst="rect">
                      <a:avLst/>
                    </a:prstGeom>
                  </pic:spPr>
                </pic:pic>
              </a:graphicData>
            </a:graphic>
          </wp:inline>
        </w:drawing>
      </w:r>
    </w:p>
    <w:p>
      <w:pPr>
        <w:spacing w:after="240"/>
        <w:jc w:val="center"/>
      </w:pPr>
      <w:r>
        <w:rPr>
          <w:rFonts w:ascii="Arial" w:cs="Arial" w:eastAsia="Arial" w:hAnsi="Arial"/>
          <w:i/>
          <w:iCs/>
          <w:color w:val="666666"/>
          <w:sz w:val="18"/>
          <w:szCs w:val="18"/>
        </w:rPr>
        <w:t xml:space="preserve">Figure 5: Order Distribution Across Channels</w:t>
      </w:r>
    </w:p>
    <w:p>
      <w:pPr>
        <w:pStyle w:val="Heading2"/>
        <w:pBdr>
          <w:bottom w:val="single" w:color="2E75B6" w:sz="4" w:space="1"/>
        </w:pBdr>
        <w:spacing w:before="260" w:after="120"/>
      </w:pPr>
      <w:r>
        <w:rPr>
          <w:rFonts w:ascii="Arial" w:cs="Arial" w:eastAsia="Arial" w:hAnsi="Arial"/>
          <w:b/>
          <w:bCs/>
          <w:color w:val="2E75B6"/>
          <w:sz w:val="28"/>
          <w:szCs w:val="28"/>
        </w:rPr>
        <w:t xml:space="preserve">Channel Breakdown</w:t>
      </w:r>
    </w:p>
    <w:p>
      <w:pPr>
        <w:pStyle w:val="ListParagraph"/>
        <w:numPr>
          <w:ilvl w:val="0"/>
          <w:numId w:val="2"/>
        </w:numPr>
        <w:spacing w:after="80"/>
      </w:pPr>
      <w:r>
        <w:rPr>
          <w:rFonts w:ascii="Arial" w:cs="Arial" w:eastAsia="Arial" w:hAnsi="Arial"/>
          <w:color w:val="333333"/>
          <w:sz w:val="22"/>
          <w:szCs w:val="22"/>
        </w:rPr>
        <w:t xml:space="preserve">Amazon: 35% — Market leader; highest volume channel for Vrinda Store</w:t>
      </w:r>
    </w:p>
    <w:p>
      <w:pPr>
        <w:pStyle w:val="ListParagraph"/>
        <w:numPr>
          <w:ilvl w:val="0"/>
          <w:numId w:val="2"/>
        </w:numPr>
        <w:spacing w:after="80"/>
      </w:pPr>
      <w:r>
        <w:rPr>
          <w:rFonts w:ascii="Arial" w:cs="Arial" w:eastAsia="Arial" w:hAnsi="Arial"/>
          <w:color w:val="333333"/>
          <w:sz w:val="22"/>
          <w:szCs w:val="22"/>
        </w:rPr>
        <w:t xml:space="preserve">Myntra: 23% — Strong second; fashion-forward audience aligns with Vrinda's product mix</w:t>
      </w:r>
    </w:p>
    <w:p>
      <w:pPr>
        <w:pStyle w:val="ListParagraph"/>
        <w:numPr>
          <w:ilvl w:val="0"/>
          <w:numId w:val="2"/>
        </w:numPr>
        <w:spacing w:after="80"/>
      </w:pPr>
      <w:r>
        <w:rPr>
          <w:rFonts w:ascii="Arial" w:cs="Arial" w:eastAsia="Arial" w:hAnsi="Arial"/>
          <w:color w:val="333333"/>
          <w:sz w:val="22"/>
          <w:szCs w:val="22"/>
        </w:rPr>
        <w:t xml:space="preserve">Flipkart: 22% — Solid third; broad reach across Tier 2 &amp; 3 cities</w:t>
      </w:r>
    </w:p>
    <w:p>
      <w:pPr>
        <w:pStyle w:val="ListParagraph"/>
        <w:numPr>
          <w:ilvl w:val="0"/>
          <w:numId w:val="2"/>
        </w:numPr>
        <w:spacing w:after="80"/>
      </w:pPr>
      <w:r>
        <w:rPr>
          <w:rFonts w:ascii="Arial" w:cs="Arial" w:eastAsia="Arial" w:hAnsi="Arial"/>
          <w:color w:val="333333"/>
          <w:sz w:val="22"/>
          <w:szCs w:val="22"/>
        </w:rPr>
        <w:t xml:space="preserve">Ajio: 6% — Growing premium channel; worth increased investment</w:t>
      </w:r>
    </w:p>
    <w:p>
      <w:pPr>
        <w:pStyle w:val="ListParagraph"/>
        <w:numPr>
          <w:ilvl w:val="0"/>
          <w:numId w:val="2"/>
        </w:numPr>
        <w:spacing w:after="80"/>
      </w:pPr>
      <w:r>
        <w:rPr>
          <w:rFonts w:ascii="Arial" w:cs="Arial" w:eastAsia="Arial" w:hAnsi="Arial"/>
          <w:color w:val="333333"/>
          <w:sz w:val="22"/>
          <w:szCs w:val="22"/>
        </w:rPr>
        <w:t xml:space="preserve">Nalli: 5% — Niche traditional wear segment</w:t>
      </w:r>
    </w:p>
    <w:p>
      <w:pPr>
        <w:pStyle w:val="ListParagraph"/>
        <w:numPr>
          <w:ilvl w:val="0"/>
          <w:numId w:val="2"/>
        </w:numPr>
        <w:spacing w:after="80"/>
      </w:pPr>
      <w:r>
        <w:rPr>
          <w:rFonts w:ascii="Arial" w:cs="Arial" w:eastAsia="Arial" w:hAnsi="Arial"/>
          <w:color w:val="333333"/>
          <w:sz w:val="22"/>
          <w:szCs w:val="22"/>
        </w:rPr>
        <w:t xml:space="preserve">Meesho: 5% — Social commerce platform; value-segment customers</w:t>
      </w:r>
    </w:p>
    <w:p>
      <w:pPr>
        <w:pStyle w:val="ListParagraph"/>
        <w:numPr>
          <w:ilvl w:val="0"/>
          <w:numId w:val="2"/>
        </w:numPr>
        <w:spacing w:after="80"/>
      </w:pPr>
      <w:r>
        <w:rPr>
          <w:rFonts w:ascii="Arial" w:cs="Arial" w:eastAsia="Arial" w:hAnsi="Arial"/>
          <w:color w:val="333333"/>
          <w:sz w:val="22"/>
          <w:szCs w:val="22"/>
        </w:rPr>
        <w:t xml:space="preserve">Others: 4% — Aggregated smaller platforms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2E75B6" w:val="clear"/>
            <w:tcMar>
              <w:top w:type="dxa" w:w="100"/>
              <w:left w:type="dxa" w:w="120"/>
              <w:bottom w:type="dxa" w:w="100"/>
              <w:right w:type="dxa" w:w="120"/>
            </w:tcMar>
            <w:vAlign w:val="center"/>
          </w:tcPr>
          <w:p>
            <w:pPr>
              <w:jc w:val="center"/>
            </w:pPr>
            <w:r>
              <w:rPr>
                <w:sz w:val="24"/>
                <w:szCs w:val="24"/>
              </w:rPr>
              <w:t xml:space="preserve">💡</w:t>
            </w:r>
          </w:p>
        </w:tc>
        <w:tc>
          <w:tcPr>
            <w:tcW w:type="dxa" w:w="9160"/>
            <w:tcBorders>
              <w:top w:val="none"/>
              <w:left w:val="none"/>
              <w:bottom w:val="none"/>
              <w:right w:val="none"/>
            </w:tcBorders>
            <w:shd w:fill="EBF5FB" w:val="clear"/>
            <w:tcMar>
              <w:top w:type="dxa" w:w="100"/>
              <w:left w:type="dxa" w:w="160"/>
              <w:bottom w:type="dxa" w:w="100"/>
              <w:right w:type="dxa" w:w="160"/>
            </w:tcMar>
          </w:tcPr>
          <w:p>
            <w:r>
              <w:rPr>
                <w:rFonts w:ascii="Arial" w:cs="Arial" w:eastAsia="Arial" w:hAnsi="Arial"/>
                <w:i/>
                <w:iCs/>
                <w:color w:val="1A5276"/>
                <w:sz w:val="20"/>
                <w:szCs w:val="20"/>
              </w:rPr>
              <w:t xml:space="preserve">Recommendation: Double down on Amazon and Myntra advertising spend. Explore Ajio's premium positioning to attract higher average order value customers. Evaluate Meesho for volume growth in value segments.</w:t>
            </w:r>
          </w:p>
        </w:tc>
      </w:tr>
    </w:tbl>
    <w:p>
      <w:pPr>
        <w:spacing w:after="80"/>
      </w:pPr>
      <w:r>
        <w:t xml:space="preserve"/>
      </w:r>
    </w:p>
    <w:p>
      <w:r>
        <w:br w:type="page"/>
      </w:r>
    </w:p>
    <w:p>
      <w:pPr>
        <w:pStyle w:val="Heading1"/>
        <w:shd w:fill="1F4E79" w:val="clear"/>
        <w:spacing w:before="320" w:after="200"/>
        <w:ind w:left="200" w:right="200"/>
      </w:pPr>
      <w:r>
        <w:rPr>
          <w:rFonts w:ascii="Arial" w:cs="Arial" w:eastAsia="Arial" w:hAnsi="Arial"/>
          <w:b/>
          <w:bCs/>
          <w:color w:val="FFFFFF"/>
          <w:sz w:val="36"/>
          <w:szCs w:val="36"/>
        </w:rPr>
        <w:t xml:space="preserve">7. Regional Sales Performance</w:t>
      </w:r>
    </w:p>
    <w:p>
      <w:pPr>
        <w:spacing w:after="160"/>
      </w:pPr>
      <w:r>
        <w:rPr>
          <w:rFonts w:ascii="Arial" w:cs="Arial" w:eastAsia="Arial" w:hAnsi="Arial"/>
          <w:b w:val="false"/>
          <w:bCs w:val="false"/>
          <w:color w:val="222222"/>
          <w:sz w:val="22"/>
          <w:szCs w:val="22"/>
        </w:rPr>
        <w:t xml:space="preserve">Geographic analysis identifies high-revenue markets and guides resource allocation for regional campaigns.</w:t>
      </w:r>
    </w:p>
    <w:p>
      <w:pPr>
        <w:spacing w:before="160" w:after="80"/>
        <w:jc w:val="center"/>
      </w:pPr>
      <w:r>
        <w:drawing>
          <wp:inline distT="0" distB="0" distL="0" distR="0">
            <wp:extent cx="4572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667000"/>
                    </a:xfrm>
                    <a:prstGeom prst="rect">
                      <a:avLst/>
                    </a:prstGeom>
                  </pic:spPr>
                </pic:pic>
              </a:graphicData>
            </a:graphic>
          </wp:inline>
        </w:drawing>
      </w:r>
    </w:p>
    <w:p>
      <w:pPr>
        <w:spacing w:after="240"/>
        <w:jc w:val="center"/>
      </w:pPr>
      <w:r>
        <w:rPr>
          <w:rFonts w:ascii="Arial" w:cs="Arial" w:eastAsia="Arial" w:hAnsi="Arial"/>
          <w:i/>
          <w:iCs/>
          <w:color w:val="666666"/>
          <w:sz w:val="18"/>
          <w:szCs w:val="18"/>
        </w:rPr>
        <w:t xml:space="preserve">Figure 6: Top 5 States by Sales Revenue</w:t>
      </w:r>
    </w:p>
    <w:p>
      <w:pPr>
        <w:pStyle w:val="Heading2"/>
        <w:pBdr>
          <w:bottom w:val="single" w:color="2E75B6" w:sz="4" w:space="1"/>
        </w:pBdr>
        <w:spacing w:before="260" w:after="120"/>
      </w:pPr>
      <w:r>
        <w:rPr>
          <w:rFonts w:ascii="Arial" w:cs="Arial" w:eastAsia="Arial" w:hAnsi="Arial"/>
          <w:b/>
          <w:bCs/>
          <w:color w:val="2E75B6"/>
          <w:sz w:val="28"/>
          <w:szCs w:val="28"/>
        </w:rPr>
        <w:t xml:space="preserve">Top 5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4420"/>
        <w:gridCol w:w="2200"/>
        <w:gridCol w:w="2220"/>
      </w:tblGrid>
      <w:tr>
        <w:tc>
          <w:tcPr>
            <w:tcW w:type="dxa" w:w="520"/>
            <w:tcBorders>
              <w:top w:val="none"/>
              <w:left w:val="none"/>
              <w:bottom w:val="none"/>
              <w:right w:val="none"/>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Rank</w:t>
            </w:r>
          </w:p>
        </w:tc>
        <w:tc>
          <w:tcPr>
            <w:tcW w:type="dxa" w:w="4420"/>
            <w:tcBorders>
              <w:top w:val="none"/>
              <w:left w:val="none"/>
              <w:bottom w:val="none"/>
              <w:right w:val="none"/>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2200"/>
            <w:tcBorders>
              <w:top w:val="none"/>
              <w:left w:val="none"/>
              <w:bottom w:val="none"/>
              <w:right w:val="none"/>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Sales</w:t>
            </w:r>
          </w:p>
        </w:tc>
        <w:tc>
          <w:tcPr>
            <w:tcW w:type="dxa" w:w="2220"/>
            <w:tcBorders>
              <w:top w:val="none"/>
              <w:left w:val="none"/>
              <w:bottom w:val="none"/>
              <w:right w:val="none"/>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of Top-5 Total</w:t>
            </w:r>
          </w:p>
        </w:tc>
      </w:tr>
      <w:tr>
        <w:tc>
          <w:tcPr>
            <w:tcW w:type="dxa" w:w="520"/>
            <w:tcBorders>
              <w:top w:val="none"/>
              <w:left w:val="none"/>
              <w:bottom w:val="none"/>
              <w:right w:val="none"/>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1</w:t>
            </w:r>
          </w:p>
        </w:tc>
        <w:tc>
          <w:tcPr>
            <w:tcW w:type="dxa" w:w="4420"/>
            <w:tcBorders>
              <w:top w:val="none"/>
              <w:left w:val="none"/>
              <w:bottom w:val="none"/>
              <w:right w:val="none"/>
            </w:tcBorders>
            <w:shd w:fill="D6E4F0" w:val="clear"/>
            <w:tcMar>
              <w:top w:type="dxa" w:w="80"/>
              <w:left w:type="dxa" w:w="120"/>
              <w:bottom w:type="dxa" w:w="80"/>
              <w:right w:type="dxa" w:w="120"/>
            </w:tcMar>
          </w:tcPr>
          <w:p>
            <w:r>
              <w:rPr>
                <w:rFonts w:ascii="Arial" w:cs="Arial" w:eastAsia="Arial" w:hAnsi="Arial"/>
                <w:sz w:val="20"/>
                <w:szCs w:val="20"/>
              </w:rPr>
              <w:t xml:space="preserve">Maharashtra</w:t>
            </w:r>
          </w:p>
        </w:tc>
        <w:tc>
          <w:tcPr>
            <w:tcW w:type="dxa" w:w="2200"/>
            <w:tcBorders>
              <w:top w:val="none"/>
              <w:left w:val="none"/>
              <w:bottom w:val="none"/>
              <w:right w:val="none"/>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₹2.99M</w:t>
            </w:r>
          </w:p>
        </w:tc>
        <w:tc>
          <w:tcPr>
            <w:tcW w:type="dxa" w:w="2220"/>
            <w:tcBorders>
              <w:top w:val="none"/>
              <w:left w:val="none"/>
              <w:bottom w:val="none"/>
              <w:right w:val="none"/>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24.8%</w:t>
            </w:r>
          </w:p>
        </w:tc>
      </w:tr>
      <w:tr>
        <w:tc>
          <w:tcPr>
            <w:tcW w:type="dxa" w:w="520"/>
            <w:tcBorders>
              <w:top w:val="none"/>
              <w:left w:val="none"/>
              <w:bottom w:val="none"/>
              <w:right w:val="none"/>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2</w:t>
            </w:r>
          </w:p>
        </w:tc>
        <w:tc>
          <w:tcPr>
            <w:tcW w:type="dxa" w:w="4420"/>
            <w:tcBorders>
              <w:top w:val="none"/>
              <w:left w:val="none"/>
              <w:bottom w:val="none"/>
              <w:right w:val="none"/>
            </w:tcBorders>
            <w:shd w:fill="FFFFFF" w:val="clear"/>
            <w:tcMar>
              <w:top w:type="dxa" w:w="80"/>
              <w:left w:type="dxa" w:w="120"/>
              <w:bottom w:type="dxa" w:w="80"/>
              <w:right w:type="dxa" w:w="120"/>
            </w:tcMar>
          </w:tcPr>
          <w:p>
            <w:r>
              <w:rPr>
                <w:rFonts w:ascii="Arial" w:cs="Arial" w:eastAsia="Arial" w:hAnsi="Arial"/>
                <w:sz w:val="20"/>
                <w:szCs w:val="20"/>
              </w:rPr>
              <w:t xml:space="preserve">Karnataka</w:t>
            </w:r>
          </w:p>
        </w:tc>
        <w:tc>
          <w:tcPr>
            <w:tcW w:type="dxa" w:w="2200"/>
            <w:tcBorders>
              <w:top w:val="none"/>
              <w:left w:val="none"/>
              <w:bottom w:val="none"/>
              <w:right w:val="none"/>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₹2.65M</w:t>
            </w:r>
          </w:p>
        </w:tc>
        <w:tc>
          <w:tcPr>
            <w:tcW w:type="dxa" w:w="2220"/>
            <w:tcBorders>
              <w:top w:val="none"/>
              <w:left w:val="none"/>
              <w:bottom w:val="none"/>
              <w:right w:val="none"/>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22.0%</w:t>
            </w:r>
          </w:p>
        </w:tc>
      </w:tr>
      <w:tr>
        <w:tc>
          <w:tcPr>
            <w:tcW w:type="dxa" w:w="520"/>
            <w:tcBorders>
              <w:top w:val="none"/>
              <w:left w:val="none"/>
              <w:bottom w:val="none"/>
              <w:right w:val="none"/>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3</w:t>
            </w:r>
          </w:p>
        </w:tc>
        <w:tc>
          <w:tcPr>
            <w:tcW w:type="dxa" w:w="4420"/>
            <w:tcBorders>
              <w:top w:val="none"/>
              <w:left w:val="none"/>
              <w:bottom w:val="none"/>
              <w:right w:val="none"/>
            </w:tcBorders>
            <w:shd w:fill="D6E4F0" w:val="clear"/>
            <w:tcMar>
              <w:top w:type="dxa" w:w="80"/>
              <w:left w:type="dxa" w:w="120"/>
              <w:bottom w:type="dxa" w:w="80"/>
              <w:right w:type="dxa" w:w="120"/>
            </w:tcMar>
          </w:tcPr>
          <w:p>
            <w:r>
              <w:rPr>
                <w:rFonts w:ascii="Arial" w:cs="Arial" w:eastAsia="Arial" w:hAnsi="Arial"/>
                <w:sz w:val="20"/>
                <w:szCs w:val="20"/>
              </w:rPr>
              <w:t xml:space="preserve">Uttar Pradesh</w:t>
            </w:r>
          </w:p>
        </w:tc>
        <w:tc>
          <w:tcPr>
            <w:tcW w:type="dxa" w:w="2200"/>
            <w:tcBorders>
              <w:top w:val="none"/>
              <w:left w:val="none"/>
              <w:bottom w:val="none"/>
              <w:right w:val="none"/>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₹2.10M</w:t>
            </w:r>
          </w:p>
        </w:tc>
        <w:tc>
          <w:tcPr>
            <w:tcW w:type="dxa" w:w="2220"/>
            <w:tcBorders>
              <w:top w:val="none"/>
              <w:left w:val="none"/>
              <w:bottom w:val="none"/>
              <w:right w:val="none"/>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17.4%</w:t>
            </w:r>
          </w:p>
        </w:tc>
      </w:tr>
      <w:tr>
        <w:tc>
          <w:tcPr>
            <w:tcW w:type="dxa" w:w="520"/>
            <w:tcBorders>
              <w:top w:val="none"/>
              <w:left w:val="none"/>
              <w:bottom w:val="none"/>
              <w:right w:val="none"/>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4</w:t>
            </w:r>
          </w:p>
        </w:tc>
        <w:tc>
          <w:tcPr>
            <w:tcW w:type="dxa" w:w="4420"/>
            <w:tcBorders>
              <w:top w:val="none"/>
              <w:left w:val="none"/>
              <w:bottom w:val="none"/>
              <w:right w:val="none"/>
            </w:tcBorders>
            <w:shd w:fill="FFFFFF" w:val="clear"/>
            <w:tcMar>
              <w:top w:type="dxa" w:w="80"/>
              <w:left w:type="dxa" w:w="120"/>
              <w:bottom w:type="dxa" w:w="80"/>
              <w:right w:type="dxa" w:w="120"/>
            </w:tcMar>
          </w:tcPr>
          <w:p>
            <w:r>
              <w:rPr>
                <w:rFonts w:ascii="Arial" w:cs="Arial" w:eastAsia="Arial" w:hAnsi="Arial"/>
                <w:sz w:val="20"/>
                <w:szCs w:val="20"/>
              </w:rPr>
              <w:t xml:space="preserve">Telangana</w:t>
            </w:r>
          </w:p>
        </w:tc>
        <w:tc>
          <w:tcPr>
            <w:tcW w:type="dxa" w:w="2200"/>
            <w:tcBorders>
              <w:top w:val="none"/>
              <w:left w:val="none"/>
              <w:bottom w:val="none"/>
              <w:right w:val="none"/>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₹1.71M</w:t>
            </w:r>
          </w:p>
        </w:tc>
        <w:tc>
          <w:tcPr>
            <w:tcW w:type="dxa" w:w="2220"/>
            <w:tcBorders>
              <w:top w:val="none"/>
              <w:left w:val="none"/>
              <w:bottom w:val="none"/>
              <w:right w:val="none"/>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14.2%</w:t>
            </w:r>
          </w:p>
        </w:tc>
      </w:tr>
      <w:tr>
        <w:tc>
          <w:tcPr>
            <w:tcW w:type="dxa" w:w="520"/>
            <w:tcBorders>
              <w:top w:val="none"/>
              <w:left w:val="none"/>
              <w:bottom w:val="none"/>
              <w:right w:val="none"/>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5</w:t>
            </w:r>
          </w:p>
        </w:tc>
        <w:tc>
          <w:tcPr>
            <w:tcW w:type="dxa" w:w="4420"/>
            <w:tcBorders>
              <w:top w:val="none"/>
              <w:left w:val="none"/>
              <w:bottom w:val="none"/>
              <w:right w:val="none"/>
            </w:tcBorders>
            <w:shd w:fill="D6E4F0" w:val="clear"/>
            <w:tcMar>
              <w:top w:type="dxa" w:w="80"/>
              <w:left w:type="dxa" w:w="120"/>
              <w:bottom w:type="dxa" w:w="80"/>
              <w:right w:type="dxa" w:w="120"/>
            </w:tcMar>
          </w:tcPr>
          <w:p>
            <w:r>
              <w:rPr>
                <w:rFonts w:ascii="Arial" w:cs="Arial" w:eastAsia="Arial" w:hAnsi="Arial"/>
                <w:sz w:val="20"/>
                <w:szCs w:val="20"/>
              </w:rPr>
              <w:t xml:space="preserve">Tamil Nadu</w:t>
            </w:r>
          </w:p>
        </w:tc>
        <w:tc>
          <w:tcPr>
            <w:tcW w:type="dxa" w:w="2200"/>
            <w:tcBorders>
              <w:top w:val="none"/>
              <w:left w:val="none"/>
              <w:bottom w:val="none"/>
              <w:right w:val="none"/>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₹1.68M</w:t>
            </w:r>
          </w:p>
        </w:tc>
        <w:tc>
          <w:tcPr>
            <w:tcW w:type="dxa" w:w="2220"/>
            <w:tcBorders>
              <w:top w:val="none"/>
              <w:left w:val="none"/>
              <w:bottom w:val="none"/>
              <w:right w:val="none"/>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13.9%</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2E75B6" w:val="clear"/>
            <w:tcMar>
              <w:top w:type="dxa" w:w="100"/>
              <w:left w:type="dxa" w:w="120"/>
              <w:bottom w:type="dxa" w:w="100"/>
              <w:right w:type="dxa" w:w="120"/>
            </w:tcMar>
            <w:vAlign w:val="center"/>
          </w:tcPr>
          <w:p>
            <w:pPr>
              <w:jc w:val="center"/>
            </w:pPr>
            <w:r>
              <w:rPr>
                <w:sz w:val="24"/>
                <w:szCs w:val="24"/>
              </w:rPr>
              <w:t xml:space="preserve">💡</w:t>
            </w:r>
          </w:p>
        </w:tc>
        <w:tc>
          <w:tcPr>
            <w:tcW w:type="dxa" w:w="9160"/>
            <w:tcBorders>
              <w:top w:val="none"/>
              <w:left w:val="none"/>
              <w:bottom w:val="none"/>
              <w:right w:val="none"/>
            </w:tcBorders>
            <w:shd w:fill="EBF5FB" w:val="clear"/>
            <w:tcMar>
              <w:top w:type="dxa" w:w="100"/>
              <w:left w:type="dxa" w:w="160"/>
              <w:bottom w:type="dxa" w:w="100"/>
              <w:right w:type="dxa" w:w="160"/>
            </w:tcMar>
          </w:tcPr>
          <w:p>
            <w:r>
              <w:rPr>
                <w:rFonts w:ascii="Arial" w:cs="Arial" w:eastAsia="Arial" w:hAnsi="Arial"/>
                <w:i/>
                <w:iCs/>
                <w:color w:val="1A5276"/>
                <w:sz w:val="20"/>
                <w:szCs w:val="20"/>
              </w:rPr>
              <w:t xml:space="preserve">Recommendation: Prioritise Maharashtra and Karnataka for premium campaigns. Invest in Uttar Pradesh for volume growth given its large population base. Telangana and Tamil Nadu show strong southern market potential.</w:t>
            </w:r>
          </w:p>
        </w:tc>
      </w:tr>
    </w:tbl>
    <w:p>
      <w:pPr>
        <w:spacing w:after="80"/>
      </w:pPr>
      <w:r>
        <w:t xml:space="preserve"/>
      </w:r>
    </w:p>
    <w:p>
      <w:r>
        <w:br w:type="page"/>
      </w:r>
    </w:p>
    <w:p>
      <w:pPr>
        <w:pStyle w:val="Heading1"/>
        <w:shd w:fill="1F4E79" w:val="clear"/>
        <w:spacing w:before="320" w:after="200"/>
        <w:ind w:left="200" w:right="200"/>
      </w:pPr>
      <w:r>
        <w:rPr>
          <w:rFonts w:ascii="Arial" w:cs="Arial" w:eastAsia="Arial" w:hAnsi="Arial"/>
          <w:b/>
          <w:bCs/>
          <w:color w:val="FFFFFF"/>
          <w:sz w:val="36"/>
          <w:szCs w:val="36"/>
        </w:rPr>
        <w:t xml:space="preserve">8. Business Recommendations</w:t>
      </w:r>
    </w:p>
    <w:p>
      <w:pPr>
        <w:pStyle w:val="Heading2"/>
        <w:pBdr>
          <w:bottom w:val="single" w:color="2E75B6" w:sz="4" w:space="1"/>
        </w:pBdr>
        <w:spacing w:before="260" w:after="120"/>
      </w:pPr>
      <w:r>
        <w:rPr>
          <w:rFonts w:ascii="Arial" w:cs="Arial" w:eastAsia="Arial" w:hAnsi="Arial"/>
          <w:b/>
          <w:bCs/>
          <w:color w:val="2E75B6"/>
          <w:sz w:val="28"/>
          <w:szCs w:val="28"/>
        </w:rPr>
        <w:t xml:space="preserve">8.1 Customer Targeting</w:t>
      </w:r>
    </w:p>
    <w:p>
      <w:pPr>
        <w:pStyle w:val="ListParagraph"/>
        <w:numPr>
          <w:ilvl w:val="0"/>
          <w:numId w:val="2"/>
        </w:numPr>
        <w:spacing w:after="80"/>
      </w:pPr>
      <w:r>
        <w:rPr>
          <w:rFonts w:ascii="Arial" w:cs="Arial" w:eastAsia="Arial" w:hAnsi="Arial"/>
          <w:color w:val="333333"/>
          <w:sz w:val="22"/>
          <w:szCs w:val="22"/>
        </w:rPr>
        <w:t xml:space="preserve">Target adult and teenage women (55%+ of all orders) with personalised email campaigns and social media ads</w:t>
      </w:r>
    </w:p>
    <w:p>
      <w:pPr>
        <w:pStyle w:val="ListParagraph"/>
        <w:numPr>
          <w:ilvl w:val="0"/>
          <w:numId w:val="2"/>
        </w:numPr>
        <w:spacing w:after="80"/>
      </w:pPr>
      <w:r>
        <w:rPr>
          <w:rFonts w:ascii="Arial" w:cs="Arial" w:eastAsia="Arial" w:hAnsi="Arial"/>
          <w:color w:val="333333"/>
          <w:sz w:val="22"/>
          <w:szCs w:val="22"/>
        </w:rPr>
        <w:t xml:space="preserve">Design gender-specific loyalty programmes to retain the dominant female customer base</w:t>
      </w:r>
    </w:p>
    <w:p>
      <w:pPr>
        <w:pStyle w:val="ListParagraph"/>
        <w:numPr>
          <w:ilvl w:val="0"/>
          <w:numId w:val="2"/>
        </w:numPr>
        <w:spacing w:after="80"/>
      </w:pPr>
      <w:r>
        <w:rPr>
          <w:rFonts w:ascii="Arial" w:cs="Arial" w:eastAsia="Arial" w:hAnsi="Arial"/>
          <w:color w:val="333333"/>
          <w:sz w:val="22"/>
          <w:szCs w:val="22"/>
        </w:rPr>
        <w:t xml:space="preserve">Launch referral schemes incentivising women customers to bring in peer customers</w:t>
      </w:r>
    </w:p>
    <w:p>
      <w:pPr>
        <w:pStyle w:val="Heading2"/>
        <w:pBdr>
          <w:bottom w:val="single" w:color="2E75B6" w:sz="4" w:space="1"/>
        </w:pBdr>
        <w:spacing w:before="260" w:after="120"/>
      </w:pPr>
      <w:r>
        <w:rPr>
          <w:rFonts w:ascii="Arial" w:cs="Arial" w:eastAsia="Arial" w:hAnsi="Arial"/>
          <w:b/>
          <w:bCs/>
          <w:color w:val="2E75B6"/>
          <w:sz w:val="28"/>
          <w:szCs w:val="28"/>
        </w:rPr>
        <w:t xml:space="preserve">8.2 Channel Strategy</w:t>
      </w:r>
    </w:p>
    <w:p>
      <w:pPr>
        <w:pStyle w:val="ListParagraph"/>
        <w:numPr>
          <w:ilvl w:val="0"/>
          <w:numId w:val="2"/>
        </w:numPr>
        <w:spacing w:after="80"/>
      </w:pPr>
      <w:r>
        <w:rPr>
          <w:rFonts w:ascii="Arial" w:cs="Arial" w:eastAsia="Arial" w:hAnsi="Arial"/>
          <w:color w:val="333333"/>
          <w:sz w:val="22"/>
          <w:szCs w:val="22"/>
        </w:rPr>
        <w:t xml:space="preserve">Increase Amazon advertising spend — ROI is proven at 35% order share</w:t>
      </w:r>
    </w:p>
    <w:p>
      <w:pPr>
        <w:pStyle w:val="ListParagraph"/>
        <w:numPr>
          <w:ilvl w:val="0"/>
          <w:numId w:val="2"/>
        </w:numPr>
        <w:spacing w:after="80"/>
      </w:pPr>
      <w:r>
        <w:rPr>
          <w:rFonts w:ascii="Arial" w:cs="Arial" w:eastAsia="Arial" w:hAnsi="Arial"/>
          <w:color w:val="333333"/>
          <w:sz w:val="22"/>
          <w:szCs w:val="22"/>
        </w:rPr>
        <w:t xml:space="preserve">Invest in Myntra's fashion ecosystem for brand visibility and premium positioning</w:t>
      </w:r>
    </w:p>
    <w:p>
      <w:pPr>
        <w:pStyle w:val="ListParagraph"/>
        <w:numPr>
          <w:ilvl w:val="0"/>
          <w:numId w:val="2"/>
        </w:numPr>
        <w:spacing w:after="80"/>
      </w:pPr>
      <w:r>
        <w:rPr>
          <w:rFonts w:ascii="Arial" w:cs="Arial" w:eastAsia="Arial" w:hAnsi="Arial"/>
          <w:color w:val="333333"/>
          <w:sz w:val="22"/>
          <w:szCs w:val="22"/>
        </w:rPr>
        <w:t xml:space="preserve">Explore Ajio for higher average order value customers in the premium segment</w:t>
      </w:r>
    </w:p>
    <w:p>
      <w:pPr>
        <w:pStyle w:val="ListParagraph"/>
        <w:numPr>
          <w:ilvl w:val="0"/>
          <w:numId w:val="2"/>
        </w:numPr>
        <w:spacing w:after="80"/>
      </w:pPr>
      <w:r>
        <w:rPr>
          <w:rFonts w:ascii="Arial" w:cs="Arial" w:eastAsia="Arial" w:hAnsi="Arial"/>
          <w:color w:val="333333"/>
          <w:sz w:val="22"/>
          <w:szCs w:val="22"/>
        </w:rPr>
        <w:t xml:space="preserve">Test Meesho campaigns for volume growth in price-sensitive Tier 2–3 markets</w:t>
      </w:r>
    </w:p>
    <w:p>
      <w:pPr>
        <w:pStyle w:val="Heading2"/>
        <w:pBdr>
          <w:bottom w:val="single" w:color="2E75B6" w:sz="4" w:space="1"/>
        </w:pBdr>
        <w:spacing w:before="260" w:after="120"/>
      </w:pPr>
      <w:r>
        <w:rPr>
          <w:rFonts w:ascii="Arial" w:cs="Arial" w:eastAsia="Arial" w:hAnsi="Arial"/>
          <w:b/>
          <w:bCs/>
          <w:color w:val="2E75B6"/>
          <w:sz w:val="28"/>
          <w:szCs w:val="28"/>
        </w:rPr>
        <w:t xml:space="preserve">8.3 Regional Focus</w:t>
      </w:r>
    </w:p>
    <w:p>
      <w:pPr>
        <w:pStyle w:val="ListParagraph"/>
        <w:numPr>
          <w:ilvl w:val="0"/>
          <w:numId w:val="2"/>
        </w:numPr>
        <w:spacing w:after="80"/>
      </w:pPr>
      <w:r>
        <w:rPr>
          <w:rFonts w:ascii="Arial" w:cs="Arial" w:eastAsia="Arial" w:hAnsi="Arial"/>
          <w:color w:val="333333"/>
          <w:sz w:val="22"/>
          <w:szCs w:val="22"/>
        </w:rPr>
        <w:t xml:space="preserve">Concentrate outdoor and digital campaigns in Maharashtra, Karnataka, and Uttar Pradesh</w:t>
      </w:r>
    </w:p>
    <w:p>
      <w:pPr>
        <w:pStyle w:val="ListParagraph"/>
        <w:numPr>
          <w:ilvl w:val="0"/>
          <w:numId w:val="2"/>
        </w:numPr>
        <w:spacing w:after="80"/>
      </w:pPr>
      <w:r>
        <w:rPr>
          <w:rFonts w:ascii="Arial" w:cs="Arial" w:eastAsia="Arial" w:hAnsi="Arial"/>
          <w:color w:val="333333"/>
          <w:sz w:val="22"/>
          <w:szCs w:val="22"/>
        </w:rPr>
        <w:t xml:space="preserve">Expand logistics and warehouse partnerships in top-5 states for faster delivery</w:t>
      </w:r>
    </w:p>
    <w:p>
      <w:pPr>
        <w:pStyle w:val="ListParagraph"/>
        <w:numPr>
          <w:ilvl w:val="0"/>
          <w:numId w:val="2"/>
        </w:numPr>
        <w:spacing w:after="80"/>
      </w:pPr>
      <w:r>
        <w:rPr>
          <w:rFonts w:ascii="Arial" w:cs="Arial" w:eastAsia="Arial" w:hAnsi="Arial"/>
          <w:color w:val="333333"/>
          <w:sz w:val="22"/>
          <w:szCs w:val="22"/>
        </w:rPr>
        <w:t xml:space="preserve">Explore untapped metro markets in the south (Hyderabad, Chennai) through Telangana/Tamil Nadu data</w:t>
      </w:r>
    </w:p>
    <w:p>
      <w:pPr>
        <w:pStyle w:val="Heading2"/>
        <w:pBdr>
          <w:bottom w:val="single" w:color="2E75B6" w:sz="4" w:space="1"/>
        </w:pBdr>
        <w:spacing w:before="260" w:after="120"/>
      </w:pPr>
      <w:r>
        <w:rPr>
          <w:rFonts w:ascii="Arial" w:cs="Arial" w:eastAsia="Arial" w:hAnsi="Arial"/>
          <w:b/>
          <w:bCs/>
          <w:color w:val="2E75B6"/>
          <w:sz w:val="28"/>
          <w:szCs w:val="28"/>
        </w:rPr>
        <w:t xml:space="preserve">8.4 Seasonal &amp; Operational</w:t>
      </w:r>
    </w:p>
    <w:p>
      <w:pPr>
        <w:pStyle w:val="ListParagraph"/>
        <w:numPr>
          <w:ilvl w:val="0"/>
          <w:numId w:val="2"/>
        </w:numPr>
        <w:spacing w:after="80"/>
      </w:pPr>
      <w:r>
        <w:rPr>
          <w:rFonts w:ascii="Arial" w:cs="Arial" w:eastAsia="Arial" w:hAnsi="Arial"/>
          <w:color w:val="333333"/>
          <w:sz w:val="22"/>
          <w:szCs w:val="22"/>
        </w:rPr>
        <w:t xml:space="preserve">Launch festive-season campaigns (Diwali, Christmas) in October–December to reverse the H2 decline</w:t>
      </w:r>
    </w:p>
    <w:p>
      <w:pPr>
        <w:pStyle w:val="ListParagraph"/>
        <w:numPr>
          <w:ilvl w:val="0"/>
          <w:numId w:val="2"/>
        </w:numPr>
        <w:spacing w:after="80"/>
      </w:pPr>
      <w:r>
        <w:rPr>
          <w:rFonts w:ascii="Arial" w:cs="Arial" w:eastAsia="Arial" w:hAnsi="Arial"/>
          <w:color w:val="333333"/>
          <w:sz w:val="22"/>
          <w:szCs w:val="22"/>
        </w:rPr>
        <w:t xml:space="preserve">Introduce early-year new-arrivals campaigns to sustain the strong Jan–Mar momentum</w:t>
      </w:r>
    </w:p>
    <w:p>
      <w:pPr>
        <w:pStyle w:val="ListParagraph"/>
        <w:numPr>
          <w:ilvl w:val="0"/>
          <w:numId w:val="2"/>
        </w:numPr>
        <w:spacing w:after="80"/>
      </w:pPr>
      <w:r>
        <w:rPr>
          <w:rFonts w:ascii="Arial" w:cs="Arial" w:eastAsia="Arial" w:hAnsi="Arial"/>
          <w:color w:val="333333"/>
          <w:sz w:val="22"/>
          <w:szCs w:val="22"/>
        </w:rPr>
        <w:t xml:space="preserve">Investigate return and cancellation root causes; target reducing combined rate from 6% to under 4%</w:t>
      </w:r>
    </w:p>
    <w:p>
      <w:pPr>
        <w:pStyle w:val="ListParagraph"/>
        <w:numPr>
          <w:ilvl w:val="0"/>
          <w:numId w:val="2"/>
        </w:numPr>
        <w:spacing w:after="80"/>
      </w:pPr>
      <w:r>
        <w:rPr>
          <w:rFonts w:ascii="Arial" w:cs="Arial" w:eastAsia="Arial" w:hAnsi="Arial"/>
          <w:color w:val="333333"/>
          <w:sz w:val="22"/>
          <w:szCs w:val="22"/>
        </w:rPr>
        <w:t xml:space="preserve">Explore size recommendation tools or fit guides to reduce returns from sizing issues</w:t>
      </w:r>
    </w:p>
    <w:p>
      <w:pPr>
        <w:spacing w:after="80"/>
      </w:pPr>
      <w:r>
        <w:t xml:space="preserve"/>
      </w:r>
    </w:p>
    <w:p>
      <w:r>
        <w:br w:type="page"/>
      </w:r>
    </w:p>
    <w:p>
      <w:pPr>
        <w:pStyle w:val="Heading1"/>
        <w:shd w:fill="1F4E79" w:val="clear"/>
        <w:spacing w:before="320" w:after="200"/>
        <w:ind w:left="200" w:right="200"/>
      </w:pPr>
      <w:r>
        <w:rPr>
          <w:rFonts w:ascii="Arial" w:cs="Arial" w:eastAsia="Arial" w:hAnsi="Arial"/>
          <w:b/>
          <w:bCs/>
          <w:color w:val="FFFFFF"/>
          <w:sz w:val="36"/>
          <w:szCs w:val="36"/>
        </w:rPr>
        <w:t xml:space="preserve">9. Conclusion</w:t>
      </w:r>
    </w:p>
    <w:p>
      <w:pPr>
        <w:spacing w:after="200"/>
      </w:pPr>
      <w:r>
        <w:rPr>
          <w:rFonts w:ascii="Arial" w:cs="Arial" w:eastAsia="Arial" w:hAnsi="Arial"/>
          <w:b w:val="false"/>
          <w:bCs w:val="false"/>
          <w:color w:val="222222"/>
          <w:sz w:val="22"/>
          <w:szCs w:val="22"/>
        </w:rPr>
        <w:t xml:space="preserve">The 2022 annual analysis reveals that Vrinda Store has a strong operational foundation — a 92% delivery rate, broad multi-channel presence, and a loyal female customer base. However, there is meaningful growth potential in three areas:</w:t>
      </w:r>
    </w:p>
    <w:p>
      <w:pPr>
        <w:pStyle w:val="ListParagraph"/>
        <w:numPr>
          <w:ilvl w:val="0"/>
          <w:numId w:val="2"/>
        </w:numPr>
        <w:spacing w:after="80"/>
      </w:pPr>
      <w:r>
        <w:rPr>
          <w:rFonts w:ascii="Arial" w:cs="Arial" w:eastAsia="Arial" w:hAnsi="Arial"/>
          <w:color w:val="333333"/>
          <w:sz w:val="22"/>
          <w:szCs w:val="22"/>
        </w:rPr>
        <w:t xml:space="preserve">Seasonal revenue optimisation — H2 months significantly underperform H1</w:t>
      </w:r>
    </w:p>
    <w:p>
      <w:pPr>
        <w:pStyle w:val="ListParagraph"/>
        <w:numPr>
          <w:ilvl w:val="0"/>
          <w:numId w:val="2"/>
        </w:numPr>
        <w:spacing w:after="80"/>
      </w:pPr>
      <w:r>
        <w:rPr>
          <w:rFonts w:ascii="Arial" w:cs="Arial" w:eastAsia="Arial" w:hAnsi="Arial"/>
          <w:color w:val="333333"/>
          <w:sz w:val="22"/>
          <w:szCs w:val="22"/>
        </w:rPr>
        <w:t xml:space="preserve">Channel investment calibration — Amazon and Myntra are outperforming and merit more budget</w:t>
      </w:r>
    </w:p>
    <w:p>
      <w:pPr>
        <w:pStyle w:val="ListParagraph"/>
        <w:numPr>
          <w:ilvl w:val="0"/>
          <w:numId w:val="2"/>
        </w:numPr>
        <w:spacing w:after="80"/>
      </w:pPr>
      <w:r>
        <w:rPr>
          <w:rFonts w:ascii="Arial" w:cs="Arial" w:eastAsia="Arial" w:hAnsi="Arial"/>
          <w:color w:val="333333"/>
          <w:sz w:val="22"/>
          <w:szCs w:val="22"/>
        </w:rPr>
        <w:t xml:space="preserve">Demographic deepening — Women, especially adults and teenagers, represent the highest-ROI segment</w:t>
      </w:r>
    </w:p>
    <w:p>
      <w:pPr>
        <w:spacing w:after="80"/>
      </w:pPr>
      <w:r>
        <w:t xml:space="preserve"/>
      </w:r>
    </w:p>
    <w:p>
      <w:pPr>
        <w:spacing w:after="200"/>
      </w:pPr>
      <w:r>
        <w:rPr>
          <w:rFonts w:ascii="Arial" w:cs="Arial" w:eastAsia="Arial" w:hAnsi="Arial"/>
          <w:b w:val="false"/>
          <w:bCs w:val="false"/>
          <w:color w:val="222222"/>
          <w:sz w:val="22"/>
          <w:szCs w:val="22"/>
        </w:rPr>
        <w:t xml:space="preserve">By acting on the recommendations in this report, Vrinda Store can target 15–20% revenue growth in 2023 while improving customer satisfaction metrics through reduced return and cancellation rates.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4E79" w:val="clear"/>
            <w:tcMar>
              <w:top w:type="dxa" w:w="200"/>
              <w:left w:type="dxa" w:w="300"/>
              <w:bottom w:type="dxa" w:w="200"/>
              <w:right w:type="dxa" w:w="300"/>
            </w:tcMar>
          </w:tcPr>
          <w:p>
            <w:pPr>
              <w:jc w:val="center"/>
            </w:pPr>
            <w:r>
              <w:rPr>
                <w:rFonts w:ascii="Arial" w:cs="Arial" w:eastAsia="Arial" w:hAnsi="Arial"/>
                <w:i/>
                <w:iCs/>
                <w:color w:val="FFFFFF"/>
                <w:sz w:val="18"/>
                <w:szCs w:val="18"/>
              </w:rPr>
              <w:t xml:space="preserve">Vrinda Store Annual Report 2022  |  Prepared using Microsoft Excel &amp; Data Analysis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sz w:val="36"/>
      <w:szCs w:val="36"/>
    </w:rPr>
  </w:style>
  <w:style w:type="paragraph" w:styleId="Heading2">
    <w:name w:val="Heading 2"/>
    <w:basedOn w:val="Normal"/>
    <w:next w:val="Normal"/>
    <w:qFormat/>
    <w:pPr>
      <w:spacing w:before="240" w:after="12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da0bc9b6b3c407e75a540fa98d47ae456723cd8d.png"/><Relationship Id="rId7" Type="http://schemas.openxmlformats.org/officeDocument/2006/relationships/image" Target="media/481e9119352278da8fea4f7471717359e9e39489.png"/><Relationship Id="rId8" Type="http://schemas.openxmlformats.org/officeDocument/2006/relationships/image" Target="media/8bebc8653e8122246fcf43226c99425cf268f9cf.png"/><Relationship Id="rId9" Type="http://schemas.openxmlformats.org/officeDocument/2006/relationships/image" Target="media/3f8333edcfc4dee48aee985a6f44fcff6226b0d4.png"/><Relationship Id="rId10" Type="http://schemas.openxmlformats.org/officeDocument/2006/relationships/image" Target="media/af249bf932102611c1663be8e4f1361241d44fef.png"/><Relationship Id="rId11" Type="http://schemas.openxmlformats.org/officeDocument/2006/relationships/image" Target="media/d505dba06e23a57a4e58f841870277d5c94c538c.png"/><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2026-03-29T06:11:36.120Z</dcterms:created>
  <dcterms:modified xsi:type="dcterms:W3CDTF">2026-03-29T06:11:36.121Z</dcterms:modified>
</cp:coreProperties>
</file>

<file path=docProps/custom.xml><?xml version="1.0" encoding="utf-8"?>
<Properties xmlns="http://schemas.openxmlformats.org/officeDocument/2006/custom-properties" xmlns:vt="http://schemas.openxmlformats.org/officeDocument/2006/docPropsVTypes"/>
</file>