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3"/>
      <w:bookmarkEnd w:id="22"/>
      <w:r>
        <w:t xml:space="preserve">Упражнение 1.3</w:t>
      </w:r>
    </w:p>
    <w:p>
      <w:pPr>
        <w:pStyle w:val="FirstParagraph"/>
      </w:pPr>
      <w:r>
        <w:t xml:space="preserve">Необходимо вычислить молярную массу нефтяного газа и псевдокритические параметры смеси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Молярная масса, г/моль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c</m:t>
                  </m:r>
                </m:sub>
              </m:sSub>
            </m:oMath>
            <w:r>
              <w:t xml:space="preserve">, 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c</m:t>
                  </m:r>
                </m:sub>
              </m:sSub>
            </m:oMath>
            <w:r>
              <w:t xml:space="preserve">, бар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Расчетное</w:t>
            </w:r>
            <m:oMath>
              <m:sSub>
                <m:e>
                  <m:r>
                    <m:rPr/>
                    <m:t>P</m:t>
                  </m:r>
                </m:e>
                <m:sub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Расчетное</w:t>
            </w:r>
            <m:oMath>
              <m:sSub>
                <m:e>
                  <m:r>
                    <m:rPr/>
                    <m:t>T</m:t>
                  </m:r>
                </m:e>
                <m:sub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0.638</w:t>
            </w:r>
          </w:p>
        </w:tc>
        <w:tc>
          <w:p>
            <w:pPr>
              <w:pStyle w:val="Compact"/>
              <w:jc w:val="left"/>
            </w:pPr>
            <w:r>
              <w:t xml:space="preserve">28.014</w:t>
            </w:r>
          </w:p>
        </w:tc>
        <w:tc>
          <w:p>
            <w:pPr>
              <w:pStyle w:val="Compact"/>
              <w:jc w:val="left"/>
            </w:pPr>
            <w:r>
              <w:t xml:space="preserve">-146.95</w:t>
            </w:r>
          </w:p>
        </w:tc>
        <w:tc>
          <w:p>
            <w:pPr>
              <w:pStyle w:val="Compact"/>
              <w:jc w:val="left"/>
            </w:pPr>
            <w:r>
              <w:t xml:space="preserve">33.94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C</m:t>
              </m:r>
              <m:sSub>
                <m:e>
                  <m:r>
                    <m:rPr/>
                    <m:t>O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0.817</w:t>
            </w:r>
          </w:p>
        </w:tc>
        <w:tc>
          <w:p>
            <w:pPr>
              <w:pStyle w:val="Compact"/>
              <w:jc w:val="left"/>
            </w:pPr>
            <w:r>
              <w:t xml:space="preserve">44.01</w:t>
            </w:r>
          </w:p>
        </w:tc>
        <w:tc>
          <w:p>
            <w:pPr>
              <w:pStyle w:val="Compact"/>
              <w:jc w:val="left"/>
            </w:pPr>
            <w:r>
              <w:t xml:space="preserve">31.05</w:t>
            </w:r>
          </w:p>
        </w:tc>
        <w:tc>
          <w:p>
            <w:pPr>
              <w:pStyle w:val="Compact"/>
              <w:jc w:val="left"/>
            </w:pPr>
            <w:r>
              <w:t xml:space="preserve">73.76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71.431</w:t>
            </w:r>
          </w:p>
        </w:tc>
        <w:tc>
          <w:p>
            <w:pPr>
              <w:pStyle w:val="Compact"/>
              <w:jc w:val="left"/>
            </w:pPr>
            <w:r>
              <w:t xml:space="preserve">16.043</w:t>
            </w:r>
          </w:p>
        </w:tc>
        <w:tc>
          <w:p>
            <w:pPr>
              <w:pStyle w:val="Compact"/>
              <w:jc w:val="left"/>
            </w:pPr>
            <w:r>
              <w:t xml:space="preserve">-82.55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12.374</w:t>
            </w:r>
          </w:p>
        </w:tc>
        <w:tc>
          <w:p>
            <w:pPr>
              <w:pStyle w:val="Compact"/>
              <w:jc w:val="left"/>
            </w:pPr>
            <w:r>
              <w:t xml:space="preserve">30.07</w:t>
            </w:r>
          </w:p>
        </w:tc>
        <w:tc>
          <w:p>
            <w:pPr>
              <w:pStyle w:val="Compact"/>
              <w:jc w:val="left"/>
            </w:pPr>
            <w:r>
              <w:t xml:space="preserve">32.25</w:t>
            </w:r>
          </w:p>
        </w:tc>
        <w:tc>
          <w:p>
            <w:pPr>
              <w:pStyle w:val="Compact"/>
              <w:jc w:val="left"/>
            </w:pPr>
            <w:r>
              <w:t xml:space="preserve">48.84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10.016</w:t>
            </w:r>
          </w:p>
        </w:tc>
        <w:tc>
          <w:p>
            <w:pPr>
              <w:pStyle w:val="Compact"/>
              <w:jc w:val="left"/>
            </w:pPr>
            <w:r>
              <w:t xml:space="preserve">44.097</w:t>
            </w:r>
          </w:p>
        </w:tc>
        <w:tc>
          <w:p>
            <w:pPr>
              <w:pStyle w:val="Compact"/>
              <w:jc w:val="left"/>
            </w:pPr>
            <w:r>
              <w:t xml:space="preserve">96.65</w:t>
            </w:r>
          </w:p>
        </w:tc>
        <w:tc>
          <w:p>
            <w:pPr>
              <w:pStyle w:val="Compact"/>
              <w:jc w:val="left"/>
            </w:pPr>
            <w:r>
              <w:t xml:space="preserve">42.46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1.076</w:t>
            </w:r>
          </w:p>
        </w:tc>
        <w:tc>
          <w:p>
            <w:pPr>
              <w:pStyle w:val="Compact"/>
              <w:jc w:val="left"/>
            </w:pPr>
            <w:r>
              <w:t xml:space="preserve">58.124</w:t>
            </w:r>
          </w:p>
        </w:tc>
        <w:tc>
          <w:p>
            <w:pPr>
              <w:pStyle w:val="Compact"/>
              <w:jc w:val="left"/>
            </w:pPr>
            <w:r>
              <w:t xml:space="preserve">134.95</w:t>
            </w:r>
          </w:p>
        </w:tc>
        <w:tc>
          <w:p>
            <w:pPr>
              <w:pStyle w:val="Compact"/>
              <w:jc w:val="left"/>
            </w:pPr>
            <w:r>
              <w:t xml:space="preserve">36.48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2.649</w:t>
            </w:r>
          </w:p>
        </w:tc>
        <w:tc>
          <w:p>
            <w:pPr>
              <w:pStyle w:val="Compact"/>
              <w:jc w:val="left"/>
            </w:pPr>
            <w:r>
              <w:t xml:space="preserve">58.124</w:t>
            </w:r>
          </w:p>
        </w:tc>
        <w:tc>
          <w:p>
            <w:pPr>
              <w:pStyle w:val="Compact"/>
              <w:jc w:val="left"/>
            </w:pPr>
            <w:r>
              <w:t xml:space="preserve">152.05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0.382</w:t>
            </w:r>
          </w:p>
        </w:tc>
        <w:tc>
          <w:p>
            <w:pPr>
              <w:pStyle w:val="Compact"/>
              <w:jc w:val="left"/>
            </w:pPr>
            <w:r>
              <w:t xml:space="preserve">72.151</w:t>
            </w:r>
          </w:p>
        </w:tc>
        <w:tc>
          <w:p>
            <w:pPr>
              <w:pStyle w:val="Compact"/>
              <w:jc w:val="left"/>
            </w:pPr>
            <w:r>
              <w:t xml:space="preserve">187.25</w:t>
            </w:r>
          </w:p>
        </w:tc>
        <w:tc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72.151</w:t>
            </w:r>
          </w:p>
        </w:tc>
        <w:tc>
          <w:p>
            <w:pPr>
              <w:pStyle w:val="Compact"/>
              <w:jc w:val="left"/>
            </w:pPr>
            <w:r>
              <w:t xml:space="preserve">196.45</w:t>
            </w:r>
          </w:p>
        </w:tc>
        <w:tc>
          <w:p>
            <w:pPr>
              <w:pStyle w:val="Compact"/>
              <w:jc w:val="left"/>
            </w:pPr>
            <w:r>
              <w:t xml:space="preserve">33.74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86.178</w:t>
            </w:r>
          </w:p>
        </w:tc>
        <w:tc>
          <w:p>
            <w:pPr>
              <w:pStyle w:val="Compact"/>
              <w:jc w:val="left"/>
            </w:pPr>
            <w:r>
              <w:t xml:space="preserve">234.25</w:t>
            </w:r>
          </w:p>
        </w:tc>
        <w:tc>
          <w:p>
            <w:pPr>
              <w:pStyle w:val="Compact"/>
              <w:jc w:val="left"/>
            </w:pPr>
            <w:r>
              <w:t xml:space="preserve">29.69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алгоритм-расчета"/>
      <w:bookmarkEnd w:id="23"/>
      <w:r>
        <w:t xml:space="preserve">Алгоритм расчета</w:t>
      </w:r>
    </w:p>
    <w:p>
      <w:pPr>
        <w:numPr>
          <w:numId w:val="1001"/>
          <w:ilvl w:val="0"/>
        </w:numPr>
      </w:pPr>
      <w:r>
        <w:t xml:space="preserve">Молярная масса смеси определяется как сумма произведений мольной концентрации каждого компонента на его молярную массу:</w:t>
      </w:r>
      <w:r>
        <w:br w:type="textWrapping"/>
      </w:r>
    </w:p>
    <w:p>
      <w:pPr>
        <w:pStyle w:val="BodyText"/>
      </w:pPr>
      <w:r>
        <w:t xml:space="preserve">$$
 M_{см}=\sum_{i=1}^{N}{a_i\times M_i}
 \tag{1}
 $$</w:t>
      </w:r>
    </w:p>
    <w:p>
      <w:pPr>
        <w:pStyle w:val="BlockText"/>
        <w:numPr>
          <w:numId w:val="1000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- мольная доля компонента, д.ед.</w:t>
      </w:r>
    </w:p>
    <w:p>
      <w:pPr>
        <w:numPr>
          <w:numId w:val="1001"/>
          <w:ilvl w:val="0"/>
        </w:numPr>
      </w:pPr>
      <w:r>
        <w:t xml:space="preserve">Псевдокритические температура и давление определяются по формулам:</w:t>
      </w:r>
    </w:p>
    <w:p>
      <w:pPr>
        <w:pStyle w:val="FirstParagraph"/>
      </w:pPr>
      <w:r>
        <w:t xml:space="preserve">$$
P_c = \sum_{i=1}^{N}{a_i\times P_{c_{i}}}
\tag{2}$$</w:t>
      </w:r>
    </w:p>
    <w:p>
      <w:pPr>
        <w:pStyle w:val="BodyText"/>
      </w:pPr>
      <w:r>
        <w:t xml:space="preserve">$$
T_c = \sum_{i=1}^{N}{a_i\times T_{c_{i}}}
\tag{3}$$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6da9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a727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