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1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2" w:name="упражнение-1.6"/>
      <w:bookmarkEnd w:id="22"/>
      <w:r>
        <w:t xml:space="preserve">Упражнение 1.6</w:t>
      </w:r>
    </w:p>
    <w:p>
      <w:pPr>
        <w:pStyle w:val="FirstParagraph"/>
      </w:pPr>
      <w:r>
        <w:t xml:space="preserve">Известно, что при давлении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70</m:t>
        </m:r>
        <m:r>
          <m:rPr/>
          <m:t> </m:t>
        </m:r>
        <m:r>
          <m:rPr/>
          <m:t>б</m:t>
        </m:r>
        <m:r>
          <m:rPr/>
          <m:t>а</m:t>
        </m:r>
        <m:r>
          <m:rPr/>
          <m:t>р</m:t>
        </m:r>
      </m:oMath>
      <w:r>
        <w:t xml:space="preserve"> </w:t>
      </w:r>
      <w:r>
        <w:t xml:space="preserve">объемный коэффициент нефти равен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o</m:t>
            </m:r>
            <m:sSub>
              <m:e>
                <m:r>
                  <m:rPr/>
                  <m:t/>
                </m:r>
              </m:e>
              <m:sub>
                <m:r>
                  <m:rPr/>
                  <m:t>1</m:t>
                </m:r>
              </m:sub>
            </m:sSub>
          </m:sub>
        </m:sSub>
        <m:r>
          <m:rPr/>
          <m:t>=</m:t>
        </m:r>
        <m:r>
          <m:rPr/>
          <m:t>1.1</m:t>
        </m:r>
      </m:oMath>
      <w:r>
        <w:t xml:space="preserve">.</w:t>
      </w:r>
    </w:p>
    <w:p>
      <w:pPr>
        <w:pStyle w:val="BodyText"/>
      </w:pPr>
      <w:r>
        <w:t xml:space="preserve">Найти, чему будет равен объемный коэффициент нефти</w:t>
      </w:r>
      <w:r>
        <w:t xml:space="preserve"> </w:t>
      </w:r>
      <m:oMath>
        <m:sSub>
          <m:e>
            <m:r>
              <m:rPr/>
              <m:t>B</m:t>
            </m:r>
          </m:e>
          <m:sub>
            <m:sSub>
              <m:e>
                <m:r>
                  <m:rPr/>
                  <m:t>o</m:t>
                </m:r>
              </m:e>
              <m:sub>
                <m:r>
                  <m:rPr/>
                  <m:t>2</m:t>
                </m:r>
              </m:sub>
            </m:sSub>
          </m:sub>
        </m:sSub>
      </m:oMath>
      <w:r>
        <w:t xml:space="preserve"> </w:t>
      </w:r>
      <w:r>
        <w:t xml:space="preserve">при давлении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100</m:t>
        </m:r>
        <m:r>
          <m:rPr/>
          <m:t> </m:t>
        </m:r>
        <m:r>
          <m:rPr/>
          <m:t>б</m:t>
        </m:r>
        <m:r>
          <m:rPr/>
          <m:t>а</m:t>
        </m:r>
        <m:r>
          <m:rPr/>
          <m:t>р</m:t>
        </m:r>
      </m:oMath>
      <w:r>
        <w:t xml:space="preserve"> </w:t>
      </w:r>
      <w:r>
        <w:t xml:space="preserve">в приближении постоянной сжимаемости нефти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o</m:t>
            </m:r>
          </m:sub>
        </m:sSub>
        <m:r>
          <m:rPr/>
          <m:t>=</m:t>
        </m:r>
        <m:r>
          <m:rPr/>
          <m:t>5</m:t>
        </m:r>
        <m:r>
          <m:rPr/>
          <m:t>⋅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4</m:t>
            </m:r>
          </m:sup>
        </m:sSup>
        <m:r>
          <m:rPr/>
          <m:t> 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б</m:t>
            </m:r>
            <m:r>
              <m:rPr/>
              <m:t>а</m:t>
            </m:r>
            <m:r>
              <m:rPr/>
              <m:t>р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Подробную информацию об определении объемного коэффициента нефти можно найти в книге “</w:t>
      </w:r>
      <w:hyperlink r:id="rId23">
        <w:r>
          <w:rPr>
            <w:rStyle w:val="Hyperlink"/>
          </w:rPr>
          <w:t xml:space="preserve">Многофазный поток в скважинах</w:t>
        </w:r>
      </w:hyperlink>
      <w:r>
        <w:t xml:space="preserve">” в Приложении В.</w:t>
      </w:r>
    </w:p>
    <w:p>
      <w:pPr>
        <w:pStyle w:val="Heading1"/>
      </w:pPr>
      <w:bookmarkStart w:id="24" w:name="алгоритм-расчета"/>
      <w:bookmarkEnd w:id="24"/>
      <w:r>
        <w:t xml:space="preserve">Алгоритм расчета</w:t>
      </w:r>
    </w:p>
    <w:p>
      <w:pPr>
        <w:pStyle w:val="Compact"/>
        <w:numPr>
          <w:numId w:val="1001"/>
          <w:ilvl w:val="0"/>
        </w:numPr>
      </w:pPr>
      <w:r>
        <w:t xml:space="preserve">Найти необходимую формулу для определения объемного коэффициента нефти, основываясь на предоставленных исходных данных.</w:t>
      </w:r>
    </w:p>
    <w:p>
      <w:pPr>
        <w:pStyle w:val="Compact"/>
        <w:numPr>
          <w:numId w:val="1001"/>
          <w:ilvl w:val="0"/>
        </w:numPr>
      </w:pPr>
      <w:r>
        <w:t xml:space="preserve">Определить объемный коэффициент.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da27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fb8b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mpt1901.github.io/" TargetMode="External" /><Relationship Type="http://schemas.openxmlformats.org/officeDocument/2006/relationships/hyperlink" Id="rId23" Target="https://mpt1901.github.io/files/%D0%9C%D0%BD%D0%BE%D0%B3%D0%BE%D1%84%D0%B0%D0%B7%D0%BD%D1%8B%D0%B9%20%D0%BF%D0%BE%D1%82%D0%BE%D0%BA%20%D0%B2%20%D1%81%D0%BA%D0%B2%D0%B0%D0%B6%D0%B8%D0%BD%D0%B0%D1%85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pt1901.github.io/" TargetMode="External" /><Relationship Type="http://schemas.openxmlformats.org/officeDocument/2006/relationships/hyperlink" Id="rId23" Target="https://mpt1901.github.io/files/%D0%9C%D0%BD%D0%BE%D0%B3%D0%BE%D1%84%D0%B0%D0%B7%D0%BD%D1%8B%D0%B9%20%D0%BF%D0%BE%D1%82%D0%BE%D0%BA%20%D0%B2%20%D1%81%D0%BA%D0%B2%D0%B0%D0%B6%D0%B8%D0%BD%D0%B0%D1%8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