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DSC</w:t>
      </w:r>
      <w:r>
        <w:t xml:space="preserve">		6/24/2026</w:t>
      </w:r>
    </w:p>
    <w:p/>
    <w:p>
      <w:r>
        <w:rPr>
          <w:b w:val="false"/>
          <w:bCs w:val="false"/>
        </w:rPr>
        <w:t xml:space="preserve">Annual Business Report 2026</w:t>
      </w:r>
    </w:p>
    <w:p/>
    <w:p>
      <w:r>
        <w:t xml:space="preserve">[INSERT LOGO HERE — replace with DSC logo image]</w:t>
      </w:r>
    </w:p>
    <w:p/>
    <w:p>
      <w:r>
        <w:t xml:space="preserve">[INSERT TAGLINE TEXT BOX HERE]</w:t>
      </w:r>
    </w:p>
    <w:p/>
    <w:p>
      <w:r>
        <w:t xml:space="preserve">Executive Summary</w:t>
      </w:r>
    </w:p>
    <w:p>
      <w:r>
        <w:t xml:space="preserve">DSC is pleased to present its Annual Business Report for fiscal year 2026. The firm delivered exceptional results, achieving record revenue of $4.2 million — a 23% increase over the prior year.</w:t>
      </w:r>
    </w:p>
    <w:p>
      <w:r>
        <w:t xml:space="preserve">Our consulting teams served 26 active client engagements across Nevada's hospitality, real estate, technology, and healthcare sectors. DSC expanded its workforce by 12 full-time consultants and opened a second office location in Henderson, Nevada.</w:t>
      </w:r>
    </w:p>
    <w:p/>
    <w:p>
      <w:r>
        <w:t xml:space="preserve">Financial Summary</w:t>
      </w:r>
    </w:p>
    <w:p>
      <w:r>
        <w:t xml:space="preserve">Total revenue for fiscal year 2026 reached $4,200,000, representing a 23% increase over the prior year. Operating expenses were managed effectively at $2,725,000, resulting in a net profit of $1,475,000.</w:t>
      </w:r>
    </w:p>
    <w:p/>
    <w:p>
      <w:r>
        <w:t xml:space="preserve">Quarterly Revenue</w:t>
      </w:r>
    </w:p>
    <w:p>
      <w:r>
        <w:t xml:space="preserve">Quarter | Revenue | Expenses | Net Profit</w:t>
      </w:r>
    </w:p>
    <w:p>
      <w:r>
        <w:t xml:space="preserve">Q1 2026 | $985,000 | $640,000 | $345,000</w:t>
      </w:r>
    </w:p>
    <w:p>
      <w:r>
        <w:t xml:space="preserve">Q2 2026 | $1,045,000 | $678,000 | $367,000</w:t>
      </w:r>
    </w:p>
    <w:p>
      <w:r>
        <w:t xml:space="preserve">Q3 2026 | $1,120,000 | $715,000 | $405,000</w:t>
      </w:r>
    </w:p>
    <w:p>
      <w:r>
        <w:t xml:space="preserve">Q4 2026 | $1,050,000 | $692,000 | $358,000</w:t>
      </w:r>
    </w:p>
    <w:p/>
    <w:p>
      <w:r>
        <w:t xml:space="preserve">Client Portfolio</w:t>
      </w:r>
    </w:p>
    <w:p>
      <w:r>
        <w:t xml:space="preserve">DSC expanded from 18 to 26 active client engagements during 2026. The client list below has not yet been sorted alphabetically.</w:t>
      </w:r>
    </w:p>
    <w:p>
      <w:r>
        <w:t xml:space="preserve">Southwest Tech Solutions | Technology | Q3</w:t>
      </w:r>
    </w:p>
    <w:p>
      <w:r>
        <w:t xml:space="preserve">Nevada Valley Bank | Financial Services | Q1</w:t>
      </w:r>
    </w:p>
    <w:p>
      <w:r>
        <w:t xml:space="preserve">Oasis Events Management | Events | Q3</w:t>
      </w:r>
    </w:p>
    <w:p>
      <w:r>
        <w:t xml:space="preserve">Desert Medical Group | Healthcare | Q2</w:t>
      </w:r>
    </w:p>
    <w:p>
      <w:r>
        <w:t xml:space="preserve">Las Vegas Convention Authority | Hospitality | Q2</w:t>
      </w:r>
    </w:p>
    <w:p>
      <w:r>
        <w:t xml:space="preserve">CSN Foundation | Education | Q4</w:t>
      </w:r>
    </w:p>
    <w:p/>
    <w:p>
      <w:r>
        <w:t xml:space="preserve">Strategic Objectives</w:t>
      </w:r>
    </w:p>
    <w:p>
      <w:r>
        <w:t xml:space="preserve">Expand client base in the Nevada technology sector</w:t>
      </w:r>
    </w:p>
    <w:p>
      <w:r>
        <w:t xml:space="preserve">Launch sustainability consulting service line</w:t>
      </w:r>
    </w:p>
    <w:p>
      <w:r>
        <w:t xml:space="preserve">Achieve $4 million in annual revenue</w:t>
      </w:r>
    </w:p>
    <w:p>
      <w:r>
        <w:t xml:space="preserve">Hire 8 additional consultants by Q3</w:t>
      </w:r>
    </w:p>
    <w:p>
      <w:r>
        <w:t xml:space="preserve">Open second office location in Henderson, Nevada</w:t>
      </w:r>
    </w:p>
    <w:p/>
    <w:p>
      <w:r>
        <w:t xml:space="preserve">Services Offered</w:t>
      </w:r>
    </w:p>
    <w:p>
      <w:r>
        <w:t xml:space="preserve">Management Consulting</w:t>
      </w:r>
    </w:p>
    <w:p>
      <w:r>
        <w:t xml:space="preserve">Strategic Planning</w:t>
      </w:r>
    </w:p>
    <w:p>
      <w:r>
        <w:t xml:space="preserve">Organizational Development</w:t>
      </w:r>
    </w:p>
    <w:p>
      <w:r>
        <w:t xml:space="preserve">Financial Advisory</w:t>
      </w:r>
    </w:p>
    <w:p>
      <w:r>
        <w:t xml:space="preserve">Business Valuation</w:t>
      </w:r>
    </w:p>
    <w:p>
      <w:r>
        <w:t xml:space="preserve">Mergers and Acquisitions</w:t>
      </w:r>
    </w:p>
    <w:p>
      <w:r>
        <w:t xml:space="preserve">Technology Consulting</w:t>
      </w:r>
    </w:p>
    <w:p>
      <w:r>
        <w:t xml:space="preserve">Digital Transformation</w:t>
      </w:r>
    </w:p>
    <w:p>
      <w:r>
        <w:t xml:space="preserve">IT Strategy</w:t>
      </w:r>
    </w:p>
    <w:p>
      <w:r>
        <w:t xml:space="preserve">Human Resources</w:t>
      </w:r>
    </w:p>
    <w:p>
      <w:r>
        <w:t xml:space="preserve">Talent Acquisition</w:t>
      </w:r>
    </w:p>
    <w:p>
      <w:r>
        <w:t xml:space="preserve">Training and Development</w:t>
      </w:r>
    </w:p>
    <w:p/>
    <w:p>
      <w:r>
        <w:t xml:space="preserve">Organizational Structure</w:t>
      </w:r>
    </w:p>
    <w:p>
      <w:r>
        <w:t xml:space="preserve">DSC operates through three practice areas: Management Consulting, Technology Consulting, and Human Resources. Each practice area is led by a Managing Partner reporting to the Chief Executive Officer.</w:t>
      </w:r>
    </w:p>
    <w:p/>
    <w:p>
      <w:r>
        <w:t xml:space="preserve">Conclusion</w:t>
      </w:r>
    </w:p>
    <w:p>
      <w:r>
        <w:t xml:space="preserve">Fiscal year 2026 was a landmark year for DSC. Our record revenue, expanded client base, and strategic market positioning reflect the strength of our team and the trust our clients place in our work. We enter 2027 with strong momentum and clear strategic direction.</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themeColor="accent1" w:themeShade="BF"/>
      <w:sz w:val="32"/>
      <w:szCs w:val="32"/>
    </w:rPr>
  </w:style>
  <w:style w:type="paragraph" w:styleId="Heading2">
    <w:name w:val="Heading 2"/>
    <w:basedOn w:val="Normal"/>
    <w:next w:val="Normal"/>
    <w:qFormat/>
    <w:rPr>
      <w:color w:val="2E74B5" w:themeColor="accent1" w:themeShade="B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themeColor="accent1" w:themeShade="BF"/>
    </w:rPr>
  </w:style>
  <w:style w:type="paragraph" w:styleId="Heading5">
    <w:name w:val="Heading 5"/>
    <w:basedOn w:val="Normal"/>
    <w:next w:val="Normal"/>
    <w:qFormat/>
    <w:rPr>
      <w:color w:val="2E74B5" w:themeColor="accent1" w:themeShade="BF"/>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2026-06-27T07:28:28.761Z</dcterms:created>
  <dcterms:modified xsi:type="dcterms:W3CDTF">2026-06-27T07:28:28.761Z</dcterms:modified>
</cp:coreProperties>
</file>

<file path=docProps/custom.xml><?xml version="1.0" encoding="utf-8"?>
<Properties xmlns="http://schemas.openxmlformats.org/officeDocument/2006/custom-properties" xmlns:vt="http://schemas.openxmlformats.org/officeDocument/2006/docPropsVTypes"/>
</file>