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FF2CC" w:val="clear"/>
        <w:spacing w:after="60" w:before="120"/>
      </w:pPr>
      <w:r>
        <w:rPr>
          <w:rFonts w:ascii="Arial" w:cs="Arial" w:eastAsia="Arial" w:hAnsi="Arial"/>
          <w:b/>
          <w:bCs/>
          <w:color w:val="7A4100"/>
          <w:sz w:val="20"/>
          <w:szCs w:val="20"/>
          <w:highlight w:val="yellow"/>
          <w:highlightCs w:val="yellow"/>
        </w:rPr>
        <w:t xml:space="preserve">[INSTRUCTION] COVER PAGE — Apply Shaded style set. Add NVH logo placeholder, header, footer, watermark, TOC, document properties, and remove hidden properties.</w:t>
      </w:r>
    </w:p>
    <w:p>
      <w:r>
        <w:t xml:space="preserve"/>
      </w:r>
    </w:p>
    <w:p>
      <w:r>
        <w:t xml:space="preserve"/>
      </w:r>
    </w:p>
    <w:p>
      <w:r>
        <w:t xml:space="preserve"/>
      </w:r>
    </w:p>
    <w:p>
      <w:pPr>
        <w:jc w:val="center"/>
      </w:pPr>
      <w:r>
        <w:rPr>
          <w:rFonts w:ascii="Arial" w:cs="Arial" w:eastAsia="Arial" w:hAnsi="Arial"/>
          <w:b/>
          <w:bCs/>
          <w:color w:val="1F5C91"/>
          <w:sz w:val="56"/>
          <w:szCs w:val="56"/>
        </w:rPr>
        <w:t xml:space="preserve">Nevada Valley Healthcare</w:t>
      </w:r>
    </w:p>
    <w:p>
      <w:pPr>
        <w:jc w:val="center"/>
      </w:pPr>
      <w:r>
        <w:rPr>
          <w:rFonts w:ascii="Arial" w:cs="Arial" w:eastAsia="Arial" w:hAnsi="Arial"/>
          <w:b/>
          <w:bCs/>
          <w:sz w:val="40"/>
          <w:szCs w:val="40"/>
        </w:rPr>
        <w:t xml:space="preserve">Employee Training Manual</w:t>
      </w:r>
    </w:p>
    <w:p>
      <w:pPr>
        <w:jc w:val="center"/>
      </w:pPr>
      <w:r>
        <w:rPr>
          <w:rFonts w:ascii="Arial" w:cs="Arial" w:eastAsia="Arial" w:hAnsi="Arial"/>
          <w:sz w:val="28"/>
          <w:szCs w:val="28"/>
        </w:rPr>
        <w:t xml:space="preserve">Human Resources Department</w:t>
      </w:r>
    </w:p>
    <w:p>
      <w:pPr>
        <w:jc w:val="center"/>
      </w:pPr>
      <w:r>
        <w:rPr>
          <w:rFonts w:ascii="Arial" w:cs="Arial" w:eastAsia="Arial" w:hAnsi="Arial"/>
          <w:sz w:val="24"/>
          <w:szCs w:val="24"/>
        </w:rPr>
        <w:t xml:space="preserve">Las Vegas, Nevada | 2026</w:t>
      </w:r>
    </w:p>
    <w:p>
      <w:r>
        <w:t xml:space="preserve"/>
      </w:r>
    </w:p>
    <w:p>
      <w:pPr>
        <w:jc w:val="center"/>
      </w:pPr>
      <w:r>
        <w:rPr>
          <w:rFonts w:ascii="Arial" w:cs="Arial" w:eastAsia="Arial" w:hAnsi="Arial"/>
          <w:i/>
          <w:iCs/>
          <w:color w:val="888888"/>
          <w:sz w:val="20"/>
          <w:szCs w:val="20"/>
        </w:rPr>
        <w:t xml:space="preserve">[LOGO PLACEHOLDER — Insert NVH logo here, apply Soft Edge picture style, set wrapping to Square]</w:t>
      </w:r>
    </w:p>
    <w:p>
      <w:r>
        <w:t xml:space="preserve"/>
      </w:r>
    </w:p>
    <w:p>
      <w:r>
        <w:t xml:space="preserve"/>
      </w:r>
    </w:p>
    <w:p>
      <w:pPr>
        <w:shd w:fill="FFF2CC" w:val="clear"/>
        <w:spacing w:after="60" w:before="120"/>
      </w:pPr>
      <w:r>
        <w:rPr>
          <w:rFonts w:ascii="Arial" w:cs="Arial" w:eastAsia="Arial" w:hAnsi="Arial"/>
          <w:b/>
          <w:bCs/>
          <w:color w:val="7A4100"/>
          <w:sz w:val="20"/>
          <w:szCs w:val="20"/>
          <w:highlight w:val="yellow"/>
          <w:highlightCs w:val="yellow"/>
        </w:rPr>
        <w:t xml:space="preserve">[INSTRUCTION] CHAPTER 1 — Apply Heading 1 to chapter titles. Apply Heading 2 to section titles. Set body text to double-spaced. Set 12pt spacing before Heading 1. Insert page break before each chapter.</w:t>
      </w:r>
    </w:p>
    <w:p>
      <w:pPr>
        <w:pStyle w:val="Heading1"/>
      </w:pPr>
      <w:r>
        <w:rPr>
          <w:rFonts w:ascii="Arial" w:cs="Arial" w:eastAsia="Arial" w:hAnsi="Arial"/>
          <w:b/>
          <w:bCs/>
          <w:sz w:val="32"/>
          <w:szCs w:val="32"/>
        </w:rPr>
        <w:t xml:space="preserve">Chapter 1: Welcome to NVH</w:t>
      </w:r>
    </w:p>
    <w:p>
      <w:pPr>
        <w:spacing w:after="60" w:before="60"/>
      </w:pPr>
      <w:r>
        <w:rPr>
          <w:rFonts w:ascii="Arial" w:cs="Arial" w:eastAsia="Arial" w:hAnsi="Arial"/>
          <w:sz w:val="24"/>
          <w:szCs w:val="24"/>
        </w:rPr>
        <w:t xml:space="preserve">Welcome to Nevada Valley Healthcare (NVH). We are proud to have you join our team of dedicated healthcare professionals serving the Las Vegas community. This training manual will guide you through everything you need to know for a successful start at NVH.</w:t>
      </w:r>
    </w:p>
    <w:p>
      <w:pPr>
        <w:spacing w:after="60" w:before="60"/>
      </w:pPr>
      <w:r>
        <w:rPr>
          <w:rFonts w:ascii="Arial" w:cs="Arial" w:eastAsia="Arial" w:hAnsi="Arial"/>
          <w:sz w:val="24"/>
          <w:szCs w:val="24"/>
        </w:rPr>
        <w:t xml:space="preserve">NVH operates three medical centers across the Las Vegas valley, employing over 800 healthcare professionals. Our mission is to provide compassionate, high-quality medical care to every patient we serve.</w:t>
      </w:r>
    </w:p>
    <w:p>
      <w:pPr>
        <w:pStyle w:val="Heading2"/>
      </w:pPr>
      <w:r>
        <w:rPr>
          <w:rFonts w:ascii="Arial" w:cs="Arial" w:eastAsia="Arial" w:hAnsi="Arial"/>
          <w:b/>
          <w:bCs/>
          <w:sz w:val="28"/>
          <w:szCs w:val="28"/>
        </w:rPr>
        <w:t xml:space="preserve">1.1 Our Mission and Values</w:t>
      </w:r>
    </w:p>
    <w:p>
      <w:pPr>
        <w:spacing w:after="60" w:before="60"/>
      </w:pPr>
      <w:r>
        <w:rPr>
          <w:rFonts w:ascii="Arial" w:cs="Arial" w:eastAsia="Arial" w:hAnsi="Arial"/>
          <w:sz w:val="24"/>
          <w:szCs w:val="24"/>
        </w:rPr>
        <w:t xml:space="preserve">NVH is committed to excellence in patient care, respect for all individuals, and continuous improvement. Our core values include:</w:t>
      </w:r>
    </w:p>
    <w:p>
      <w:pPr>
        <w:spacing w:after="60" w:before="60"/>
      </w:pPr>
      <w:r>
        <w:rPr>
          <w:rFonts w:ascii="Arial" w:cs="Arial" w:eastAsia="Arial" w:hAnsi="Arial"/>
          <w:sz w:val="24"/>
          <w:szCs w:val="24"/>
        </w:rPr>
        <w:t xml:space="preserve">Compassion — We treat every patient and colleague with dignity and empathy.</w:t>
      </w:r>
    </w:p>
    <w:p>
      <w:pPr>
        <w:spacing w:after="60" w:before="60"/>
      </w:pPr>
      <w:r>
        <w:rPr>
          <w:rFonts w:ascii="Arial" w:cs="Arial" w:eastAsia="Arial" w:hAnsi="Arial"/>
          <w:sz w:val="24"/>
          <w:szCs w:val="24"/>
        </w:rPr>
        <w:t xml:space="preserve">Excellence — We hold ourselves to the highest standards of medical and professional practice.</w:t>
      </w:r>
    </w:p>
    <w:p>
      <w:pPr>
        <w:spacing w:after="60" w:before="60"/>
      </w:pPr>
      <w:r>
        <w:rPr>
          <w:rFonts w:ascii="Arial" w:cs="Arial" w:eastAsia="Arial" w:hAnsi="Arial"/>
          <w:sz w:val="24"/>
          <w:szCs w:val="24"/>
        </w:rPr>
        <w:t xml:space="preserve">Integrity — We act honestly and transparently in all we do.</w:t>
      </w:r>
    </w:p>
    <w:p>
      <w:pPr>
        <w:spacing w:after="60" w:before="60"/>
      </w:pPr>
      <w:r>
        <w:rPr>
          <w:rFonts w:ascii="Arial" w:cs="Arial" w:eastAsia="Arial" w:hAnsi="Arial"/>
          <w:sz w:val="24"/>
          <w:szCs w:val="24"/>
        </w:rPr>
        <w:t xml:space="preserve">Innovation — We embrace new ideas and approaches to improve patient outcomes.</w:t>
      </w:r>
    </w:p>
    <w:p>
      <w:r>
        <w:t xml:space="preserve"/>
      </w:r>
    </w:p>
    <w:p>
      <w:pPr>
        <w:shd w:fill="FFF2CC" w:val="clear"/>
        <w:spacing w:after="60" w:before="120"/>
      </w:pPr>
      <w:r>
        <w:rPr>
          <w:rFonts w:ascii="Arial" w:cs="Arial" w:eastAsia="Arial" w:hAnsi="Arial"/>
          <w:b/>
          <w:bCs/>
          <w:color w:val="7A4100"/>
          <w:sz w:val="20"/>
          <w:szCs w:val="20"/>
          <w:highlight w:val="yellow"/>
          <w:highlightCs w:val="yellow"/>
        </w:rPr>
        <w:t xml:space="preserve">[INSTRUCTION] CHAPTER 2 — Format the Quick Reference section in two columns. Create the Day 1 checklist as a numbered list.</w:t>
      </w:r>
    </w:p>
    <w:p>
      <w:pPr>
        <w:pStyle w:val="Heading1"/>
      </w:pPr>
      <w:r>
        <w:rPr>
          <w:rFonts w:ascii="Arial" w:cs="Arial" w:eastAsia="Arial" w:hAnsi="Arial"/>
          <w:b/>
          <w:bCs/>
          <w:sz w:val="32"/>
          <w:szCs w:val="32"/>
        </w:rPr>
        <w:t xml:space="preserve">Chapter 2: Your First Day</w:t>
      </w:r>
    </w:p>
    <w:p>
      <w:pPr>
        <w:pStyle w:val="Heading2"/>
      </w:pPr>
      <w:r>
        <w:rPr>
          <w:rFonts w:ascii="Arial" w:cs="Arial" w:eastAsia="Arial" w:hAnsi="Arial"/>
          <w:b/>
          <w:bCs/>
          <w:sz w:val="28"/>
          <w:szCs w:val="28"/>
        </w:rPr>
        <w:t xml:space="preserve">2.1 Day 1 New Hire Checklist</w:t>
      </w:r>
    </w:p>
    <w:p>
      <w:pPr>
        <w:spacing w:after="60" w:before="60"/>
      </w:pPr>
      <w:r>
        <w:rPr>
          <w:rFonts w:ascii="Arial" w:cs="Arial" w:eastAsia="Arial" w:hAnsi="Arial"/>
          <w:sz w:val="24"/>
          <w:szCs w:val="24"/>
        </w:rPr>
        <w:t xml:space="preserve">Complete the following tasks on your first day at NVH:</w:t>
      </w:r>
    </w:p>
    <w:p>
      <w:pPr>
        <w:pStyle w:val="ListParagraph"/>
        <w:numPr>
          <w:ilvl w:val="0"/>
          <w:numId w:val="2"/>
        </w:numPr>
      </w:pPr>
      <w:r>
        <w:rPr>
          <w:rFonts w:ascii="Arial" w:cs="Arial" w:eastAsia="Arial" w:hAnsi="Arial"/>
          <w:sz w:val="24"/>
          <w:szCs w:val="24"/>
        </w:rPr>
        <w:t xml:space="preserve">Complete HR paperwork and I-9 verification</w:t>
      </w:r>
    </w:p>
    <w:p>
      <w:pPr>
        <w:pStyle w:val="ListParagraph"/>
        <w:numPr>
          <w:ilvl w:val="0"/>
          <w:numId w:val="2"/>
        </w:numPr>
      </w:pPr>
      <w:r>
        <w:rPr>
          <w:rFonts w:ascii="Arial" w:cs="Arial" w:eastAsia="Arial" w:hAnsi="Arial"/>
          <w:sz w:val="24"/>
          <w:szCs w:val="24"/>
        </w:rPr>
        <w:t xml:space="preserve">Receive employee ID badge and parking pass</w:t>
      </w:r>
    </w:p>
    <w:p>
      <w:pPr>
        <w:pStyle w:val="ListParagraph"/>
        <w:numPr>
          <w:ilvl w:val="0"/>
          <w:numId w:val="2"/>
        </w:numPr>
      </w:pPr>
      <w:r>
        <w:rPr>
          <w:rFonts w:ascii="Arial" w:cs="Arial" w:eastAsia="Arial" w:hAnsi="Arial"/>
          <w:sz w:val="24"/>
          <w:szCs w:val="24"/>
        </w:rPr>
        <w:t xml:space="preserve">Set up computer access and NVH email account</w:t>
      </w:r>
    </w:p>
    <w:p>
      <w:pPr>
        <w:pStyle w:val="ListParagraph"/>
        <w:numPr>
          <w:ilvl w:val="0"/>
          <w:numId w:val="2"/>
        </w:numPr>
      </w:pPr>
      <w:r>
        <w:rPr>
          <w:rFonts w:ascii="Arial" w:cs="Arial" w:eastAsia="Arial" w:hAnsi="Arial"/>
          <w:sz w:val="24"/>
          <w:szCs w:val="24"/>
        </w:rPr>
        <w:t xml:space="preserve">Attend new employee orientation (Room 204, Main Campus)</w:t>
      </w:r>
    </w:p>
    <w:p>
      <w:pPr>
        <w:pStyle w:val="ListParagraph"/>
        <w:numPr>
          <w:ilvl w:val="0"/>
          <w:numId w:val="2"/>
        </w:numPr>
      </w:pPr>
      <w:r>
        <w:rPr>
          <w:rFonts w:ascii="Arial" w:cs="Arial" w:eastAsia="Arial" w:hAnsi="Arial"/>
          <w:sz w:val="24"/>
          <w:szCs w:val="24"/>
        </w:rPr>
        <w:t xml:space="preserve">Meet your assigned department mentor</w:t>
      </w:r>
    </w:p>
    <w:p>
      <w:pPr>
        <w:pStyle w:val="ListParagraph"/>
        <w:numPr>
          <w:ilvl w:val="0"/>
          <w:numId w:val="2"/>
        </w:numPr>
      </w:pPr>
      <w:r>
        <w:rPr>
          <w:rFonts w:ascii="Arial" w:cs="Arial" w:eastAsia="Arial" w:hAnsi="Arial"/>
          <w:sz w:val="24"/>
          <w:szCs w:val="24"/>
        </w:rPr>
        <w:t xml:space="preserve">Review department-specific safety protocols</w:t>
      </w:r>
    </w:p>
    <w:p>
      <w:pPr>
        <w:pStyle w:val="ListParagraph"/>
        <w:numPr>
          <w:ilvl w:val="0"/>
          <w:numId w:val="2"/>
        </w:numPr>
      </w:pPr>
      <w:r>
        <w:rPr>
          <w:rFonts w:ascii="Arial" w:cs="Arial" w:eastAsia="Arial" w:hAnsi="Arial"/>
          <w:sz w:val="24"/>
          <w:szCs w:val="24"/>
        </w:rPr>
        <w:t xml:space="preserve">Schedule first 1:1 meeting with your supervisor</w:t>
      </w:r>
    </w:p>
    <w:p>
      <w:r>
        <w:t xml:space="preserve"/>
      </w:r>
    </w:p>
    <w:p>
      <w:pPr>
        <w:shd w:fill="FFF2CC" w:val="clear"/>
        <w:spacing w:after="60" w:before="120"/>
      </w:pPr>
      <w:r>
        <w:rPr>
          <w:rFonts w:ascii="Arial" w:cs="Arial" w:eastAsia="Arial" w:hAnsi="Arial"/>
          <w:b/>
          <w:bCs/>
          <w:color w:val="7A4100"/>
          <w:sz w:val="20"/>
          <w:szCs w:val="20"/>
          <w:highlight w:val="yellow"/>
          <w:highlightCs w:val="yellow"/>
        </w:rPr>
        <w:t xml:space="preserve">[INSTRUCTION] CHAPTER 3 — Create the benefits table below. Merge the header row cells. Enable Repeat Header Row. Add sub-level bullets to conduct guidelines.</w:t>
      </w:r>
    </w:p>
    <w:p>
      <w:pPr>
        <w:pStyle w:val="Heading1"/>
      </w:pPr>
      <w:r>
        <w:rPr>
          <w:rFonts w:ascii="Arial" w:cs="Arial" w:eastAsia="Arial" w:hAnsi="Arial"/>
          <w:b/>
          <w:bCs/>
          <w:sz w:val="32"/>
          <w:szCs w:val="32"/>
        </w:rPr>
        <w:t xml:space="preserve">Chapter 3: Benefits and Conduct</w:t>
      </w:r>
    </w:p>
    <w:p>
      <w:pPr>
        <w:pStyle w:val="Heading2"/>
      </w:pPr>
      <w:r>
        <w:rPr>
          <w:rFonts w:ascii="Arial" w:cs="Arial" w:eastAsia="Arial" w:hAnsi="Arial"/>
          <w:b/>
          <w:bCs/>
          <w:sz w:val="28"/>
          <w:szCs w:val="28"/>
        </w:rPr>
        <w:t xml:space="preserve">3.1 Employee Benefits</w:t>
      </w:r>
    </w:p>
    <w:p>
      <w:pPr>
        <w:spacing w:after="60" w:before="60"/>
      </w:pPr>
      <w:r>
        <w:rPr>
          <w:rFonts w:ascii="Arial" w:cs="Arial" w:eastAsia="Arial" w:hAnsi="Arial"/>
          <w:sz w:val="24"/>
          <w:szCs w:val="24"/>
        </w:rPr>
        <w:t xml:space="preserve">NVH offers a comprehensive benefits package to all full-time employees. The data below should be formatted as a 3-column table with a merged title row and Repeat Header Row enabled.</w:t>
      </w:r>
    </w:p>
    <w:p>
      <w:r>
        <w:t xml:space="preserve"/>
      </w:r>
    </w:p>
    <w:p>
      <w:pPr>
        <w:spacing w:after="60" w:before="60"/>
      </w:pPr>
      <w:r>
        <w:rPr>
          <w:rFonts w:ascii="Arial" w:cs="Arial" w:eastAsia="Arial" w:hAnsi="Arial"/>
          <w:sz w:val="24"/>
          <w:szCs w:val="24"/>
        </w:rPr>
        <w:t xml:space="preserve">BENEFITS DATA — Format as table (Benefit | Coverage | Enrollment):</w:t>
      </w:r>
    </w:p>
    <w:p>
      <w:pPr>
        <w:spacing w:after="60" w:before="60"/>
      </w:pPr>
      <w:r>
        <w:rPr>
          <w:rFonts w:ascii="Arial" w:cs="Arial" w:eastAsia="Arial" w:hAnsi="Arial"/>
          <w:sz w:val="24"/>
          <w:szCs w:val="24"/>
        </w:rPr>
        <w:t xml:space="preserve">Medical Insurance | 80% employer paid | Within 30 days of hire</w:t>
      </w:r>
    </w:p>
    <w:p>
      <w:pPr>
        <w:spacing w:after="60" w:before="60"/>
      </w:pPr>
      <w:r>
        <w:rPr>
          <w:rFonts w:ascii="Arial" w:cs="Arial" w:eastAsia="Arial" w:hAnsi="Arial"/>
          <w:sz w:val="24"/>
          <w:szCs w:val="24"/>
        </w:rPr>
        <w:t xml:space="preserve">Dental Insurance | 70% employer paid | Within 30 days of hire</w:t>
      </w:r>
    </w:p>
    <w:p>
      <w:pPr>
        <w:spacing w:after="60" w:before="60"/>
      </w:pPr>
      <w:r>
        <w:rPr>
          <w:rFonts w:ascii="Arial" w:cs="Arial" w:eastAsia="Arial" w:hAnsi="Arial"/>
          <w:sz w:val="24"/>
          <w:szCs w:val="24"/>
        </w:rPr>
        <w:t xml:space="preserve">Vision Insurance | 60% employer paid | Within 30 days of hire</w:t>
      </w:r>
    </w:p>
    <w:p>
      <w:pPr>
        <w:spacing w:after="60" w:before="60"/>
      </w:pPr>
      <w:r>
        <w:rPr>
          <w:rFonts w:ascii="Arial" w:cs="Arial" w:eastAsia="Arial" w:hAnsi="Arial"/>
          <w:sz w:val="24"/>
          <w:szCs w:val="24"/>
        </w:rPr>
        <w:t xml:space="preserve">Life Insurance | 1x annual salary | Automatic enrollment</w:t>
      </w:r>
    </w:p>
    <w:p>
      <w:pPr>
        <w:spacing w:after="60" w:before="60"/>
      </w:pPr>
      <w:r>
        <w:rPr>
          <w:rFonts w:ascii="Arial" w:cs="Arial" w:eastAsia="Arial" w:hAnsi="Arial"/>
          <w:sz w:val="24"/>
          <w:szCs w:val="24"/>
        </w:rPr>
        <w:t xml:space="preserve">401(k) Retirement | 4% employer match | After 90 days</w:t>
      </w:r>
    </w:p>
    <w:p>
      <w:pPr>
        <w:spacing w:after="60" w:before="60"/>
      </w:pPr>
      <w:r>
        <w:rPr>
          <w:rFonts w:ascii="Arial" w:cs="Arial" w:eastAsia="Arial" w:hAnsi="Arial"/>
          <w:sz w:val="24"/>
          <w:szCs w:val="24"/>
        </w:rPr>
        <w:t xml:space="preserve">Paid Time Off | 15 days/year | Accrues from day 1</w:t>
      </w:r>
    </w:p>
    <w:p>
      <w:pPr>
        <w:spacing w:after="60" w:before="60"/>
      </w:pPr>
      <w:r>
        <w:rPr>
          <w:rFonts w:ascii="Arial" w:cs="Arial" w:eastAsia="Arial" w:hAnsi="Arial"/>
          <w:sz w:val="24"/>
          <w:szCs w:val="24"/>
        </w:rPr>
        <w:t xml:space="preserve">Continuing Education | $2,000/year | After 6 months</w:t>
      </w:r>
    </w:p>
    <w:p>
      <w:pPr>
        <w:spacing w:after="60" w:before="60"/>
      </w:pPr>
      <w:r>
        <w:rPr>
          <w:rFonts w:ascii="Arial" w:cs="Arial" w:eastAsia="Arial" w:hAnsi="Arial"/>
          <w:sz w:val="24"/>
          <w:szCs w:val="24"/>
        </w:rPr>
        <w:t xml:space="preserve">Employee Assistance | 100% covered | Immediate access</w:t>
      </w:r>
    </w:p>
    <w:p>
      <w:r>
        <w:t xml:space="preserve"/>
      </w:r>
    </w:p>
    <w:p>
      <w:pPr>
        <w:pStyle w:val="Heading2"/>
      </w:pPr>
      <w:r>
        <w:rPr>
          <w:rFonts w:ascii="Arial" w:cs="Arial" w:eastAsia="Arial" w:hAnsi="Arial"/>
          <w:b/>
          <w:bCs/>
          <w:sz w:val="28"/>
          <w:szCs w:val="28"/>
        </w:rPr>
        <w:t xml:space="preserve">3.2 Workplace Conduct Guidelines</w:t>
      </w:r>
    </w:p>
    <w:p>
      <w:pPr>
        <w:spacing w:after="60" w:before="60"/>
      </w:pPr>
      <w:r>
        <w:rPr>
          <w:rFonts w:ascii="Arial" w:cs="Arial" w:eastAsia="Arial" w:hAnsi="Arial"/>
          <w:sz w:val="24"/>
          <w:szCs w:val="24"/>
        </w:rPr>
        <w:t xml:space="preserve">All NVH employees are expected to uphold the following standards of professional conduct:</w:t>
      </w:r>
    </w:p>
    <w:p>
      <w:pPr>
        <w:pStyle w:val="ListParagraph"/>
        <w:numPr>
          <w:ilvl w:val="0"/>
          <w:numId w:val="3"/>
        </w:numPr>
      </w:pPr>
      <w:r>
        <w:rPr>
          <w:rFonts w:ascii="Arial" w:cs="Arial" w:eastAsia="Arial" w:hAnsi="Arial"/>
          <w:b/>
          <w:bCs/>
          <w:sz w:val="24"/>
          <w:szCs w:val="24"/>
        </w:rPr>
        <w:t xml:space="preserve">Professional Communication</w:t>
      </w:r>
    </w:p>
    <w:p>
      <w:pPr>
        <w:pStyle w:val="ListParagraph"/>
        <w:numPr>
          <w:ilvl w:val="1"/>
          <w:numId w:val="3"/>
        </w:numPr>
      </w:pPr>
      <w:r>
        <w:rPr>
          <w:rFonts w:ascii="Arial" w:cs="Arial" w:eastAsia="Arial" w:hAnsi="Arial"/>
          <w:sz w:val="24"/>
          <w:szCs w:val="24"/>
        </w:rPr>
        <w:t xml:space="preserve">Use respectful, clear language with patients and colleagues</w:t>
      </w:r>
    </w:p>
    <w:p>
      <w:pPr>
        <w:pStyle w:val="ListParagraph"/>
        <w:numPr>
          <w:ilvl w:val="1"/>
          <w:numId w:val="3"/>
        </w:numPr>
      </w:pPr>
      <w:r>
        <w:rPr>
          <w:rFonts w:ascii="Arial" w:cs="Arial" w:eastAsia="Arial" w:hAnsi="Arial"/>
          <w:sz w:val="24"/>
          <w:szCs w:val="24"/>
        </w:rPr>
        <w:t xml:space="preserve">Respond to emails and messages within one business day</w:t>
      </w:r>
    </w:p>
    <w:p>
      <w:pPr>
        <w:pStyle w:val="ListParagraph"/>
        <w:numPr>
          <w:ilvl w:val="0"/>
          <w:numId w:val="3"/>
        </w:numPr>
      </w:pPr>
      <w:r>
        <w:rPr>
          <w:rFonts w:ascii="Arial" w:cs="Arial" w:eastAsia="Arial" w:hAnsi="Arial"/>
          <w:b/>
          <w:bCs/>
          <w:sz w:val="24"/>
          <w:szCs w:val="24"/>
        </w:rPr>
        <w:t xml:space="preserve">Patient Confidentiality</w:t>
      </w:r>
    </w:p>
    <w:p>
      <w:pPr>
        <w:pStyle w:val="ListParagraph"/>
        <w:numPr>
          <w:ilvl w:val="1"/>
          <w:numId w:val="3"/>
        </w:numPr>
      </w:pPr>
      <w:r>
        <w:rPr>
          <w:rFonts w:ascii="Arial" w:cs="Arial" w:eastAsia="Arial" w:hAnsi="Arial"/>
          <w:sz w:val="24"/>
          <w:szCs w:val="24"/>
        </w:rPr>
        <w:t xml:space="preserve">Never share patient information outside authorized channels</w:t>
      </w:r>
    </w:p>
    <w:p>
      <w:pPr>
        <w:pStyle w:val="ListParagraph"/>
        <w:numPr>
          <w:ilvl w:val="1"/>
          <w:numId w:val="3"/>
        </w:numPr>
      </w:pPr>
      <w:r>
        <w:rPr>
          <w:rFonts w:ascii="Arial" w:cs="Arial" w:eastAsia="Arial" w:hAnsi="Arial"/>
          <w:sz w:val="24"/>
          <w:szCs w:val="24"/>
        </w:rPr>
        <w:t xml:space="preserve">Log out of all systems when leaving a workstation</w:t>
      </w:r>
    </w:p>
    <w:p>
      <w:pPr>
        <w:pStyle w:val="ListParagraph"/>
        <w:numPr>
          <w:ilvl w:val="0"/>
          <w:numId w:val="3"/>
        </w:numPr>
      </w:pPr>
      <w:r>
        <w:rPr>
          <w:rFonts w:ascii="Arial" w:cs="Arial" w:eastAsia="Arial" w:hAnsi="Arial"/>
          <w:b/>
          <w:bCs/>
          <w:sz w:val="24"/>
          <w:szCs w:val="24"/>
        </w:rPr>
        <w:t xml:space="preserve">Safety and Compliance</w:t>
      </w:r>
    </w:p>
    <w:p>
      <w:pPr>
        <w:pStyle w:val="ListParagraph"/>
        <w:numPr>
          <w:ilvl w:val="1"/>
          <w:numId w:val="3"/>
        </w:numPr>
      </w:pPr>
      <w:r>
        <w:rPr>
          <w:rFonts w:ascii="Arial" w:cs="Arial" w:eastAsia="Arial" w:hAnsi="Arial"/>
          <w:sz w:val="24"/>
          <w:szCs w:val="24"/>
        </w:rPr>
        <w:t xml:space="preserve">Follow all infection control protocols at all times</w:t>
      </w:r>
    </w:p>
    <w:p>
      <w:pPr>
        <w:pStyle w:val="ListParagraph"/>
        <w:numPr>
          <w:ilvl w:val="1"/>
          <w:numId w:val="3"/>
        </w:numPr>
      </w:pPr>
      <w:r>
        <w:rPr>
          <w:rFonts w:ascii="Arial" w:cs="Arial" w:eastAsia="Arial" w:hAnsi="Arial"/>
          <w:sz w:val="24"/>
          <w:szCs w:val="24"/>
        </w:rPr>
        <w:t xml:space="preserve">Report any safety concerns immediately to your supervisor</w:t>
      </w:r>
    </w:p>
    <w:p>
      <w:r>
        <w:t xml:space="preserve"/>
      </w:r>
    </w:p>
    <w:p>
      <w:pPr>
        <w:shd w:fill="FFF2CC" w:val="clear"/>
        <w:spacing w:after="60" w:before="120"/>
      </w:pPr>
      <w:r>
        <w:rPr>
          <w:rFonts w:ascii="Arial" w:cs="Arial" w:eastAsia="Arial" w:hAnsi="Arial"/>
          <w:b/>
          <w:bCs/>
          <w:color w:val="7A4100"/>
          <w:sz w:val="20"/>
          <w:szCs w:val="20"/>
          <w:highlight w:val="yellow"/>
          <w:highlightCs w:val="yellow"/>
        </w:rPr>
        <w:t xml:space="preserve">[INSTRUCTION] CHAPTER 4 — Insert SmartArt (Process) for onboarding steps. Modify SmartArt content. Insert icons for each department. Add alt text to all images. Insert endnotes for compliance references. Add comments, track changes.</w:t>
      </w:r>
    </w:p>
    <w:p>
      <w:pPr>
        <w:pStyle w:val="Heading1"/>
      </w:pPr>
      <w:r>
        <w:rPr>
          <w:rFonts w:ascii="Arial" w:cs="Arial" w:eastAsia="Arial" w:hAnsi="Arial"/>
          <w:b/>
          <w:bCs/>
          <w:sz w:val="32"/>
          <w:szCs w:val="32"/>
        </w:rPr>
        <w:t xml:space="preserve">Chapter 4: Onboarding Process and Compliance</w:t>
      </w:r>
    </w:p>
    <w:p>
      <w:pPr>
        <w:pStyle w:val="Heading2"/>
      </w:pPr>
      <w:r>
        <w:rPr>
          <w:rFonts w:ascii="Arial" w:cs="Arial" w:eastAsia="Arial" w:hAnsi="Arial"/>
          <w:b/>
          <w:bCs/>
          <w:sz w:val="28"/>
          <w:szCs w:val="28"/>
        </w:rPr>
        <w:t xml:space="preserve">4.1 Onboarding Journey</w:t>
      </w:r>
    </w:p>
    <w:p>
      <w:pPr>
        <w:spacing w:after="60" w:before="60"/>
      </w:pPr>
      <w:r>
        <w:rPr>
          <w:rFonts w:ascii="Arial" w:cs="Arial" w:eastAsia="Arial" w:hAnsi="Arial"/>
          <w:sz w:val="24"/>
          <w:szCs w:val="24"/>
        </w:rPr>
        <w:t xml:space="preserve">[INSERT SMARTART PROCESS DIAGRAM HERE — 5 stages: Week 1: Orientation | Week 2: Department Training | Week 3: Systems Training | Week 4: Shadow Experience | Week 5: Independent Practice]</w:t>
      </w:r>
    </w:p>
    <w:p>
      <w:r>
        <w:t xml:space="preserve"/>
      </w:r>
    </w:p>
    <w:p>
      <w:pPr>
        <w:spacing w:after="60" w:before="60"/>
      </w:pPr>
      <w:r>
        <w:rPr>
          <w:rFonts w:ascii="Arial" w:cs="Arial" w:eastAsia="Arial" w:hAnsi="Arial"/>
          <w:sz w:val="24"/>
          <w:szCs w:val="24"/>
        </w:rPr>
        <w:t xml:space="preserve">[INSERT DEPARTMENT ICONS HERE — one icon for each department: Nursing, Radiology, Emergency, Laboratory, Administration]</w:t>
      </w:r>
    </w:p>
    <w:p>
      <w:r>
        <w:t xml:space="preserve"/>
      </w:r>
    </w:p>
    <w:p>
      <w:pPr>
        <w:pStyle w:val="Heading2"/>
      </w:pPr>
      <w:r>
        <w:rPr>
          <w:rFonts w:ascii="Arial" w:cs="Arial" w:eastAsia="Arial" w:hAnsi="Arial"/>
          <w:b/>
          <w:bCs/>
          <w:sz w:val="28"/>
          <w:szCs w:val="28"/>
        </w:rPr>
        <w:t xml:space="preserve">4.2 Regulatory Compliance</w:t>
      </w:r>
    </w:p>
    <w:p>
      <w:pPr>
        <w:spacing w:after="60" w:before="60"/>
      </w:pPr>
      <w:r>
        <w:rPr>
          <w:rFonts w:ascii="Arial" w:cs="Arial" w:eastAsia="Arial" w:hAnsi="Arial"/>
          <w:sz w:val="24"/>
          <w:szCs w:val="24"/>
        </w:rPr>
        <w:t xml:space="preserve">All NVH employees must comply with federal and state healthcare regulations including HIPAA, OSHA, and Nevada Revised Statutes governing healthcare practice.</w:t>
      </w:r>
    </w:p>
    <w:p>
      <w:pPr>
        <w:spacing w:after="60" w:before="60"/>
      </w:pPr>
      <w:r>
        <w:rPr>
          <w:rFonts w:ascii="Arial" w:cs="Arial" w:eastAsia="Arial" w:hAnsi="Arial"/>
          <w:sz w:val="24"/>
          <w:szCs w:val="24"/>
        </w:rPr>
        <w:t xml:space="preserve">Employees are required to complete mandatory compliance training within 30 days of hire and annually thereafter. Failure to complete required training may result in disciplinary action.</w:t>
      </w:r>
    </w:p>
    <w:p>
      <w:pPr>
        <w:spacing w:after="60" w:before="60"/>
      </w:pPr>
      <w:r>
        <w:rPr>
          <w:rFonts w:ascii="Arial" w:cs="Arial" w:eastAsia="Arial" w:hAnsi="Arial"/>
          <w:sz w:val="24"/>
          <w:szCs w:val="24"/>
        </w:rPr>
        <w:t xml:space="preserve">[INSERT ENDNOTES HERE — cite HIPAA 45 CFR Parts 160 and 164, OSHA 29 CFR 1910, and Nevada NRS Chapter 632 for nursing regulations]</w:t>
      </w:r>
    </w:p>
    <w:p>
      <w:r>
        <w:t xml:space="preserve"/>
      </w:r>
    </w:p>
    <w:p>
      <w:pPr>
        <w:shd w:fill="FFF2CC" w:val="clear"/>
        <w:spacing w:after="60" w:before="120"/>
      </w:pPr>
      <w:r>
        <w:rPr>
          <w:rFonts w:ascii="Arial" w:cs="Arial" w:eastAsia="Arial" w:hAnsi="Arial"/>
          <w:b/>
          <w:bCs/>
          <w:color w:val="7A4100"/>
          <w:sz w:val="20"/>
          <w:szCs w:val="20"/>
          <w:highlight w:val="yellow"/>
          <w:highlightCs w:val="yellow"/>
        </w:rPr>
        <w:t xml:space="preserve">[INSTRUCTION] QUICK REFERENCE — Format this section in two columns. This is the last section.</w:t>
      </w:r>
    </w:p>
    <w:p>
      <w:pPr>
        <w:pStyle w:val="Heading1"/>
      </w:pPr>
      <w:r>
        <w:rPr>
          <w:rFonts w:ascii="Arial" w:cs="Arial" w:eastAsia="Arial" w:hAnsi="Arial"/>
          <w:b/>
          <w:bCs/>
          <w:sz w:val="32"/>
          <w:szCs w:val="32"/>
        </w:rPr>
        <w:t xml:space="preserve">Quick Reference</w:t>
      </w:r>
    </w:p>
    <w:p>
      <w:pPr>
        <w:pStyle w:val="Heading2"/>
      </w:pPr>
      <w:r>
        <w:rPr>
          <w:rFonts w:ascii="Arial" w:cs="Arial" w:eastAsia="Arial" w:hAnsi="Arial"/>
          <w:b/>
          <w:bCs/>
          <w:sz w:val="28"/>
          <w:szCs w:val="28"/>
        </w:rPr>
        <w:t xml:space="preserve">Key Contacts</w:t>
      </w:r>
    </w:p>
    <w:p>
      <w:pPr>
        <w:spacing w:after="60" w:before="60"/>
      </w:pPr>
      <w:r>
        <w:rPr>
          <w:rFonts w:ascii="Arial" w:cs="Arial" w:eastAsia="Arial" w:hAnsi="Arial"/>
          <w:sz w:val="24"/>
          <w:szCs w:val="24"/>
        </w:rPr>
        <w:t xml:space="preserve">Human Resources: ext. 2100 | hr@nvhealthcare.org</w:t>
      </w:r>
    </w:p>
    <w:p>
      <w:pPr>
        <w:spacing w:after="60" w:before="60"/>
      </w:pPr>
      <w:r>
        <w:rPr>
          <w:rFonts w:ascii="Arial" w:cs="Arial" w:eastAsia="Arial" w:hAnsi="Arial"/>
          <w:sz w:val="24"/>
          <w:szCs w:val="24"/>
        </w:rPr>
        <w:t xml:space="preserve">IT Help Desk: ext. 3000 | ithelpdesk@nvhealthcare.org</w:t>
      </w:r>
    </w:p>
    <w:p>
      <w:pPr>
        <w:spacing w:after="60" w:before="60"/>
      </w:pPr>
      <w:r>
        <w:rPr>
          <w:rFonts w:ascii="Arial" w:cs="Arial" w:eastAsia="Arial" w:hAnsi="Arial"/>
          <w:sz w:val="24"/>
          <w:szCs w:val="24"/>
        </w:rPr>
        <w:t xml:space="preserve">Security: ext. 9111</w:t>
      </w:r>
    </w:p>
    <w:p>
      <w:pPr>
        <w:spacing w:after="60" w:before="60"/>
      </w:pPr>
      <w:r>
        <w:rPr>
          <w:rFonts w:ascii="Arial" w:cs="Arial" w:eastAsia="Arial" w:hAnsi="Arial"/>
          <w:sz w:val="24"/>
          <w:szCs w:val="24"/>
        </w:rPr>
        <w:t xml:space="preserve">Payroll: ext. 2200 | payroll@nvhealthcare.org</w:t>
      </w:r>
    </w:p>
    <w:p>
      <w:r>
        <w:t xml:space="preserve"/>
      </w:r>
    </w:p>
    <w:p>
      <w:pPr>
        <w:pStyle w:val="Heading2"/>
      </w:pPr>
      <w:r>
        <w:rPr>
          <w:rFonts w:ascii="Arial" w:cs="Arial" w:eastAsia="Arial" w:hAnsi="Arial"/>
          <w:b/>
          <w:bCs/>
          <w:sz w:val="28"/>
          <w:szCs w:val="28"/>
        </w:rPr>
        <w:t xml:space="preserve">Important Policies</w:t>
      </w:r>
    </w:p>
    <w:p>
      <w:pPr>
        <w:spacing w:after="60" w:before="60"/>
      </w:pPr>
      <w:r>
        <w:rPr>
          <w:rFonts w:ascii="Arial" w:cs="Arial" w:eastAsia="Arial" w:hAnsi="Arial"/>
          <w:sz w:val="24"/>
          <w:szCs w:val="24"/>
        </w:rPr>
        <w:t xml:space="preserve">PTO Policy: Requests must be submitted at least 2 weeks in advance through the NVH scheduling portal.</w:t>
      </w:r>
    </w:p>
    <w:p>
      <w:pPr>
        <w:spacing w:after="60" w:before="60"/>
      </w:pPr>
      <w:r>
        <w:rPr>
          <w:rFonts w:ascii="Arial" w:cs="Arial" w:eastAsia="Arial" w:hAnsi="Arial"/>
          <w:sz w:val="24"/>
          <w:szCs w:val="24"/>
        </w:rPr>
        <w:t xml:space="preserve">Dress Code: All clinical staff must wear NVH-issued scrubs. Administrative staff should dress in business casual attire.</w:t>
      </w:r>
    </w:p>
    <w:p>
      <w:pPr>
        <w:spacing w:after="60" w:before="60"/>
      </w:pPr>
      <w:r>
        <w:rPr>
          <w:rFonts w:ascii="Arial" w:cs="Arial" w:eastAsia="Arial" w:hAnsi="Arial"/>
          <w:sz w:val="24"/>
          <w:szCs w:val="24"/>
        </w:rPr>
        <w:t xml:space="preserve">[COLLABORATION TASKS: Add comment on benefits table. Reply to HR Director comment. Delete resolved comments. Enable Track Changes. Revise PTO policy. Accept/reject changes as directed.]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2"/>
      <w:szCs w:val="32"/>
    </w:rPr>
  </w:style>
  <w:style w:type="paragraph" w:styleId="Heading2">
    <w:name w:val="Heading 2"/>
    <w:basedOn w:val="Normal"/>
    <w:next w:val="Normal"/>
    <w:qFormat/>
    <w:pPr>
      <w:spacing w:after="60" w:before="180"/>
      <w:outlineLvl w:val="1"/>
    </w:pPr>
    <w:rPr>
      <w:rFonts w:ascii="Arial" w:cs="Arial" w:eastAsia="Arial" w:hAnsi="Arial"/>
      <w:b/>
      <w:bCs/>
      <w:color w:val="2E75B6"/>
      <w:sz w:val="28"/>
      <w:szCs w:val="28"/>
    </w:rPr>
  </w:style>
  <w:style w:type="paragraph" w:styleId="Heading3">
    <w:name w:val="Heading 3"/>
    <w:basedOn w:val="Normal"/>
    <w:next w:val="Normal"/>
    <w:qFormat/>
    <w:pPr>
      <w:spacing w:after="60" w:before="12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2026-06-11T03:23:46.954Z</dcterms:created>
  <dcterms:modified xsi:type="dcterms:W3CDTF">2026-06-11T03:23:46.954Z</dcterms:modified>
</cp:coreProperties>
</file>

<file path=docProps/custom.xml><?xml version="1.0" encoding="utf-8"?>
<Properties xmlns="http://schemas.openxmlformats.org/officeDocument/2006/custom-properties" xmlns:vt="http://schemas.openxmlformats.org/officeDocument/2006/docPropsVTypes"/>
</file>