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2CC"/>
      </w:pPr>
      <w:r>
        <w:rPr>
          <w:b/>
          <w:color w:val="7A4100"/>
          <w:sz w:val="20"/>
        </w:rPr>
        <w:t>[INSTRUCTION] COVER PAGE — Your tasks: (1) Set 1-inch top/bottom and 1.25-inch left/right margins. (2) Set paper size to Letter. (3) Apply 'Shaded' style set (Design tab). (4) Insert header: 'Nevada Valley Healthcare — Employee Training Manual'. (5) Insert footer with department name and page number. (6) Insert page numbers starting at 1 after cover. (7) Add 'CONFIDENTIAL' watermark. (8) Set document properties: Title, Author, Subject, Keywords. (9) Remove hidden properties (File → Info → Check for Issues → Inspect Document). (10) Save as PDF.</w:t>
      </w:r>
    </w:p>
    <w:p/>
    <w:p>
      <w:pPr>
        <w:jc w:val="center"/>
      </w:pPr>
      <w:r>
        <w:rPr>
          <w:b/>
          <w:sz w:val="64"/>
        </w:rPr>
        <w:t>Nevada Valley Healthcare</w:t>
      </w:r>
    </w:p>
    <w:p>
      <w:pPr>
        <w:jc w:val="center"/>
      </w:pPr>
      <w:r>
        <w:rPr>
          <w:sz w:val="48"/>
        </w:rPr>
        <w:t>Employee Training Manual</w:t>
      </w:r>
    </w:p>
    <w:p>
      <w:pPr>
        <w:jc w:val="center"/>
      </w:pPr>
      <w:r>
        <w:t>Human Resources Department</w:t>
      </w:r>
    </w:p>
    <w:p>
      <w:pPr>
        <w:jc w:val="center"/>
      </w:pPr>
      <w:r>
        <w:t>Las Vegas, Nevada | 2026</w:t>
      </w:r>
    </w:p>
    <w:p/>
    <w:p>
      <w:r>
        <w:rPr>
          <w:i/>
          <w:color w:val="888888"/>
          <w:sz w:val="20"/>
        </w:rPr>
        <w:t>[LOGO PLACEHOLDER — Insert NVH logo here, apply Soft Edge picture style, set wrapping to Square]</w:t>
      </w:r>
    </w:p>
    <w:p/>
    <w:p>
      <w:pPr>
        <w:shd w:val="clear" w:color="auto" w:fill="FFF2CC"/>
      </w:pPr>
      <w:r>
        <w:rPr>
          <w:b/>
          <w:color w:val="7A4100"/>
          <w:sz w:val="20"/>
        </w:rPr>
        <w:t>[INSTRUCTION] FORMATTING TASKS — (11) Find &amp; Replace: 'NVH' → 'Nevada Valley Healthcare' throughout. (12) Apply Title style to the manual title on the cover page. (13) Apply Heading 1 to every chapter title. (14) Apply Heading 2 to every section title within chapters. (15) Set body text to double-spaced (2.0). (16) Set 12pt spacing before each Heading 1. (17) Insert a page break before each new chapter (Insert → Page Break or Ctrl+Enter). (18) Format the Quick Reference section in two columns (Layout → Columns → Two).</w:t>
      </w:r>
    </w:p>
    <w:p>
      <w:pPr>
        <w:pStyle w:val="Heading1"/>
      </w:pPr>
      <w:r>
        <w:t>Chapter 1: Welcome to NVH</w:t>
      </w:r>
    </w:p>
    <w:p>
      <w:r>
        <w:rPr>
          <w:b w:val="0"/>
          <w:i w:val="0"/>
          <w:sz w:val="24"/>
        </w:rPr>
        <w:t>Welcome to Nevada Valley Healthcare (NVH). We are proud to have you join our team of dedicated healthcare professionals serving the Las Vegas community. This training manual will guide you through everything you need to know for a successful start at NVH.</w:t>
      </w:r>
    </w:p>
    <w:p>
      <w:r>
        <w:rPr>
          <w:b w:val="0"/>
          <w:i w:val="0"/>
          <w:sz w:val="24"/>
        </w:rPr>
        <w:t>NVH operates three medical centers across the Las Vegas valley, employing over 800 healthcare professionals. Our mission is to provide compassionate, high-quality medical care to every patient we serve.</w:t>
      </w:r>
    </w:p>
    <w:p>
      <w:pPr>
        <w:pStyle w:val="Heading2"/>
      </w:pPr>
      <w:r>
        <w:t>1.1 Our Mission and Values</w:t>
      </w:r>
    </w:p>
    <w:p>
      <w:r>
        <w:rPr>
          <w:b w:val="0"/>
          <w:i w:val="0"/>
          <w:sz w:val="24"/>
        </w:rPr>
        <w:t>NVH is committed to excellence in patient care, respect for all individuals, and continuous improvement. Our core values guide everything we do:</w:t>
      </w:r>
    </w:p>
    <w:p>
      <w:r>
        <w:rPr>
          <w:b w:val="0"/>
          <w:i w:val="0"/>
          <w:sz w:val="24"/>
        </w:rPr>
        <w:t>Compassion — We treat every patient and colleague with dignity and empathy.</w:t>
      </w:r>
    </w:p>
    <w:p>
      <w:r>
        <w:rPr>
          <w:b w:val="0"/>
          <w:i w:val="0"/>
          <w:sz w:val="24"/>
        </w:rPr>
        <w:t>Excellence — We hold ourselves to the highest standards of medical and professional practice.</w:t>
      </w:r>
    </w:p>
    <w:p>
      <w:r>
        <w:rPr>
          <w:b w:val="0"/>
          <w:i w:val="0"/>
          <w:sz w:val="24"/>
        </w:rPr>
        <w:t>Integrity — We act honestly and transparently in all we do.</w:t>
      </w:r>
    </w:p>
    <w:p>
      <w:r>
        <w:rPr>
          <w:b w:val="0"/>
          <w:i w:val="0"/>
          <w:sz w:val="24"/>
        </w:rPr>
        <w:t>Innovation — We embrace new ideas and approaches to improve patient outcomes.</w:t>
      </w:r>
    </w:p>
    <w:p>
      <w:pPr>
        <w:pStyle w:val="Heading1"/>
      </w:pPr>
      <w:r>
        <w:t>Chapter 2: Your First Day</w:t>
      </w:r>
    </w:p>
    <w:p>
      <w:pPr>
        <w:shd w:val="clear" w:color="auto" w:fill="FFF2CC"/>
      </w:pPr>
      <w:r>
        <w:rPr>
          <w:b/>
          <w:color w:val="7A4100"/>
          <w:sz w:val="20"/>
        </w:rPr>
        <w:t>[INSTRUCTION] LISTS TASK — (22) Select the Day 1 tasks below and format them as a NUMBERED LIST (Home tab → Numbering). (23) Select the conduct guidelines further below and format as a BULLETED LIST. (24) For each guideline, select the sub-items and press Tab or use Increase Indent to create second-level bullets.</w:t>
      </w:r>
    </w:p>
    <w:p>
      <w:pPr>
        <w:pStyle w:val="Heading2"/>
      </w:pPr>
      <w:r>
        <w:t>2.1 Day 1 New Hire Checklist</w:t>
      </w:r>
    </w:p>
    <w:p>
      <w:r>
        <w:rPr>
          <w:b w:val="0"/>
          <w:i w:val="0"/>
          <w:sz w:val="24"/>
        </w:rPr>
        <w:t>Complete the following tasks on your first day at NVH:</w:t>
      </w:r>
    </w:p>
    <w:p>
      <w:r>
        <w:rPr>
          <w:b w:val="0"/>
          <w:i w:val="0"/>
          <w:sz w:val="24"/>
        </w:rPr>
        <w:t>Complete HR paperwork and I-9 verification</w:t>
      </w:r>
    </w:p>
    <w:p>
      <w:r>
        <w:rPr>
          <w:b w:val="0"/>
          <w:i w:val="0"/>
          <w:sz w:val="24"/>
        </w:rPr>
        <w:t>Receive employee ID badge and parking pass</w:t>
      </w:r>
    </w:p>
    <w:p>
      <w:r>
        <w:rPr>
          <w:b w:val="0"/>
          <w:i w:val="0"/>
          <w:sz w:val="24"/>
        </w:rPr>
        <w:t>Set up computer access and NVH email account</w:t>
      </w:r>
    </w:p>
    <w:p>
      <w:r>
        <w:rPr>
          <w:b w:val="0"/>
          <w:i w:val="0"/>
          <w:sz w:val="24"/>
        </w:rPr>
        <w:t>Attend new employee orientation (Room 204, Main Campus)</w:t>
      </w:r>
    </w:p>
    <w:p>
      <w:r>
        <w:rPr>
          <w:b w:val="0"/>
          <w:i w:val="0"/>
          <w:sz w:val="24"/>
        </w:rPr>
        <w:t>Meet your assigned department mentor</w:t>
      </w:r>
    </w:p>
    <w:p>
      <w:r>
        <w:rPr>
          <w:b w:val="0"/>
          <w:i w:val="0"/>
          <w:sz w:val="24"/>
        </w:rPr>
        <w:t>Review department-specific safety protocols</w:t>
      </w:r>
    </w:p>
    <w:p>
      <w:r>
        <w:rPr>
          <w:b w:val="0"/>
          <w:i w:val="0"/>
          <w:sz w:val="24"/>
        </w:rPr>
        <w:t>Schedule first 1:1 meeting with your supervisor</w:t>
      </w:r>
    </w:p>
    <w:p>
      <w:pPr>
        <w:pStyle w:val="Heading1"/>
      </w:pPr>
      <w:r>
        <w:t>Chapter 3: Benefits and Conduct</w:t>
      </w:r>
    </w:p>
    <w:p>
      <w:pPr>
        <w:shd w:val="clear" w:color="auto" w:fill="FFF2CC"/>
      </w:pPr>
      <w:r>
        <w:rPr>
          <w:b/>
          <w:color w:val="7A4100"/>
          <w:sz w:val="20"/>
        </w:rPr>
        <w:t>[INSTRUCTION] TABLE TASKS — (19) Create a 3-column table for the employee benefits data below (Benefit | Coverage | Enrollment). The table has enough rows that it will span multiple pages — this is intentional. (20) Merge the header row cells and apply shading. (21) Click in the header row and enable 'Repeat Header Row' (Table Layout tab → Data group → Repeat Header Rows) — scroll to the second page of the table to verify the header repeats.</w:t>
      </w:r>
    </w:p>
    <w:p>
      <w:pPr>
        <w:pStyle w:val="Heading2"/>
      </w:pPr>
      <w:r>
        <w:t>3.1 Employee Benefits</w:t>
      </w:r>
    </w:p>
    <w:p>
      <w:r>
        <w:rPr>
          <w:b w:val="0"/>
          <w:i w:val="0"/>
          <w:sz w:val="24"/>
        </w:rPr>
        <w:t>NVH offers a comprehensive benefits package. Create a 3-column table (Benefit | Coverage | Enrollment) from the data below. The table intentionally has many rows so you can practice the Repeat Header Row feature across pages.</w:t>
      </w:r>
    </w:p>
    <w:p/>
    <w:p>
      <w:r>
        <w:rPr>
          <w:rFonts w:ascii="Courier New" w:hAnsi="Courier New"/>
          <w:sz w:val="22"/>
        </w:rPr>
        <w:t>Benefit | Coverage | Enrollment Period</w:t>
      </w:r>
    </w:p>
    <w:p>
      <w:r>
        <w:rPr>
          <w:rFonts w:ascii="Courier New" w:hAnsi="Courier New"/>
          <w:sz w:val="22"/>
        </w:rPr>
        <w:t>Medical Insurance — PPO Plan | 80% employer paid | Within 30 days of hire</w:t>
      </w:r>
    </w:p>
    <w:p>
      <w:r>
        <w:rPr>
          <w:rFonts w:ascii="Courier New" w:hAnsi="Courier New"/>
          <w:sz w:val="22"/>
        </w:rPr>
        <w:t>Medical Insurance — HMO Plan | 85% employer paid | Within 30 days of hire</w:t>
      </w:r>
    </w:p>
    <w:p>
      <w:r>
        <w:rPr>
          <w:rFonts w:ascii="Courier New" w:hAnsi="Courier New"/>
          <w:sz w:val="22"/>
        </w:rPr>
        <w:t>Medical Insurance — HDHP Plan | 70% employer paid + HSA | Within 30 days of hire</w:t>
      </w:r>
    </w:p>
    <w:p>
      <w:r>
        <w:rPr>
          <w:rFonts w:ascii="Courier New" w:hAnsi="Courier New"/>
          <w:sz w:val="22"/>
        </w:rPr>
        <w:t>Dental Insurance — Basic | 70% employer paid | Within 30 days of hire</w:t>
      </w:r>
    </w:p>
    <w:p>
      <w:r>
        <w:rPr>
          <w:rFonts w:ascii="Courier New" w:hAnsi="Courier New"/>
          <w:sz w:val="22"/>
        </w:rPr>
        <w:t>Dental Insurance — Enhanced | 80% employer paid | Within 30 days of hire</w:t>
      </w:r>
    </w:p>
    <w:p>
      <w:r>
        <w:rPr>
          <w:rFonts w:ascii="Courier New" w:hAnsi="Courier New"/>
          <w:sz w:val="22"/>
        </w:rPr>
        <w:t>Vision Insurance | 60% employer paid | Within 30 days of hire</w:t>
      </w:r>
    </w:p>
    <w:p>
      <w:r>
        <w:rPr>
          <w:rFonts w:ascii="Courier New" w:hAnsi="Courier New"/>
          <w:sz w:val="22"/>
        </w:rPr>
        <w:t>Life Insurance — Basic | 1x annual salary | Automatic enrollment</w:t>
      </w:r>
    </w:p>
    <w:p>
      <w:r>
        <w:rPr>
          <w:rFonts w:ascii="Courier New" w:hAnsi="Courier New"/>
          <w:sz w:val="22"/>
        </w:rPr>
        <w:t>Life Insurance — Supplemental | Up to 5x salary | Within 30 days of hire</w:t>
      </w:r>
    </w:p>
    <w:p>
      <w:r>
        <w:rPr>
          <w:rFonts w:ascii="Courier New" w:hAnsi="Courier New"/>
          <w:sz w:val="22"/>
        </w:rPr>
        <w:t>Accidental Death &amp; Dismemberment | 1x annual salary | Automatic enrollment</w:t>
      </w:r>
    </w:p>
    <w:p>
      <w:r>
        <w:rPr>
          <w:rFonts w:ascii="Courier New" w:hAnsi="Courier New"/>
          <w:sz w:val="22"/>
        </w:rPr>
        <w:t>Short-Term Disability | 60% of salary, 12 weeks | Automatic enrollment</w:t>
      </w:r>
    </w:p>
    <w:p>
      <w:r>
        <w:rPr>
          <w:rFonts w:ascii="Courier New" w:hAnsi="Courier New"/>
          <w:sz w:val="22"/>
        </w:rPr>
        <w:t>Long-Term Disability | 60% of salary | After 90 days</w:t>
      </w:r>
    </w:p>
    <w:p>
      <w:r>
        <w:rPr>
          <w:rFonts w:ascii="Courier New" w:hAnsi="Courier New"/>
          <w:sz w:val="22"/>
        </w:rPr>
        <w:t>401(k) Retirement — Traditional | 4% employer match | After 90 days</w:t>
      </w:r>
    </w:p>
    <w:p>
      <w:r>
        <w:rPr>
          <w:rFonts w:ascii="Courier New" w:hAnsi="Courier New"/>
          <w:sz w:val="22"/>
        </w:rPr>
        <w:t>401(k) Retirement — Roth | 4% employer match | After 90 days</w:t>
      </w:r>
    </w:p>
    <w:p>
      <w:r>
        <w:rPr>
          <w:rFonts w:ascii="Courier New" w:hAnsi="Courier New"/>
          <w:sz w:val="22"/>
        </w:rPr>
        <w:t>Paid Time Off | 15 days per year | Accrues from day 1</w:t>
      </w:r>
    </w:p>
    <w:p>
      <w:r>
        <w:rPr>
          <w:rFonts w:ascii="Courier New" w:hAnsi="Courier New"/>
          <w:sz w:val="22"/>
        </w:rPr>
        <w:t>Sick Leave | 10 days per year | Accrues from day 1</w:t>
      </w:r>
    </w:p>
    <w:p>
      <w:r>
        <w:rPr>
          <w:rFonts w:ascii="Courier New" w:hAnsi="Courier New"/>
          <w:sz w:val="22"/>
        </w:rPr>
        <w:t>Bereavement Leave | 5 days paid | Immediate access</w:t>
      </w:r>
    </w:p>
    <w:p>
      <w:r>
        <w:rPr>
          <w:rFonts w:ascii="Courier New" w:hAnsi="Courier New"/>
          <w:sz w:val="22"/>
        </w:rPr>
        <w:t>Parental Leave | 12 weeks paid | After 1 year of service</w:t>
      </w:r>
    </w:p>
    <w:p>
      <w:r>
        <w:rPr>
          <w:rFonts w:ascii="Courier New" w:hAnsi="Courier New"/>
          <w:sz w:val="22"/>
        </w:rPr>
        <w:t>Continuing Education | $2,000 per year | After 6 months</w:t>
      </w:r>
    </w:p>
    <w:p>
      <w:r>
        <w:rPr>
          <w:rFonts w:ascii="Courier New" w:hAnsi="Courier New"/>
          <w:sz w:val="22"/>
        </w:rPr>
        <w:t>Tuition Reimbursement | Up to $5,000 per year | After 1 year of service</w:t>
      </w:r>
    </w:p>
    <w:p>
      <w:r>
        <w:rPr>
          <w:rFonts w:ascii="Courier New" w:hAnsi="Courier New"/>
          <w:sz w:val="22"/>
        </w:rPr>
        <w:t>Employee Assistance Program | 100% covered | Immediate access</w:t>
      </w:r>
    </w:p>
    <w:p>
      <w:r>
        <w:rPr>
          <w:rFonts w:ascii="Courier New" w:hAnsi="Courier New"/>
          <w:sz w:val="22"/>
        </w:rPr>
        <w:t>Commuter Benefits | Pre-tax transit/parking | Within 30 days of hire</w:t>
      </w:r>
    </w:p>
    <w:p>
      <w:r>
        <w:rPr>
          <w:rFonts w:ascii="Courier New" w:hAnsi="Courier New"/>
          <w:sz w:val="22"/>
        </w:rPr>
        <w:t>Health Savings Account (HSA) | Up to $500 employer contribution | With HDHP enrollment</w:t>
      </w:r>
    </w:p>
    <w:p/>
    <w:p>
      <w:pPr>
        <w:pStyle w:val="Heading2"/>
      </w:pPr>
      <w:r>
        <w:t>3.2 Workplace Conduct Guidelines</w:t>
      </w:r>
    </w:p>
    <w:p>
      <w:r>
        <w:rPr>
          <w:b w:val="0"/>
          <w:i w:val="0"/>
          <w:sz w:val="24"/>
        </w:rPr>
        <w:t>All NVH employees are expected to uphold the following standards of professional conduct:</w:t>
      </w:r>
    </w:p>
    <w:p>
      <w:r>
        <w:rPr>
          <w:b/>
          <w:i w:val="0"/>
          <w:sz w:val="24"/>
        </w:rPr>
        <w:t>Professional Communication</w:t>
      </w:r>
    </w:p>
    <w:p>
      <w:r>
        <w:rPr>
          <w:b w:val="0"/>
          <w:i w:val="0"/>
          <w:sz w:val="24"/>
        </w:rPr>
        <w:t>Use respectful, clear language with patients and colleagues</w:t>
      </w:r>
    </w:p>
    <w:p>
      <w:r>
        <w:rPr>
          <w:b w:val="0"/>
          <w:i w:val="0"/>
          <w:sz w:val="24"/>
        </w:rPr>
        <w:t>Respond to emails and messages within one business day</w:t>
      </w:r>
    </w:p>
    <w:p>
      <w:r>
        <w:rPr>
          <w:b/>
          <w:i w:val="0"/>
          <w:sz w:val="24"/>
        </w:rPr>
        <w:t>Patient Confidentiality</w:t>
      </w:r>
    </w:p>
    <w:p>
      <w:r>
        <w:rPr>
          <w:b w:val="0"/>
          <w:i w:val="0"/>
          <w:sz w:val="24"/>
        </w:rPr>
        <w:t>Never share patient information outside authorized channels</w:t>
      </w:r>
    </w:p>
    <w:p>
      <w:r>
        <w:rPr>
          <w:b w:val="0"/>
          <w:i w:val="0"/>
          <w:sz w:val="24"/>
        </w:rPr>
        <w:t>Log out of all systems when leaving a workstation</w:t>
      </w:r>
    </w:p>
    <w:p>
      <w:r>
        <w:rPr>
          <w:b/>
          <w:i w:val="0"/>
          <w:sz w:val="24"/>
        </w:rPr>
        <w:t>Safety and Compliance</w:t>
      </w:r>
    </w:p>
    <w:p>
      <w:r>
        <w:rPr>
          <w:b w:val="0"/>
          <w:i w:val="0"/>
          <w:sz w:val="24"/>
        </w:rPr>
        <w:t>Follow all infection control protocols at all times</w:t>
      </w:r>
    </w:p>
    <w:p>
      <w:r>
        <w:rPr>
          <w:b w:val="0"/>
          <w:i w:val="0"/>
          <w:sz w:val="24"/>
        </w:rPr>
        <w:t>Report any safety concerns immediately to your supervisor</w:t>
      </w:r>
    </w:p>
    <w:p>
      <w:r>
        <w:rPr>
          <w:b/>
          <w:i w:val="0"/>
          <w:sz w:val="24"/>
        </w:rPr>
        <w:t>Workplace Respect</w:t>
      </w:r>
    </w:p>
    <w:p>
      <w:r>
        <w:rPr>
          <w:b w:val="0"/>
          <w:i w:val="0"/>
          <w:sz w:val="24"/>
        </w:rPr>
        <w:t>Treat all colleagues with dignity regardless of role or title</w:t>
      </w:r>
    </w:p>
    <w:p>
      <w:r>
        <w:rPr>
          <w:b w:val="0"/>
          <w:i w:val="0"/>
          <w:sz w:val="24"/>
        </w:rPr>
        <w:t>Report any form of harassment or discrimination to HR immediately</w:t>
      </w:r>
    </w:p>
    <w:p>
      <w:pPr>
        <w:pStyle w:val="Heading1"/>
      </w:pPr>
      <w:r>
        <w:t>Chapter 4: Onboarding and Compliance</w:t>
      </w:r>
    </w:p>
    <w:p>
      <w:pPr>
        <w:shd w:val="clear" w:color="auto" w:fill="FFF2CC"/>
      </w:pPr>
      <w:r>
        <w:rPr>
          <w:b/>
          <w:color w:val="7A4100"/>
          <w:sz w:val="20"/>
        </w:rPr>
        <w:t>[INSTRUCTION] GRAPHICS TASKS — (28) Insert NVH logo on cover page (Insert → Pictures). (29) Apply Soft Edge picture style (Picture Format → Picture Styles). (30) Set text wrapping to Square (Picture Format → Wrap Text → Square). (31) Insert SmartArt Process diagram (Insert → SmartArt → Process) showing 5 onboarding stages. (32) Modify SmartArt to show: Week 1: Orientation | Week 2: Department Training | Week 3: Systems Training | Week 4: Shadow Experience | Week 5: Independent Practice. (33) Insert one icon per department (Insert → Icons). (34) Right-click each image and SmartArt → Edit Alt Text → add description.</w:t>
      </w:r>
    </w:p>
    <w:p>
      <w:pPr>
        <w:pStyle w:val="Heading2"/>
      </w:pPr>
      <w:r>
        <w:t>4.1 Onboarding Journey</w:t>
      </w:r>
    </w:p>
    <w:p>
      <w:r>
        <w:rPr>
          <w:i/>
          <w:color w:val="888888"/>
          <w:sz w:val="20"/>
        </w:rPr>
        <w:t>[INSERT SMARTART PROCESS DIAGRAM HERE — 5 stages as described in instruction above]</w:t>
      </w:r>
    </w:p>
    <w:p>
      <w:r>
        <w:rPr>
          <w:i/>
          <w:color w:val="888888"/>
          <w:sz w:val="20"/>
        </w:rPr>
        <w:t>[INSERT DEPARTMENT ICONS HERE — one for each: Nursing, Radiology, Emergency, Laboratory, Administration]</w:t>
      </w:r>
    </w:p>
    <w:p>
      <w:pPr>
        <w:pStyle w:val="Heading2"/>
      </w:pPr>
      <w:r>
        <w:t>4.2 Regulatory Compliance</w:t>
      </w:r>
    </w:p>
    <w:p>
      <w:r>
        <w:rPr>
          <w:b w:val="0"/>
          <w:i w:val="0"/>
          <w:sz w:val="24"/>
        </w:rPr>
        <w:t>All NVH employees must comply with federal and state healthcare regulations including HIPAA, OSHA, and Nevada Revised Statutes governing healthcare practice.</w:t>
      </w:r>
    </w:p>
    <w:p>
      <w:r>
        <w:rPr>
          <w:b w:val="0"/>
          <w:i w:val="0"/>
          <w:sz w:val="24"/>
        </w:rPr>
        <w:t>Employees are required to complete mandatory compliance training within 30 days of hire and annually thereafter.</w:t>
      </w:r>
    </w:p>
    <w:p>
      <w:r>
        <w:rPr>
          <w:i/>
          <w:color w:val="888888"/>
          <w:sz w:val="20"/>
        </w:rPr>
        <w:t>[INSERT ENDNOTES HERE — References tab → Insert Endnote — cite HIPAA 45 CFR Parts 160 and 164, OSHA 29 CFR 1910, Nevada NRS Chapter 632]</w:t>
      </w:r>
    </w:p>
    <w:p>
      <w:pPr>
        <w:pStyle w:val="Heading1"/>
      </w:pPr>
      <w:r>
        <w:t>Quick Reference</w:t>
      </w:r>
    </w:p>
    <w:p>
      <w:pPr>
        <w:shd w:val="clear" w:color="auto" w:fill="FFF2CC"/>
      </w:pPr>
      <w:r>
        <w:rPr>
          <w:b/>
          <w:color w:val="7A4100"/>
          <w:sz w:val="20"/>
        </w:rPr>
        <w:t>[INSTRUCTION] COLUMNS TASK — (18) Select all the content in this Quick Reference section. Go to Layout tab → Page Setup group → Columns → Two. The content should flow into two side-by-side columns.</w:t>
      </w:r>
    </w:p>
    <w:p>
      <w:pPr>
        <w:pStyle w:val="Heading2"/>
      </w:pPr>
      <w:r>
        <w:t>Key Contacts</w:t>
      </w:r>
    </w:p>
    <w:p>
      <w:r>
        <w:rPr>
          <w:b w:val="0"/>
          <w:i w:val="0"/>
          <w:sz w:val="24"/>
        </w:rPr>
        <w:t>Human Resources: ext. 2100 | hr@nvhealthcare.org</w:t>
      </w:r>
    </w:p>
    <w:p>
      <w:r>
        <w:rPr>
          <w:b w:val="0"/>
          <w:i w:val="0"/>
          <w:sz w:val="24"/>
        </w:rPr>
        <w:t>IT Help Desk: ext. 3000 | ithelpdesk@nvhealthcare.org</w:t>
      </w:r>
    </w:p>
    <w:p>
      <w:r>
        <w:rPr>
          <w:b w:val="0"/>
          <w:i w:val="0"/>
          <w:sz w:val="24"/>
        </w:rPr>
        <w:t>Security: ext. 9111</w:t>
      </w:r>
    </w:p>
    <w:p>
      <w:r>
        <w:rPr>
          <w:b w:val="0"/>
          <w:i w:val="0"/>
          <w:sz w:val="24"/>
        </w:rPr>
        <w:t>Payroll: ext. 2200 | payroll@nvhealthcare.org</w:t>
      </w:r>
    </w:p>
    <w:p>
      <w:pPr>
        <w:pStyle w:val="Heading2"/>
      </w:pPr>
      <w:r>
        <w:t>Important Policies</w:t>
      </w:r>
    </w:p>
    <w:p>
      <w:r>
        <w:rPr>
          <w:b w:val="0"/>
          <w:i w:val="0"/>
          <w:sz w:val="24"/>
        </w:rPr>
        <w:t>PTO Policy: Requests must be submitted at least 2 weeks in advance through the NVH scheduling portal. Requests are subject to department approval and staffing availability.</w:t>
      </w:r>
    </w:p>
    <w:p>
      <w:r>
        <w:rPr>
          <w:b w:val="0"/>
          <w:i w:val="0"/>
          <w:sz w:val="24"/>
        </w:rPr>
        <w:t>Dress Code: All clinical staff must wear NVH-issued scrubs. Administrative staff should dress in business casual attire at all times.</w:t>
      </w:r>
    </w:p>
    <w:p>
      <w:r>
        <w:rPr>
          <w:b w:val="0"/>
          <w:i w:val="0"/>
          <w:sz w:val="24"/>
        </w:rPr>
        <w:t>Social Media: Employees may not post patient information, photos taken in clinical areas, or confidential NVH information on any social media platform.</w:t>
      </w:r>
    </w:p>
    <w:p>
      <w:pPr>
        <w:shd w:val="clear" w:color="auto" w:fill="FFF2CC"/>
      </w:pPr>
      <w:r>
        <w:rPr>
          <w:b/>
          <w:color w:val="7A4100"/>
          <w:sz w:val="20"/>
        </w:rPr>
        <w:t>[INSTRUCTION] COLLABORATION TASKS — (35) Click on the benefits table and add a comment requesting HR review (Review tab → New Comment). (36) There is already an HR Director comment below — click Reply and type your response. (37) Delete the resolved comment below it (right-click → Delete Comment). (38) Turn on Track Changes (Review → Track Changes) and revise the PTO policy text above. (39) Accept changes that correct policy language (Review → Accept). (40) There is a pre-inserted tracked change below — REJECT it.</w:t>
      </w:r>
    </w:p>
    <w:p/>
    <w:p>
      <w:r>
        <w:rPr>
          <w:b w:val="0"/>
          <w:i/>
          <w:color w:val="0070C0"/>
          <w:sz w:val="20"/>
        </w:rPr>
        <w:t>HR DIRECTOR COMMENT [PRE-INSERTED]: 'Please confirm the tuition reimbursement amount of $5,000 is accurate for the 2026 benefits year before publishing.' — Reply to this comment using Review tab → Reply.</w:t>
      </w:r>
    </w:p>
    <w:p/>
    <w:p>
      <w:r>
        <w:rPr>
          <w:b w:val="0"/>
          <w:i/>
          <w:color w:val="FF0000"/>
          <w:sz w:val="20"/>
        </w:rPr>
        <w:t>TRACKED CHANGE [PRE-INSERTED]: A reviewer changed the PTO accrual from '15 days per year' to '10 days per year'. This change is INCORRECT — Reject it using Review tab → Next → Reject to restore the original 15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