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1048A" w14:textId="77777777" w:rsidR="00920EB8" w:rsidRPr="006D777C" w:rsidRDefault="00C57E88" w:rsidP="00E94AEB">
      <w:pPr>
        <w:jc w:val="both"/>
        <w:rPr>
          <w:rFonts w:ascii="Arial" w:hAnsi="Arial" w:cs="Arial"/>
          <w:b/>
          <w:bCs/>
          <w:sz w:val="24"/>
          <w:szCs w:val="24"/>
        </w:rPr>
      </w:pPr>
      <w:r w:rsidRPr="006D777C">
        <w:rPr>
          <w:rFonts w:ascii="Arial" w:hAnsi="Arial" w:cs="Arial"/>
          <w:b/>
          <w:bCs/>
          <w:sz w:val="24"/>
          <w:szCs w:val="24"/>
        </w:rPr>
        <w:t xml:space="preserve">Introduction </w:t>
      </w:r>
    </w:p>
    <w:p w14:paraId="151809B0" w14:textId="77777777" w:rsidR="00AA5035" w:rsidRPr="006D777C" w:rsidRDefault="00C57E88" w:rsidP="00E94AEB">
      <w:pPr>
        <w:jc w:val="both"/>
        <w:rPr>
          <w:rFonts w:ascii="Arial" w:hAnsi="Arial" w:cs="Arial"/>
          <w:sz w:val="24"/>
          <w:szCs w:val="24"/>
        </w:rPr>
      </w:pPr>
      <w:r w:rsidRPr="006D777C">
        <w:rPr>
          <w:rFonts w:ascii="Arial" w:hAnsi="Arial" w:cs="Arial"/>
          <w:sz w:val="24"/>
          <w:szCs w:val="24"/>
        </w:rPr>
        <w:t xml:space="preserve">The Rei Vindicatio and the Condictio Furtuva </w:t>
      </w:r>
      <w:r w:rsidR="006A4620" w:rsidRPr="006D777C">
        <w:rPr>
          <w:rFonts w:ascii="Arial" w:hAnsi="Arial" w:cs="Arial"/>
          <w:sz w:val="24"/>
          <w:szCs w:val="24"/>
        </w:rPr>
        <w:t xml:space="preserve">are both </w:t>
      </w:r>
      <w:r w:rsidR="000B0EB9">
        <w:rPr>
          <w:rFonts w:ascii="Arial" w:hAnsi="Arial" w:cs="Arial"/>
          <w:sz w:val="24"/>
          <w:szCs w:val="24"/>
        </w:rPr>
        <w:t xml:space="preserve">common law remedies </w:t>
      </w:r>
      <w:r w:rsidR="006A4620" w:rsidRPr="006D777C">
        <w:rPr>
          <w:rFonts w:ascii="Arial" w:hAnsi="Arial" w:cs="Arial"/>
          <w:sz w:val="24"/>
          <w:szCs w:val="24"/>
        </w:rPr>
        <w:t>to recover lost possession of a</w:t>
      </w:r>
      <w:r w:rsidR="00082E64">
        <w:rPr>
          <w:rFonts w:ascii="Arial" w:hAnsi="Arial" w:cs="Arial"/>
          <w:sz w:val="24"/>
          <w:szCs w:val="24"/>
        </w:rPr>
        <w:t xml:space="preserve"> patrimonial</w:t>
      </w:r>
      <w:r w:rsidR="006A4620" w:rsidRPr="006D777C">
        <w:rPr>
          <w:rFonts w:ascii="Arial" w:hAnsi="Arial" w:cs="Arial"/>
          <w:sz w:val="24"/>
          <w:szCs w:val="24"/>
        </w:rPr>
        <w:t xml:space="preserve"> thing. Although these actions ostensibly do the same thing</w:t>
      </w:r>
      <w:r w:rsidR="00051EE5">
        <w:rPr>
          <w:rFonts w:ascii="Arial" w:hAnsi="Arial" w:cs="Arial"/>
          <w:sz w:val="24"/>
          <w:szCs w:val="24"/>
        </w:rPr>
        <w:t xml:space="preserve"> and are alternatives to each other</w:t>
      </w:r>
      <w:r w:rsidR="006A4620" w:rsidRPr="006D777C">
        <w:rPr>
          <w:rFonts w:ascii="Arial" w:hAnsi="Arial" w:cs="Arial"/>
          <w:sz w:val="24"/>
          <w:szCs w:val="24"/>
        </w:rPr>
        <w:t xml:space="preserve">, </w:t>
      </w:r>
      <w:r w:rsidR="00AA5035" w:rsidRPr="006D777C">
        <w:rPr>
          <w:rFonts w:ascii="Arial" w:hAnsi="Arial" w:cs="Arial"/>
          <w:sz w:val="24"/>
          <w:szCs w:val="24"/>
        </w:rPr>
        <w:t xml:space="preserve">there are differences between them. Following I will explore both </w:t>
      </w:r>
      <w:r w:rsidR="00082E64">
        <w:rPr>
          <w:rFonts w:ascii="Arial" w:hAnsi="Arial" w:cs="Arial"/>
          <w:sz w:val="24"/>
          <w:szCs w:val="24"/>
        </w:rPr>
        <w:t>actions. I will look at the</w:t>
      </w:r>
      <w:r w:rsidR="00AA5035" w:rsidRPr="006D777C">
        <w:rPr>
          <w:rFonts w:ascii="Arial" w:hAnsi="Arial" w:cs="Arial"/>
          <w:sz w:val="24"/>
          <w:szCs w:val="24"/>
        </w:rPr>
        <w:t xml:space="preserve"> defin</w:t>
      </w:r>
      <w:r w:rsidR="002B2498">
        <w:rPr>
          <w:rFonts w:ascii="Arial" w:hAnsi="Arial" w:cs="Arial"/>
          <w:sz w:val="24"/>
          <w:szCs w:val="24"/>
        </w:rPr>
        <w:t>ition of the actions, what their</w:t>
      </w:r>
      <w:r w:rsidR="00AA5035" w:rsidRPr="006D777C">
        <w:rPr>
          <w:rFonts w:ascii="Arial" w:hAnsi="Arial" w:cs="Arial"/>
          <w:sz w:val="24"/>
          <w:szCs w:val="24"/>
        </w:rPr>
        <w:t xml:space="preserve"> requirements are and the differences between the two </w:t>
      </w:r>
      <w:r w:rsidR="00082E64">
        <w:rPr>
          <w:rFonts w:ascii="Arial" w:hAnsi="Arial" w:cs="Arial"/>
          <w:sz w:val="24"/>
          <w:szCs w:val="24"/>
        </w:rPr>
        <w:t xml:space="preserve">actions. </w:t>
      </w:r>
    </w:p>
    <w:p w14:paraId="5638599C" w14:textId="77777777" w:rsidR="00DA4112" w:rsidRDefault="00DA4112" w:rsidP="00E94AEB">
      <w:pPr>
        <w:jc w:val="both"/>
        <w:rPr>
          <w:rFonts w:ascii="Arial" w:hAnsi="Arial" w:cs="Arial"/>
          <w:b/>
          <w:bCs/>
          <w:sz w:val="24"/>
          <w:szCs w:val="24"/>
        </w:rPr>
      </w:pPr>
      <w:r w:rsidRPr="006D777C">
        <w:rPr>
          <w:rFonts w:ascii="Arial" w:hAnsi="Arial" w:cs="Arial"/>
          <w:b/>
          <w:bCs/>
          <w:sz w:val="24"/>
          <w:szCs w:val="24"/>
        </w:rPr>
        <w:t xml:space="preserve">Definition </w:t>
      </w:r>
      <w:r>
        <w:rPr>
          <w:rFonts w:ascii="Arial" w:hAnsi="Arial" w:cs="Arial"/>
          <w:b/>
          <w:bCs/>
          <w:sz w:val="24"/>
          <w:szCs w:val="24"/>
        </w:rPr>
        <w:t xml:space="preserve">of the </w:t>
      </w:r>
      <w:r w:rsidR="00686FF3">
        <w:rPr>
          <w:rFonts w:ascii="Arial" w:hAnsi="Arial" w:cs="Arial"/>
          <w:b/>
          <w:bCs/>
          <w:sz w:val="24"/>
          <w:szCs w:val="24"/>
        </w:rPr>
        <w:t>Condictio Furtuva</w:t>
      </w:r>
      <w:r w:rsidR="00AA5035" w:rsidRPr="006D777C">
        <w:rPr>
          <w:rFonts w:ascii="Arial" w:hAnsi="Arial" w:cs="Arial"/>
          <w:b/>
          <w:bCs/>
          <w:sz w:val="24"/>
          <w:szCs w:val="24"/>
        </w:rPr>
        <w:t>:</w:t>
      </w:r>
    </w:p>
    <w:p w14:paraId="4AD2AA1C" w14:textId="77777777" w:rsidR="00AA5035" w:rsidRDefault="00686FF3" w:rsidP="00E94AEB">
      <w:pPr>
        <w:jc w:val="both"/>
        <w:rPr>
          <w:rFonts w:ascii="Arial" w:hAnsi="Arial" w:cs="Arial"/>
          <w:sz w:val="24"/>
          <w:szCs w:val="24"/>
        </w:rPr>
      </w:pPr>
      <w:r>
        <w:rPr>
          <w:rFonts w:ascii="Arial" w:hAnsi="Arial" w:cs="Arial"/>
          <w:sz w:val="24"/>
          <w:szCs w:val="24"/>
        </w:rPr>
        <w:t xml:space="preserve">This is a delictual action which is used by a plaintiff that has their </w:t>
      </w:r>
      <w:r w:rsidR="00E94AEB">
        <w:rPr>
          <w:rFonts w:ascii="Arial" w:hAnsi="Arial" w:cs="Arial"/>
          <w:sz w:val="24"/>
          <w:szCs w:val="24"/>
        </w:rPr>
        <w:t>patrimonial</w:t>
      </w:r>
      <w:r>
        <w:rPr>
          <w:rFonts w:ascii="Arial" w:hAnsi="Arial" w:cs="Arial"/>
          <w:sz w:val="24"/>
          <w:szCs w:val="24"/>
        </w:rPr>
        <w:t xml:space="preserve"> thing removed from their possession through theft. </w:t>
      </w:r>
      <w:r w:rsidR="00E94AEB">
        <w:rPr>
          <w:rFonts w:ascii="Arial" w:hAnsi="Arial" w:cs="Arial"/>
          <w:sz w:val="24"/>
          <w:szCs w:val="24"/>
        </w:rPr>
        <w:t>T</w:t>
      </w:r>
      <w:r>
        <w:rPr>
          <w:rFonts w:ascii="Arial" w:hAnsi="Arial" w:cs="Arial"/>
          <w:sz w:val="24"/>
          <w:szCs w:val="24"/>
        </w:rPr>
        <w:t xml:space="preserve">his action is </w:t>
      </w:r>
      <w:r w:rsidR="00E94AEB">
        <w:rPr>
          <w:rFonts w:ascii="Arial" w:hAnsi="Arial" w:cs="Arial"/>
          <w:sz w:val="24"/>
          <w:szCs w:val="24"/>
        </w:rPr>
        <w:t>available</w:t>
      </w:r>
      <w:r>
        <w:rPr>
          <w:rFonts w:ascii="Arial" w:hAnsi="Arial" w:cs="Arial"/>
          <w:sz w:val="24"/>
          <w:szCs w:val="24"/>
        </w:rPr>
        <w:t xml:space="preserve"> to the owner of the thing or anyone with an interest in the stolen thing.</w:t>
      </w:r>
      <w:r w:rsidR="00A04018" w:rsidRPr="00A04018">
        <w:rPr>
          <w:rStyle w:val="FootnoteReference"/>
          <w:rFonts w:ascii="Arial" w:hAnsi="Arial" w:cs="Arial"/>
          <w:sz w:val="24"/>
          <w:szCs w:val="24"/>
        </w:rPr>
        <w:t xml:space="preserve"> </w:t>
      </w:r>
      <w:r>
        <w:rPr>
          <w:rFonts w:ascii="Arial" w:hAnsi="Arial" w:cs="Arial"/>
          <w:sz w:val="24"/>
          <w:szCs w:val="24"/>
        </w:rPr>
        <w:t>This action can be brought against the thief and their heirs.</w:t>
      </w:r>
      <w:r w:rsidR="00A04018" w:rsidRPr="00A04018">
        <w:rPr>
          <w:rStyle w:val="FootnoteReference"/>
          <w:rFonts w:ascii="Arial" w:hAnsi="Arial" w:cs="Arial"/>
          <w:sz w:val="24"/>
          <w:szCs w:val="24"/>
        </w:rPr>
        <w:t xml:space="preserve"> </w:t>
      </w:r>
      <w:r w:rsidR="00A04018">
        <w:rPr>
          <w:rStyle w:val="FootnoteReference"/>
          <w:rFonts w:ascii="Arial" w:hAnsi="Arial" w:cs="Arial"/>
          <w:sz w:val="24"/>
          <w:szCs w:val="24"/>
        </w:rPr>
        <w:footnoteReference w:id="1"/>
      </w:r>
    </w:p>
    <w:p w14:paraId="0ED4D85B" w14:textId="77777777" w:rsidR="00A04018" w:rsidRDefault="006F516A" w:rsidP="00E94AEB">
      <w:pPr>
        <w:jc w:val="both"/>
        <w:rPr>
          <w:rFonts w:ascii="Arial" w:hAnsi="Arial" w:cs="Arial"/>
          <w:sz w:val="24"/>
          <w:szCs w:val="24"/>
        </w:rPr>
      </w:pPr>
      <w:r>
        <w:rPr>
          <w:rFonts w:ascii="Arial" w:hAnsi="Arial" w:cs="Arial"/>
          <w:sz w:val="24"/>
          <w:szCs w:val="24"/>
        </w:rPr>
        <w:t>The</w:t>
      </w:r>
      <w:r w:rsidR="00686FF3">
        <w:rPr>
          <w:rFonts w:ascii="Arial" w:hAnsi="Arial" w:cs="Arial"/>
          <w:sz w:val="24"/>
          <w:szCs w:val="24"/>
        </w:rPr>
        <w:t xml:space="preserve"> action can be used even in the absence of </w:t>
      </w:r>
      <w:r w:rsidR="00E94AEB">
        <w:rPr>
          <w:rFonts w:ascii="Arial" w:hAnsi="Arial" w:cs="Arial"/>
          <w:sz w:val="24"/>
          <w:szCs w:val="24"/>
        </w:rPr>
        <w:t>fault</w:t>
      </w:r>
      <w:r w:rsidR="00686FF3">
        <w:rPr>
          <w:rFonts w:ascii="Arial" w:hAnsi="Arial" w:cs="Arial"/>
          <w:sz w:val="24"/>
          <w:szCs w:val="24"/>
        </w:rPr>
        <w:t xml:space="preserve"> from the defendant, this </w:t>
      </w:r>
      <w:r w:rsidR="00A04018">
        <w:rPr>
          <w:rFonts w:ascii="Arial" w:hAnsi="Arial" w:cs="Arial"/>
          <w:sz w:val="24"/>
          <w:szCs w:val="24"/>
        </w:rPr>
        <w:t xml:space="preserve">formed part of the </w:t>
      </w:r>
      <w:r w:rsidR="00A04018" w:rsidRPr="00A04018">
        <w:rPr>
          <w:rFonts w:ascii="Arial" w:hAnsi="Arial" w:cs="Arial"/>
          <w:sz w:val="24"/>
          <w:szCs w:val="24"/>
        </w:rPr>
        <w:t>ratio decidendi</w:t>
      </w:r>
      <w:r w:rsidR="00A04018">
        <w:rPr>
          <w:rFonts w:ascii="Arial" w:hAnsi="Arial" w:cs="Arial"/>
          <w:sz w:val="24"/>
          <w:szCs w:val="24"/>
        </w:rPr>
        <w:t xml:space="preserve"> </w:t>
      </w:r>
      <w:r w:rsidR="00686FF3">
        <w:rPr>
          <w:rFonts w:ascii="Arial" w:hAnsi="Arial" w:cs="Arial"/>
          <w:sz w:val="24"/>
          <w:szCs w:val="24"/>
        </w:rPr>
        <w:t xml:space="preserve">in </w:t>
      </w:r>
      <w:r w:rsidR="00686FF3" w:rsidRPr="00686FF3">
        <w:rPr>
          <w:rFonts w:ascii="Arial" w:hAnsi="Arial" w:cs="Arial"/>
          <w:sz w:val="24"/>
          <w:szCs w:val="24"/>
        </w:rPr>
        <w:t>Crots v Pretorius (2010 (6) SA 512 (SCA</w:t>
      </w:r>
      <w:r w:rsidR="00E94AEB" w:rsidRPr="00686FF3">
        <w:rPr>
          <w:rFonts w:ascii="Arial" w:hAnsi="Arial" w:cs="Arial"/>
          <w:sz w:val="24"/>
          <w:szCs w:val="24"/>
        </w:rPr>
        <w:t>)</w:t>
      </w:r>
      <w:r>
        <w:rPr>
          <w:rFonts w:ascii="Arial" w:hAnsi="Arial" w:cs="Arial"/>
          <w:sz w:val="24"/>
          <w:szCs w:val="24"/>
        </w:rPr>
        <w:t xml:space="preserve"> were the court found that </w:t>
      </w:r>
      <w:r w:rsidRPr="00E94AEB">
        <w:rPr>
          <w:rFonts w:ascii="Arial" w:hAnsi="Arial" w:cs="Arial"/>
          <w:sz w:val="24"/>
          <w:szCs w:val="24"/>
        </w:rPr>
        <w:t>dolus eventualis satisfies the requirements for theft</w:t>
      </w:r>
      <w:r w:rsidR="00A04018">
        <w:rPr>
          <w:rStyle w:val="FootnoteReference"/>
          <w:rFonts w:ascii="Arial" w:hAnsi="Arial" w:cs="Arial"/>
          <w:sz w:val="24"/>
          <w:szCs w:val="24"/>
        </w:rPr>
        <w:footnoteReference w:id="2"/>
      </w:r>
      <w:r>
        <w:rPr>
          <w:rFonts w:ascii="Arial" w:hAnsi="Arial" w:cs="Arial"/>
          <w:sz w:val="24"/>
          <w:szCs w:val="24"/>
        </w:rPr>
        <w:t>, following is a quick summery of the case</w:t>
      </w:r>
      <w:r w:rsidR="00E94AEB">
        <w:rPr>
          <w:rFonts w:ascii="Arial" w:hAnsi="Arial" w:cs="Arial"/>
          <w:sz w:val="24"/>
          <w:szCs w:val="24"/>
        </w:rPr>
        <w:t>:</w:t>
      </w:r>
      <w:r w:rsidR="00686FF3">
        <w:rPr>
          <w:rFonts w:ascii="Arial" w:hAnsi="Arial" w:cs="Arial"/>
          <w:sz w:val="24"/>
          <w:szCs w:val="24"/>
        </w:rPr>
        <w:t xml:space="preserve"> </w:t>
      </w:r>
    </w:p>
    <w:p w14:paraId="167CC8EB" w14:textId="434D7539" w:rsidR="00C22074" w:rsidRPr="00A04018" w:rsidRDefault="00686FF3" w:rsidP="00E94AEB">
      <w:pPr>
        <w:jc w:val="both"/>
        <w:rPr>
          <w:rFonts w:ascii="Arial" w:hAnsi="Arial" w:cs="Arial"/>
          <w:i/>
          <w:iCs/>
        </w:rPr>
      </w:pPr>
      <w:r w:rsidRPr="00A04018">
        <w:rPr>
          <w:rFonts w:ascii="Arial" w:hAnsi="Arial" w:cs="Arial"/>
          <w:i/>
          <w:iCs/>
        </w:rPr>
        <w:t xml:space="preserve">The defendant bought heifers (cows) from a third party, during the sale he flouted the requirements </w:t>
      </w:r>
      <w:r w:rsidR="00A04018">
        <w:rPr>
          <w:rFonts w:ascii="Arial" w:hAnsi="Arial" w:cs="Arial"/>
          <w:i/>
          <w:iCs/>
        </w:rPr>
        <w:t>o</w:t>
      </w:r>
      <w:r w:rsidRPr="00A04018">
        <w:rPr>
          <w:rFonts w:ascii="Arial" w:hAnsi="Arial" w:cs="Arial"/>
          <w:i/>
          <w:iCs/>
        </w:rPr>
        <w:t xml:space="preserve">f the provisions of the Stock Theft Act 57 of 1959 which he was </w:t>
      </w:r>
      <w:r w:rsidR="00A04018">
        <w:rPr>
          <w:rFonts w:ascii="Arial" w:hAnsi="Arial" w:cs="Arial"/>
          <w:i/>
          <w:iCs/>
        </w:rPr>
        <w:t xml:space="preserve">or should have been </w:t>
      </w:r>
      <w:r w:rsidR="00E94AEB" w:rsidRPr="00A04018">
        <w:rPr>
          <w:rFonts w:ascii="Arial" w:hAnsi="Arial" w:cs="Arial"/>
          <w:i/>
          <w:iCs/>
        </w:rPr>
        <w:t>familiar</w:t>
      </w:r>
      <w:r w:rsidRPr="00A04018">
        <w:rPr>
          <w:rFonts w:ascii="Arial" w:hAnsi="Arial" w:cs="Arial"/>
          <w:i/>
          <w:iCs/>
        </w:rPr>
        <w:t xml:space="preserve"> with given he was a stock speculator for 7 years. The defendant agreed to buy the heifers provided he could pay the third party an amount that the heifers would make upon </w:t>
      </w:r>
      <w:r w:rsidR="00E94AEB" w:rsidRPr="00A04018">
        <w:rPr>
          <w:rFonts w:ascii="Arial" w:hAnsi="Arial" w:cs="Arial"/>
          <w:i/>
          <w:iCs/>
        </w:rPr>
        <w:t>slaughter</w:t>
      </w:r>
      <w:r w:rsidRPr="00A04018">
        <w:rPr>
          <w:rFonts w:ascii="Arial" w:hAnsi="Arial" w:cs="Arial"/>
          <w:i/>
          <w:iCs/>
        </w:rPr>
        <w:t xml:space="preserve">. The Stock Theft Act has provisions </w:t>
      </w:r>
      <w:r w:rsidR="00C22074" w:rsidRPr="00A04018">
        <w:rPr>
          <w:rFonts w:ascii="Arial" w:hAnsi="Arial" w:cs="Arial"/>
          <w:i/>
          <w:iCs/>
        </w:rPr>
        <w:t>which the defendant floated and admitted to knowing. The defendant however claims to he had no direct knowledge of the theft</w:t>
      </w:r>
      <w:r w:rsidR="00A04018">
        <w:rPr>
          <w:rFonts w:ascii="Arial" w:hAnsi="Arial" w:cs="Arial"/>
          <w:i/>
          <w:iCs/>
        </w:rPr>
        <w:t xml:space="preserve">. </w:t>
      </w:r>
      <w:r w:rsidR="004A2D2C">
        <w:rPr>
          <w:rFonts w:ascii="Arial" w:hAnsi="Arial" w:cs="Arial"/>
          <w:i/>
          <w:iCs/>
        </w:rPr>
        <w:t>However,</w:t>
      </w:r>
      <w:r w:rsidR="00A04018">
        <w:rPr>
          <w:rFonts w:ascii="Arial" w:hAnsi="Arial" w:cs="Arial"/>
          <w:i/>
          <w:iCs/>
        </w:rPr>
        <w:t xml:space="preserve"> the court found he </w:t>
      </w:r>
      <w:r w:rsidR="004A2D2C">
        <w:rPr>
          <w:rFonts w:ascii="Arial" w:hAnsi="Arial" w:cs="Arial"/>
          <w:i/>
          <w:iCs/>
        </w:rPr>
        <w:t>foresaw</w:t>
      </w:r>
      <w:r w:rsidR="00A04018">
        <w:rPr>
          <w:rFonts w:ascii="Arial" w:hAnsi="Arial" w:cs="Arial"/>
          <w:i/>
          <w:iCs/>
        </w:rPr>
        <w:t xml:space="preserve"> the possibility that the third party didn’t have </w:t>
      </w:r>
      <w:r w:rsidR="004A2D2C">
        <w:rPr>
          <w:rFonts w:ascii="Arial" w:hAnsi="Arial" w:cs="Arial"/>
          <w:i/>
          <w:iCs/>
        </w:rPr>
        <w:t>enough</w:t>
      </w:r>
      <w:r w:rsidR="00A04018">
        <w:rPr>
          <w:rFonts w:ascii="Arial" w:hAnsi="Arial" w:cs="Arial"/>
          <w:i/>
          <w:iCs/>
        </w:rPr>
        <w:t xml:space="preserve"> right to sell the heifers but choose to ignore this and therefore his actions </w:t>
      </w:r>
      <w:r w:rsidR="004A2D2C">
        <w:rPr>
          <w:rFonts w:ascii="Arial" w:hAnsi="Arial" w:cs="Arial"/>
          <w:i/>
          <w:iCs/>
        </w:rPr>
        <w:t>satisfy</w:t>
      </w:r>
      <w:r w:rsidR="00A04018">
        <w:rPr>
          <w:rFonts w:ascii="Arial" w:hAnsi="Arial" w:cs="Arial"/>
          <w:i/>
          <w:iCs/>
        </w:rPr>
        <w:t xml:space="preserve"> the requirements for dolus eventualis for the theft.</w:t>
      </w:r>
      <w:r w:rsidRPr="00A04018">
        <w:rPr>
          <w:rFonts w:ascii="Arial" w:hAnsi="Arial" w:cs="Arial"/>
          <w:i/>
          <w:iCs/>
        </w:rPr>
        <w:t xml:space="preserve"> </w:t>
      </w:r>
      <w:r w:rsidRPr="00A04018">
        <w:rPr>
          <w:rStyle w:val="FootnoteReference"/>
          <w:rFonts w:ascii="Arial" w:hAnsi="Arial" w:cs="Arial"/>
          <w:i/>
          <w:iCs/>
        </w:rPr>
        <w:footnoteReference w:id="3"/>
      </w:r>
    </w:p>
    <w:p w14:paraId="4C349924" w14:textId="77777777" w:rsidR="006F516A" w:rsidRDefault="006F516A" w:rsidP="00E94AEB">
      <w:pPr>
        <w:jc w:val="both"/>
        <w:rPr>
          <w:rFonts w:ascii="Arial" w:hAnsi="Arial" w:cs="Arial"/>
          <w:sz w:val="24"/>
          <w:szCs w:val="24"/>
        </w:rPr>
      </w:pPr>
      <w:r>
        <w:rPr>
          <w:rFonts w:ascii="Arial" w:hAnsi="Arial" w:cs="Arial"/>
          <w:sz w:val="24"/>
          <w:szCs w:val="24"/>
        </w:rPr>
        <w:t xml:space="preserve">The Condictio Furtiva can be used to </w:t>
      </w:r>
      <w:r w:rsidR="00082E64">
        <w:rPr>
          <w:rFonts w:ascii="Arial" w:hAnsi="Arial" w:cs="Arial"/>
          <w:sz w:val="24"/>
          <w:szCs w:val="24"/>
        </w:rPr>
        <w:t>claim</w:t>
      </w:r>
      <w:r>
        <w:rPr>
          <w:rFonts w:ascii="Arial" w:hAnsi="Arial" w:cs="Arial"/>
          <w:sz w:val="24"/>
          <w:szCs w:val="24"/>
        </w:rPr>
        <w:t xml:space="preserve"> </w:t>
      </w:r>
      <w:r w:rsidR="006C00CF">
        <w:rPr>
          <w:rFonts w:ascii="Arial" w:hAnsi="Arial" w:cs="Arial"/>
          <w:sz w:val="24"/>
          <w:szCs w:val="24"/>
        </w:rPr>
        <w:t xml:space="preserve">damages of </w:t>
      </w:r>
      <w:r>
        <w:rPr>
          <w:rFonts w:ascii="Arial" w:hAnsi="Arial" w:cs="Arial"/>
          <w:sz w:val="24"/>
          <w:szCs w:val="24"/>
        </w:rPr>
        <w:t xml:space="preserve">the </w:t>
      </w:r>
      <w:r w:rsidR="00082E64">
        <w:rPr>
          <w:rFonts w:ascii="Arial" w:hAnsi="Arial" w:cs="Arial"/>
          <w:sz w:val="24"/>
          <w:szCs w:val="24"/>
        </w:rPr>
        <w:t xml:space="preserve">highest </w:t>
      </w:r>
      <w:r>
        <w:rPr>
          <w:rFonts w:ascii="Arial" w:hAnsi="Arial" w:cs="Arial"/>
          <w:sz w:val="24"/>
          <w:szCs w:val="24"/>
        </w:rPr>
        <w:t xml:space="preserve">value of the thing </w:t>
      </w:r>
      <w:r w:rsidR="00082E64">
        <w:rPr>
          <w:rFonts w:ascii="Arial" w:hAnsi="Arial" w:cs="Arial"/>
          <w:sz w:val="24"/>
          <w:szCs w:val="24"/>
        </w:rPr>
        <w:t>between the time of the theft to litis contestatio.</w:t>
      </w:r>
      <w:r w:rsidR="00082E64">
        <w:rPr>
          <w:rStyle w:val="FootnoteReference"/>
          <w:rFonts w:ascii="Arial" w:hAnsi="Arial" w:cs="Arial"/>
          <w:sz w:val="24"/>
          <w:szCs w:val="24"/>
        </w:rPr>
        <w:footnoteReference w:id="4"/>
      </w:r>
      <w:r w:rsidR="00082E64">
        <w:rPr>
          <w:rFonts w:ascii="Arial" w:hAnsi="Arial" w:cs="Arial"/>
          <w:sz w:val="24"/>
          <w:szCs w:val="24"/>
        </w:rPr>
        <w:t xml:space="preserve"> </w:t>
      </w:r>
      <w:r>
        <w:rPr>
          <w:rFonts w:ascii="Arial" w:hAnsi="Arial" w:cs="Arial"/>
          <w:sz w:val="24"/>
          <w:szCs w:val="24"/>
        </w:rPr>
        <w:t xml:space="preserve"> </w:t>
      </w:r>
    </w:p>
    <w:p w14:paraId="18E3D5A5" w14:textId="77777777" w:rsidR="00DA4112" w:rsidRDefault="00DA4112" w:rsidP="00DA4112">
      <w:pPr>
        <w:jc w:val="both"/>
        <w:rPr>
          <w:rFonts w:ascii="Arial" w:hAnsi="Arial" w:cs="Arial"/>
          <w:b/>
          <w:sz w:val="24"/>
          <w:szCs w:val="24"/>
        </w:rPr>
      </w:pPr>
      <w:r w:rsidRPr="00E94AEB">
        <w:rPr>
          <w:rFonts w:ascii="Arial" w:hAnsi="Arial" w:cs="Arial"/>
          <w:b/>
          <w:sz w:val="24"/>
          <w:szCs w:val="24"/>
        </w:rPr>
        <w:t>Requirements:</w:t>
      </w:r>
    </w:p>
    <w:p w14:paraId="7787CD11" w14:textId="77777777" w:rsidR="00DA4112" w:rsidRPr="006C00CF" w:rsidRDefault="00DA4112" w:rsidP="006C00CF">
      <w:pPr>
        <w:pStyle w:val="ListParagraph"/>
        <w:numPr>
          <w:ilvl w:val="0"/>
          <w:numId w:val="2"/>
        </w:numPr>
        <w:jc w:val="both"/>
        <w:rPr>
          <w:rFonts w:ascii="Arial" w:hAnsi="Arial" w:cs="Arial"/>
          <w:sz w:val="24"/>
          <w:szCs w:val="24"/>
        </w:rPr>
      </w:pPr>
      <w:r w:rsidRPr="00DA4112">
        <w:rPr>
          <w:rFonts w:ascii="Arial" w:hAnsi="Arial" w:cs="Arial"/>
          <w:sz w:val="24"/>
          <w:szCs w:val="24"/>
        </w:rPr>
        <w:t>The thing must be removed from the owner or anyone with an interest in the thing through theft. This include</w:t>
      </w:r>
      <w:r w:rsidR="006C00CF">
        <w:rPr>
          <w:rFonts w:ascii="Arial" w:hAnsi="Arial" w:cs="Arial"/>
          <w:sz w:val="24"/>
          <w:szCs w:val="24"/>
        </w:rPr>
        <w:t xml:space="preserve"> </w:t>
      </w:r>
      <w:r w:rsidRPr="006C00CF">
        <w:rPr>
          <w:rFonts w:ascii="Arial" w:hAnsi="Arial" w:cs="Arial"/>
          <w:sz w:val="24"/>
          <w:szCs w:val="24"/>
        </w:rPr>
        <w:t xml:space="preserve"> </w:t>
      </w:r>
      <w:r w:rsidRPr="006C00CF">
        <w:rPr>
          <w:rFonts w:ascii="Arial" w:hAnsi="Arial" w:cs="Arial"/>
          <w:b/>
          <w:i/>
          <w:sz w:val="24"/>
          <w:szCs w:val="24"/>
        </w:rPr>
        <w:t>Furtum Uses</w:t>
      </w:r>
      <w:r w:rsidRPr="006C00CF">
        <w:rPr>
          <w:rFonts w:ascii="Arial" w:hAnsi="Arial" w:cs="Arial"/>
          <w:i/>
          <w:sz w:val="24"/>
          <w:szCs w:val="24"/>
        </w:rPr>
        <w:t xml:space="preserve"> </w:t>
      </w:r>
      <w:r w:rsidRPr="006C00CF">
        <w:rPr>
          <w:rFonts w:ascii="Arial" w:hAnsi="Arial" w:cs="Arial"/>
          <w:sz w:val="24"/>
          <w:szCs w:val="24"/>
        </w:rPr>
        <w:t>(theft of use</w:t>
      </w:r>
      <w:r w:rsidR="006C00CF">
        <w:rPr>
          <w:rFonts w:ascii="Arial" w:hAnsi="Arial" w:cs="Arial"/>
          <w:sz w:val="24"/>
          <w:szCs w:val="24"/>
        </w:rPr>
        <w:t xml:space="preserve"> recognised in common law as theft</w:t>
      </w:r>
      <w:r w:rsidRPr="006C00CF">
        <w:rPr>
          <w:rFonts w:ascii="Arial" w:hAnsi="Arial" w:cs="Arial"/>
          <w:sz w:val="24"/>
          <w:szCs w:val="24"/>
        </w:rPr>
        <w:t xml:space="preserve">), This is illustrated by Malan JA’s citation of </w:t>
      </w:r>
      <w:r w:rsidRPr="006C00CF">
        <w:rPr>
          <w:rFonts w:ascii="Arial" w:hAnsi="Arial" w:cs="Arial"/>
          <w:b/>
          <w:iCs/>
        </w:rPr>
        <w:t>Clifford v Farinha</w:t>
      </w:r>
      <w:r w:rsidRPr="006C00CF">
        <w:rPr>
          <w:rFonts w:ascii="Arial" w:hAnsi="Arial" w:cs="Arial"/>
          <w:sz w:val="24"/>
          <w:szCs w:val="24"/>
        </w:rPr>
        <w:t xml:space="preserve"> in </w:t>
      </w:r>
      <w:r w:rsidRPr="006C00CF">
        <w:rPr>
          <w:rFonts w:ascii="Arial" w:hAnsi="Arial" w:cs="Arial"/>
          <w:b/>
          <w:iCs/>
        </w:rPr>
        <w:t xml:space="preserve">CHETTY v ITALTILE (668/2011) </w:t>
      </w:r>
      <w:r w:rsidRPr="006C00CF">
        <w:rPr>
          <w:rFonts w:ascii="Arial" w:hAnsi="Arial" w:cs="Arial"/>
          <w:iCs/>
        </w:rPr>
        <w:t>which says</w:t>
      </w:r>
      <w:r w:rsidR="006C00CF">
        <w:rPr>
          <w:rStyle w:val="FootnoteReference"/>
          <w:rFonts w:ascii="Arial" w:hAnsi="Arial" w:cs="Arial"/>
          <w:iCs/>
        </w:rPr>
        <w:footnoteReference w:id="5"/>
      </w:r>
      <w:r w:rsidRPr="006C00CF">
        <w:rPr>
          <w:rFonts w:ascii="Arial" w:hAnsi="Arial" w:cs="Arial"/>
          <w:iCs/>
        </w:rPr>
        <w:t>:</w:t>
      </w:r>
    </w:p>
    <w:p w14:paraId="2FD2F2DF" w14:textId="77777777" w:rsidR="00DA4112" w:rsidRDefault="00DA4112" w:rsidP="00DA4112">
      <w:pPr>
        <w:ind w:left="720"/>
        <w:jc w:val="both"/>
        <w:rPr>
          <w:rFonts w:ascii="Arial" w:hAnsi="Arial" w:cs="Arial"/>
          <w:i/>
          <w:iCs/>
        </w:rPr>
      </w:pPr>
      <w:r w:rsidRPr="00051EE5">
        <w:rPr>
          <w:rFonts w:ascii="Arial" w:hAnsi="Arial" w:cs="Arial"/>
          <w:i/>
          <w:iCs/>
        </w:rPr>
        <w:t>“The intention to appropriate the thing permanently, as in the case of criminal theft, is not a requirement of the condictio where furtum usus is concerned. The condictio furtiva will be available where, for example, the defendant withdraws the thing from the</w:t>
      </w:r>
      <w:r w:rsidRPr="00051EE5">
        <w:rPr>
          <w:rFonts w:ascii="Verdana" w:hAnsi="Verdana"/>
          <w:i/>
          <w:color w:val="242121"/>
          <w:sz w:val="27"/>
          <w:szCs w:val="27"/>
          <w:shd w:val="clear" w:color="auto" w:fill="FFFFFF"/>
        </w:rPr>
        <w:t xml:space="preserve"> </w:t>
      </w:r>
      <w:r w:rsidRPr="00051EE5">
        <w:rPr>
          <w:rFonts w:ascii="Arial" w:hAnsi="Arial" w:cs="Arial"/>
          <w:i/>
          <w:iCs/>
        </w:rPr>
        <w:t xml:space="preserve">possession of another, or ‘takes’ it, and uses it while intending to restore possession after use.” </w:t>
      </w:r>
      <w:r>
        <w:rPr>
          <w:rStyle w:val="FootnoteReference"/>
          <w:rFonts w:ascii="Arial" w:hAnsi="Arial" w:cs="Arial"/>
          <w:i/>
          <w:iCs/>
        </w:rPr>
        <w:footnoteReference w:id="6"/>
      </w:r>
    </w:p>
    <w:p w14:paraId="4ABC2BDA" w14:textId="77777777" w:rsidR="00DA4112" w:rsidRPr="00DA4112" w:rsidRDefault="00DA4112" w:rsidP="00DA4112">
      <w:pPr>
        <w:pStyle w:val="ListParagraph"/>
        <w:numPr>
          <w:ilvl w:val="0"/>
          <w:numId w:val="2"/>
        </w:numPr>
        <w:jc w:val="both"/>
        <w:rPr>
          <w:rFonts w:ascii="Arial" w:hAnsi="Arial" w:cs="Arial"/>
          <w:i/>
          <w:iCs/>
        </w:rPr>
      </w:pPr>
      <w:r w:rsidRPr="00DA4112">
        <w:rPr>
          <w:rFonts w:ascii="Arial" w:hAnsi="Arial" w:cs="Arial"/>
          <w:iCs/>
        </w:rPr>
        <w:lastRenderedPageBreak/>
        <w:t>The plaintiff must be an owner o</w:t>
      </w:r>
      <w:r w:rsidR="006C00CF">
        <w:rPr>
          <w:rFonts w:ascii="Arial" w:hAnsi="Arial" w:cs="Arial"/>
          <w:iCs/>
        </w:rPr>
        <w:t>r</w:t>
      </w:r>
      <w:r w:rsidRPr="00DA4112">
        <w:rPr>
          <w:rFonts w:ascii="Arial" w:hAnsi="Arial" w:cs="Arial"/>
          <w:iCs/>
        </w:rPr>
        <w:t xml:space="preserve"> someone with an interest in the thing stolen</w:t>
      </w:r>
      <w:r>
        <w:rPr>
          <w:rStyle w:val="FootnoteReference"/>
          <w:rFonts w:ascii="Arial" w:hAnsi="Arial" w:cs="Arial"/>
          <w:iCs/>
        </w:rPr>
        <w:footnoteReference w:id="7"/>
      </w:r>
    </w:p>
    <w:p w14:paraId="2FEB380B" w14:textId="77777777" w:rsidR="00082E64" w:rsidRDefault="00082E64" w:rsidP="00E94AEB">
      <w:pPr>
        <w:jc w:val="both"/>
        <w:rPr>
          <w:rFonts w:ascii="Arial" w:hAnsi="Arial" w:cs="Arial"/>
          <w:sz w:val="24"/>
          <w:szCs w:val="24"/>
        </w:rPr>
      </w:pPr>
    </w:p>
    <w:p w14:paraId="6DD1BC69" w14:textId="77777777" w:rsidR="00DA4112" w:rsidRDefault="00DA4112" w:rsidP="00E94AEB">
      <w:pPr>
        <w:jc w:val="both"/>
        <w:rPr>
          <w:rFonts w:ascii="Arial" w:hAnsi="Arial" w:cs="Arial"/>
          <w:b/>
          <w:sz w:val="29"/>
          <w:szCs w:val="29"/>
          <w:shd w:val="clear" w:color="auto" w:fill="FFFFFF"/>
        </w:rPr>
      </w:pPr>
      <w:r w:rsidRPr="006D777C">
        <w:rPr>
          <w:rFonts w:ascii="Arial" w:hAnsi="Arial" w:cs="Arial"/>
          <w:b/>
          <w:bCs/>
          <w:sz w:val="24"/>
          <w:szCs w:val="24"/>
        </w:rPr>
        <w:t xml:space="preserve">Definition </w:t>
      </w:r>
      <w:r>
        <w:rPr>
          <w:rFonts w:ascii="Arial" w:hAnsi="Arial" w:cs="Arial"/>
          <w:b/>
          <w:bCs/>
          <w:sz w:val="24"/>
          <w:szCs w:val="24"/>
        </w:rPr>
        <w:t xml:space="preserve">of the </w:t>
      </w:r>
      <w:r w:rsidR="0028452F" w:rsidRPr="00DA4112">
        <w:rPr>
          <w:rFonts w:ascii="Arial" w:hAnsi="Arial" w:cs="Arial"/>
          <w:b/>
          <w:bCs/>
          <w:sz w:val="24"/>
          <w:szCs w:val="24"/>
        </w:rPr>
        <w:t>Rei vindicatio</w:t>
      </w:r>
    </w:p>
    <w:p w14:paraId="2235EDC0" w14:textId="74B2C999" w:rsidR="003C1AEF" w:rsidRDefault="0028452F" w:rsidP="00E94AEB">
      <w:pPr>
        <w:jc w:val="both"/>
        <w:rPr>
          <w:rFonts w:ascii="Arial" w:hAnsi="Arial" w:cs="Arial"/>
          <w:sz w:val="24"/>
          <w:szCs w:val="24"/>
        </w:rPr>
      </w:pPr>
      <w:r w:rsidRPr="000B0EB9">
        <w:rPr>
          <w:rFonts w:ascii="Arial" w:hAnsi="Arial" w:cs="Arial"/>
          <w:sz w:val="24"/>
          <w:szCs w:val="24"/>
        </w:rPr>
        <w:t xml:space="preserve">Like the Condictio </w:t>
      </w:r>
      <w:r w:rsidR="000B0EB9" w:rsidRPr="000B0EB9">
        <w:rPr>
          <w:rFonts w:ascii="Arial" w:hAnsi="Arial" w:cs="Arial"/>
          <w:sz w:val="24"/>
          <w:szCs w:val="24"/>
        </w:rPr>
        <w:t>furtiva</w:t>
      </w:r>
      <w:r w:rsidRPr="000B0EB9">
        <w:rPr>
          <w:rFonts w:ascii="Arial" w:hAnsi="Arial" w:cs="Arial"/>
          <w:sz w:val="24"/>
          <w:szCs w:val="24"/>
        </w:rPr>
        <w:t xml:space="preserve"> this is also a </w:t>
      </w:r>
      <w:r w:rsidR="00BC2953">
        <w:rPr>
          <w:rFonts w:ascii="Arial" w:hAnsi="Arial" w:cs="Arial"/>
          <w:sz w:val="24"/>
          <w:szCs w:val="24"/>
        </w:rPr>
        <w:t xml:space="preserve">common law </w:t>
      </w:r>
      <w:r w:rsidRPr="000B0EB9">
        <w:rPr>
          <w:rFonts w:ascii="Arial" w:hAnsi="Arial" w:cs="Arial"/>
          <w:sz w:val="24"/>
          <w:szCs w:val="24"/>
        </w:rPr>
        <w:t xml:space="preserve">remedy </w:t>
      </w:r>
      <w:r w:rsidR="000B0EB9" w:rsidRPr="000B0EB9">
        <w:rPr>
          <w:rFonts w:ascii="Arial" w:hAnsi="Arial" w:cs="Arial"/>
          <w:sz w:val="24"/>
          <w:szCs w:val="24"/>
        </w:rPr>
        <w:t>to restore possession to the plaintiff</w:t>
      </w:r>
      <w:r w:rsidR="00BC2953">
        <w:rPr>
          <w:rFonts w:ascii="Arial" w:hAnsi="Arial" w:cs="Arial"/>
          <w:sz w:val="24"/>
          <w:szCs w:val="24"/>
        </w:rPr>
        <w:t xml:space="preserve"> who is the owner of the movable or immovable thing to which he/she lost possession</w:t>
      </w:r>
      <w:r w:rsidR="000B0EB9" w:rsidRPr="000B0EB9">
        <w:rPr>
          <w:rFonts w:ascii="Arial" w:hAnsi="Arial" w:cs="Arial"/>
          <w:sz w:val="24"/>
          <w:szCs w:val="24"/>
        </w:rPr>
        <w:t>.</w:t>
      </w:r>
      <w:r w:rsidR="00BC2953">
        <w:rPr>
          <w:rFonts w:ascii="Arial" w:hAnsi="Arial" w:cs="Arial"/>
          <w:sz w:val="24"/>
          <w:szCs w:val="24"/>
        </w:rPr>
        <w:t xml:space="preserve"> </w:t>
      </w:r>
      <w:r w:rsidR="000B0EB9" w:rsidRPr="000B0EB9">
        <w:rPr>
          <w:rFonts w:ascii="Arial" w:hAnsi="Arial" w:cs="Arial"/>
          <w:sz w:val="24"/>
          <w:szCs w:val="24"/>
        </w:rPr>
        <w:t xml:space="preserve"> </w:t>
      </w:r>
      <w:r w:rsidR="00BC2953">
        <w:rPr>
          <w:rFonts w:ascii="Arial" w:hAnsi="Arial" w:cs="Arial"/>
          <w:sz w:val="24"/>
          <w:szCs w:val="24"/>
        </w:rPr>
        <w:t>This remedy is merely used to restore possession</w:t>
      </w:r>
      <w:r w:rsidR="00DA4112">
        <w:rPr>
          <w:rFonts w:ascii="Arial" w:hAnsi="Arial" w:cs="Arial"/>
          <w:sz w:val="24"/>
          <w:szCs w:val="24"/>
        </w:rPr>
        <w:t xml:space="preserve"> and does not award damages.</w:t>
      </w:r>
      <w:r w:rsidR="00DA4112">
        <w:rPr>
          <w:rStyle w:val="FootnoteReference"/>
          <w:rFonts w:ascii="Arial" w:hAnsi="Arial" w:cs="Arial"/>
          <w:sz w:val="24"/>
          <w:szCs w:val="24"/>
        </w:rPr>
        <w:footnoteReference w:id="8"/>
      </w:r>
      <w:r w:rsidR="00BC2953">
        <w:rPr>
          <w:rFonts w:ascii="Arial" w:hAnsi="Arial" w:cs="Arial"/>
          <w:sz w:val="24"/>
          <w:szCs w:val="24"/>
        </w:rPr>
        <w:t xml:space="preserve"> </w:t>
      </w:r>
      <w:r w:rsidR="00DA4112">
        <w:rPr>
          <w:rFonts w:ascii="Arial" w:hAnsi="Arial" w:cs="Arial"/>
          <w:sz w:val="24"/>
          <w:szCs w:val="24"/>
        </w:rPr>
        <w:t xml:space="preserve"> </w:t>
      </w:r>
      <w:r w:rsidR="004A2D2C">
        <w:rPr>
          <w:rFonts w:ascii="Arial" w:hAnsi="Arial" w:cs="Arial"/>
          <w:sz w:val="24"/>
          <w:szCs w:val="24"/>
        </w:rPr>
        <w:t xml:space="preserve"> The remedy can be used to recover property from a third party that gets possession from someone that deprived the plaintiff of possession. The third party will not be entitled to compensation even if they gave value to get the thing.</w:t>
      </w:r>
      <w:r w:rsidR="004A2D2C">
        <w:rPr>
          <w:rStyle w:val="FootnoteReference"/>
          <w:rFonts w:ascii="Arial" w:hAnsi="Arial" w:cs="Arial"/>
          <w:sz w:val="24"/>
          <w:szCs w:val="24"/>
        </w:rPr>
        <w:footnoteReference w:id="9"/>
      </w:r>
      <w:r w:rsidR="004A2D2C">
        <w:rPr>
          <w:rFonts w:ascii="Arial" w:hAnsi="Arial" w:cs="Arial"/>
          <w:sz w:val="24"/>
          <w:szCs w:val="24"/>
        </w:rPr>
        <w:t xml:space="preserve"> </w:t>
      </w:r>
      <w:r w:rsidR="0091472B" w:rsidRPr="00BE739C">
        <w:rPr>
          <w:rFonts w:ascii="Arial" w:hAnsi="Arial" w:cs="Arial"/>
          <w:color w:val="C00000"/>
          <w:sz w:val="24"/>
          <w:szCs w:val="24"/>
        </w:rPr>
        <w:t>This remedy does not concern itself with the lawfulness of the act that deprived the owner of possession. It only looks at whether possession was lost by an owner and is held by a respondent who holds no right of possession</w:t>
      </w:r>
      <w:r w:rsidR="0091472B">
        <w:rPr>
          <w:rFonts w:ascii="Arial" w:hAnsi="Arial" w:cs="Arial"/>
          <w:color w:val="C00000"/>
          <w:sz w:val="24"/>
          <w:szCs w:val="24"/>
        </w:rPr>
        <w:t>.</w:t>
      </w:r>
      <w:r w:rsidR="0091472B">
        <w:rPr>
          <w:rStyle w:val="FootnoteReference"/>
          <w:rFonts w:ascii="Arial" w:hAnsi="Arial" w:cs="Arial"/>
          <w:color w:val="C00000"/>
          <w:sz w:val="24"/>
          <w:szCs w:val="24"/>
        </w:rPr>
        <w:footnoteReference w:id="10"/>
      </w:r>
      <w:r w:rsidR="0091472B">
        <w:rPr>
          <w:rFonts w:ascii="Arial" w:hAnsi="Arial" w:cs="Arial"/>
          <w:color w:val="C00000"/>
          <w:sz w:val="24"/>
          <w:szCs w:val="24"/>
        </w:rPr>
        <w:t xml:space="preserve"> </w:t>
      </w:r>
      <w:r w:rsidR="008431BA">
        <w:rPr>
          <w:rFonts w:ascii="Arial" w:hAnsi="Arial" w:cs="Arial"/>
          <w:sz w:val="24"/>
          <w:szCs w:val="24"/>
        </w:rPr>
        <w:t xml:space="preserve">The application Rei Vindicatio goes have limitations which are </w:t>
      </w:r>
    </w:p>
    <w:p w14:paraId="28B0B9B4" w14:textId="67FDE3DD" w:rsidR="008431BA" w:rsidRDefault="008431BA" w:rsidP="008431BA">
      <w:pPr>
        <w:pStyle w:val="ListParagraph"/>
        <w:numPr>
          <w:ilvl w:val="0"/>
          <w:numId w:val="4"/>
        </w:numPr>
        <w:jc w:val="both"/>
        <w:rPr>
          <w:rFonts w:ascii="Arial" w:hAnsi="Arial" w:cs="Arial"/>
          <w:sz w:val="24"/>
          <w:szCs w:val="24"/>
        </w:rPr>
      </w:pPr>
      <w:r>
        <w:rPr>
          <w:rFonts w:ascii="Arial" w:hAnsi="Arial" w:cs="Arial"/>
          <w:sz w:val="24"/>
          <w:szCs w:val="24"/>
        </w:rPr>
        <w:t xml:space="preserve">Property held on judicial sale or in execution </w:t>
      </w:r>
    </w:p>
    <w:p w14:paraId="102E6C4F" w14:textId="074F3002" w:rsidR="008431BA" w:rsidRDefault="008431BA" w:rsidP="008431BA">
      <w:pPr>
        <w:pStyle w:val="ListParagraph"/>
        <w:numPr>
          <w:ilvl w:val="0"/>
          <w:numId w:val="4"/>
        </w:numPr>
        <w:jc w:val="both"/>
        <w:rPr>
          <w:rFonts w:ascii="Arial" w:hAnsi="Arial" w:cs="Arial"/>
          <w:sz w:val="24"/>
          <w:szCs w:val="24"/>
        </w:rPr>
      </w:pPr>
      <w:r>
        <w:rPr>
          <w:rFonts w:ascii="Arial" w:hAnsi="Arial" w:cs="Arial"/>
          <w:sz w:val="24"/>
          <w:szCs w:val="24"/>
        </w:rPr>
        <w:t xml:space="preserve">Property alienated by an agent that was impowered to alienate </w:t>
      </w:r>
    </w:p>
    <w:p w14:paraId="09EE9DEB" w14:textId="5E6E1318" w:rsidR="003C1AEF" w:rsidRDefault="008431BA" w:rsidP="008431BA">
      <w:pPr>
        <w:pStyle w:val="ListParagraph"/>
        <w:numPr>
          <w:ilvl w:val="0"/>
          <w:numId w:val="4"/>
        </w:numPr>
        <w:jc w:val="both"/>
        <w:rPr>
          <w:rFonts w:ascii="Arial" w:hAnsi="Arial" w:cs="Arial"/>
          <w:sz w:val="24"/>
          <w:szCs w:val="24"/>
        </w:rPr>
      </w:pPr>
      <w:r>
        <w:rPr>
          <w:rFonts w:ascii="Arial" w:hAnsi="Arial" w:cs="Arial"/>
          <w:sz w:val="24"/>
          <w:szCs w:val="24"/>
        </w:rPr>
        <w:t>Doctrine of estoppel</w:t>
      </w:r>
      <w:r>
        <w:rPr>
          <w:rStyle w:val="FootnoteReference"/>
          <w:rFonts w:ascii="Arial" w:hAnsi="Arial" w:cs="Arial"/>
          <w:sz w:val="24"/>
          <w:szCs w:val="24"/>
        </w:rPr>
        <w:footnoteReference w:id="11"/>
      </w:r>
    </w:p>
    <w:p w14:paraId="3FDF5EBA" w14:textId="787B79F6" w:rsidR="008431BA" w:rsidRPr="008431BA" w:rsidRDefault="008431BA" w:rsidP="008431BA">
      <w:pPr>
        <w:jc w:val="both"/>
        <w:rPr>
          <w:rFonts w:ascii="Arial" w:hAnsi="Arial" w:cs="Arial"/>
          <w:sz w:val="24"/>
          <w:szCs w:val="24"/>
        </w:rPr>
      </w:pPr>
      <w:r>
        <w:rPr>
          <w:rFonts w:ascii="Arial" w:hAnsi="Arial" w:cs="Arial"/>
          <w:sz w:val="24"/>
          <w:szCs w:val="24"/>
        </w:rPr>
        <w:t xml:space="preserve">The plaintiff cannot use it to claim from a party that unlawfully deprived him of possession if they do not hold the property anymore. If the thing is destroyed or consumed the owner will have a claim for damages but cannot use the </w:t>
      </w:r>
      <w:proofErr w:type="spellStart"/>
      <w:r>
        <w:rPr>
          <w:rFonts w:ascii="Arial" w:hAnsi="Arial" w:cs="Arial"/>
          <w:sz w:val="24"/>
          <w:szCs w:val="24"/>
        </w:rPr>
        <w:t>Rie</w:t>
      </w:r>
      <w:proofErr w:type="spellEnd"/>
      <w:r>
        <w:rPr>
          <w:rFonts w:ascii="Arial" w:hAnsi="Arial" w:cs="Arial"/>
          <w:sz w:val="24"/>
          <w:szCs w:val="24"/>
        </w:rPr>
        <w:t xml:space="preserve"> vindicatio anymore.</w:t>
      </w:r>
      <w:r w:rsidR="00BE739C">
        <w:rPr>
          <w:rStyle w:val="FootnoteReference"/>
          <w:rFonts w:ascii="Arial" w:hAnsi="Arial" w:cs="Arial"/>
          <w:sz w:val="24"/>
          <w:szCs w:val="24"/>
        </w:rPr>
        <w:footnoteReference w:id="12"/>
      </w:r>
    </w:p>
    <w:p w14:paraId="222CF892" w14:textId="3FB2035A" w:rsidR="0028452F" w:rsidRPr="00BE739C" w:rsidRDefault="00DA4112" w:rsidP="00E94AEB">
      <w:pPr>
        <w:jc w:val="both"/>
        <w:rPr>
          <w:rFonts w:ascii="Arial" w:hAnsi="Arial" w:cs="Arial"/>
          <w:color w:val="C00000"/>
          <w:sz w:val="24"/>
          <w:szCs w:val="24"/>
        </w:rPr>
      </w:pPr>
      <w:r w:rsidRPr="00BE739C">
        <w:rPr>
          <w:rFonts w:ascii="Arial" w:hAnsi="Arial" w:cs="Arial"/>
          <w:color w:val="C00000"/>
          <w:sz w:val="24"/>
          <w:szCs w:val="24"/>
        </w:rPr>
        <w:t xml:space="preserve">The remedy </w:t>
      </w:r>
      <w:r w:rsidR="00C73F8E" w:rsidRPr="00BE739C">
        <w:rPr>
          <w:rFonts w:ascii="Arial" w:hAnsi="Arial" w:cs="Arial"/>
          <w:color w:val="C00000"/>
          <w:sz w:val="24"/>
          <w:szCs w:val="24"/>
        </w:rPr>
        <w:t xml:space="preserve">stems from the notion </w:t>
      </w:r>
      <w:r w:rsidRPr="00BE739C">
        <w:rPr>
          <w:rFonts w:ascii="Arial" w:hAnsi="Arial" w:cs="Arial"/>
          <w:color w:val="C00000"/>
          <w:sz w:val="24"/>
          <w:szCs w:val="24"/>
        </w:rPr>
        <w:t>that the owner of a thing is the holder of the highest right towards the thing</w:t>
      </w:r>
      <w:r w:rsidR="00C73F8E" w:rsidRPr="00BE739C">
        <w:rPr>
          <w:rFonts w:ascii="Arial" w:hAnsi="Arial" w:cs="Arial"/>
          <w:color w:val="C00000"/>
          <w:sz w:val="24"/>
          <w:szCs w:val="24"/>
        </w:rPr>
        <w:t xml:space="preserve"> and they must also have possession of the thing</w:t>
      </w:r>
      <w:r w:rsidRPr="00BE739C">
        <w:rPr>
          <w:rFonts w:ascii="Arial" w:hAnsi="Arial" w:cs="Arial"/>
          <w:color w:val="C00000"/>
          <w:sz w:val="24"/>
          <w:szCs w:val="24"/>
        </w:rPr>
        <w:t>.</w:t>
      </w:r>
      <w:r w:rsidR="006C00CF" w:rsidRPr="00BE739C">
        <w:rPr>
          <w:rStyle w:val="FootnoteReference"/>
          <w:rFonts w:ascii="Arial" w:hAnsi="Arial" w:cs="Arial"/>
          <w:color w:val="C00000"/>
          <w:sz w:val="24"/>
          <w:szCs w:val="24"/>
        </w:rPr>
        <w:footnoteReference w:id="13"/>
      </w:r>
      <w:r w:rsidRPr="00BE739C">
        <w:rPr>
          <w:rFonts w:ascii="Arial" w:hAnsi="Arial" w:cs="Arial"/>
          <w:color w:val="C00000"/>
          <w:sz w:val="24"/>
          <w:szCs w:val="24"/>
        </w:rPr>
        <w:t xml:space="preserve"> </w:t>
      </w:r>
      <w:r w:rsidR="00C73F8E" w:rsidRPr="00BE739C">
        <w:rPr>
          <w:rFonts w:ascii="Arial" w:hAnsi="Arial" w:cs="Arial"/>
          <w:color w:val="C00000"/>
          <w:sz w:val="24"/>
          <w:szCs w:val="24"/>
        </w:rPr>
        <w:t xml:space="preserve">Except where someone has a right of possession. </w:t>
      </w:r>
      <w:bookmarkStart w:id="0" w:name="_GoBack"/>
      <w:bookmarkEnd w:id="0"/>
    </w:p>
    <w:p w14:paraId="3248B55C" w14:textId="77777777" w:rsidR="004420C5" w:rsidRPr="004420C5" w:rsidRDefault="004420C5" w:rsidP="00E94AEB">
      <w:pPr>
        <w:jc w:val="both"/>
        <w:rPr>
          <w:rFonts w:ascii="Arial" w:hAnsi="Arial" w:cs="Arial"/>
          <w:b/>
          <w:sz w:val="24"/>
          <w:szCs w:val="24"/>
        </w:rPr>
      </w:pPr>
      <w:r w:rsidRPr="004420C5">
        <w:rPr>
          <w:rFonts w:ascii="Arial" w:hAnsi="Arial" w:cs="Arial"/>
          <w:b/>
          <w:sz w:val="24"/>
          <w:szCs w:val="24"/>
        </w:rPr>
        <w:t xml:space="preserve">Requirements </w:t>
      </w:r>
    </w:p>
    <w:p w14:paraId="2A62465E" w14:textId="77777777" w:rsidR="003C1AEF" w:rsidRDefault="004420C5" w:rsidP="003C1AEF">
      <w:pPr>
        <w:pStyle w:val="ListParagraph"/>
        <w:numPr>
          <w:ilvl w:val="0"/>
          <w:numId w:val="3"/>
        </w:numPr>
        <w:jc w:val="both"/>
        <w:rPr>
          <w:rFonts w:ascii="Arial" w:hAnsi="Arial" w:cs="Arial"/>
          <w:sz w:val="24"/>
          <w:szCs w:val="24"/>
        </w:rPr>
      </w:pPr>
      <w:r w:rsidRPr="003C1AEF">
        <w:rPr>
          <w:rFonts w:ascii="Arial" w:hAnsi="Arial" w:cs="Arial"/>
          <w:sz w:val="24"/>
          <w:szCs w:val="24"/>
        </w:rPr>
        <w:t xml:space="preserve">The plaintiff must prove their ownership of the thing </w:t>
      </w:r>
    </w:p>
    <w:p w14:paraId="1732439E" w14:textId="77777777" w:rsidR="004A2D2C" w:rsidRDefault="004420C5" w:rsidP="003C1AEF">
      <w:pPr>
        <w:pStyle w:val="ListParagraph"/>
        <w:numPr>
          <w:ilvl w:val="0"/>
          <w:numId w:val="3"/>
        </w:numPr>
        <w:jc w:val="both"/>
        <w:rPr>
          <w:rFonts w:ascii="Arial" w:hAnsi="Arial" w:cs="Arial"/>
          <w:sz w:val="24"/>
          <w:szCs w:val="24"/>
        </w:rPr>
      </w:pPr>
      <w:r w:rsidRPr="003C1AEF">
        <w:rPr>
          <w:rFonts w:ascii="Arial" w:hAnsi="Arial" w:cs="Arial"/>
          <w:sz w:val="24"/>
          <w:szCs w:val="24"/>
        </w:rPr>
        <w:t xml:space="preserve">They must prove that possession </w:t>
      </w:r>
      <w:r w:rsidR="004A2D2C">
        <w:rPr>
          <w:rFonts w:ascii="Arial" w:hAnsi="Arial" w:cs="Arial"/>
          <w:sz w:val="24"/>
          <w:szCs w:val="24"/>
        </w:rPr>
        <w:t xml:space="preserve">is now with the defendant. </w:t>
      </w:r>
    </w:p>
    <w:p w14:paraId="7E58B21A" w14:textId="7599F882" w:rsidR="004A2D2C" w:rsidRDefault="004A2D2C" w:rsidP="004A2D2C">
      <w:pPr>
        <w:pStyle w:val="ListParagraph"/>
        <w:numPr>
          <w:ilvl w:val="1"/>
          <w:numId w:val="3"/>
        </w:numPr>
        <w:jc w:val="both"/>
        <w:rPr>
          <w:rFonts w:ascii="Arial" w:hAnsi="Arial" w:cs="Arial"/>
          <w:sz w:val="24"/>
          <w:szCs w:val="24"/>
        </w:rPr>
      </w:pPr>
      <w:r>
        <w:rPr>
          <w:rFonts w:ascii="Arial" w:hAnsi="Arial" w:cs="Arial"/>
          <w:sz w:val="24"/>
          <w:szCs w:val="24"/>
        </w:rPr>
        <w:t xml:space="preserve">The defendant </w:t>
      </w:r>
      <w:r w:rsidR="00BE739C">
        <w:rPr>
          <w:rFonts w:ascii="Arial" w:hAnsi="Arial" w:cs="Arial"/>
          <w:sz w:val="24"/>
          <w:szCs w:val="24"/>
        </w:rPr>
        <w:t xml:space="preserve">than has an onus to prove </w:t>
      </w:r>
      <w:r>
        <w:rPr>
          <w:rFonts w:ascii="Arial" w:hAnsi="Arial" w:cs="Arial"/>
          <w:sz w:val="24"/>
          <w:szCs w:val="24"/>
        </w:rPr>
        <w:t xml:space="preserve">that they have a valid right to possession  </w:t>
      </w:r>
    </w:p>
    <w:p w14:paraId="2D3E933C" w14:textId="77777777" w:rsidR="0028452F" w:rsidRDefault="0028452F" w:rsidP="00E94AEB">
      <w:pPr>
        <w:jc w:val="both"/>
        <w:rPr>
          <w:rFonts w:ascii="Arial" w:hAnsi="Arial" w:cs="Arial"/>
          <w:b/>
          <w:sz w:val="24"/>
          <w:szCs w:val="24"/>
        </w:rPr>
      </w:pPr>
    </w:p>
    <w:p w14:paraId="54A32F0D" w14:textId="77777777" w:rsidR="006F516A" w:rsidRPr="00884329" w:rsidRDefault="006F516A" w:rsidP="006F516A">
      <w:pPr>
        <w:pStyle w:val="ListParagraph"/>
        <w:ind w:left="1440"/>
        <w:jc w:val="both"/>
        <w:rPr>
          <w:rFonts w:ascii="Arial" w:hAnsi="Arial" w:cs="Arial"/>
          <w:iCs/>
        </w:rPr>
      </w:pPr>
    </w:p>
    <w:p w14:paraId="1350DFCA" w14:textId="77777777" w:rsidR="00686FF3" w:rsidRPr="009C36D4" w:rsidRDefault="00686FF3" w:rsidP="00E94AEB">
      <w:pPr>
        <w:jc w:val="both"/>
        <w:rPr>
          <w:rFonts w:ascii="Arial" w:hAnsi="Arial" w:cs="Arial"/>
          <w:i/>
          <w:sz w:val="24"/>
          <w:szCs w:val="24"/>
        </w:rPr>
      </w:pPr>
    </w:p>
    <w:p w14:paraId="20A60899" w14:textId="77777777" w:rsidR="00686FF3" w:rsidRDefault="00686FF3" w:rsidP="00E94AEB">
      <w:pPr>
        <w:jc w:val="both"/>
        <w:rPr>
          <w:rFonts w:ascii="Arial" w:hAnsi="Arial" w:cs="Arial"/>
          <w:sz w:val="24"/>
          <w:szCs w:val="24"/>
        </w:rPr>
      </w:pPr>
    </w:p>
    <w:p w14:paraId="1CA4A29C" w14:textId="77777777" w:rsidR="00686FF3" w:rsidRDefault="00686FF3" w:rsidP="00E94AEB">
      <w:pPr>
        <w:jc w:val="both"/>
        <w:rPr>
          <w:rFonts w:ascii="Arial" w:hAnsi="Arial" w:cs="Arial"/>
          <w:sz w:val="24"/>
          <w:szCs w:val="24"/>
        </w:rPr>
      </w:pPr>
    </w:p>
    <w:p w14:paraId="72FF0A05" w14:textId="77777777" w:rsidR="00686FF3" w:rsidRDefault="00E674E4" w:rsidP="00E94AEB">
      <w:pPr>
        <w:jc w:val="both"/>
        <w:rPr>
          <w:rFonts w:ascii="Arial" w:hAnsi="Arial" w:cs="Arial"/>
          <w:sz w:val="24"/>
          <w:szCs w:val="24"/>
        </w:rPr>
      </w:pPr>
      <w:r>
        <w:rPr>
          <w:rFonts w:ascii="Arial" w:hAnsi="Arial" w:cs="Arial"/>
          <w:sz w:val="24"/>
          <w:szCs w:val="24"/>
        </w:rPr>
        <w:t xml:space="preserve">When to use which remedy </w:t>
      </w:r>
    </w:p>
    <w:p w14:paraId="3D30495E" w14:textId="77777777" w:rsidR="00E674E4" w:rsidRDefault="00E674E4" w:rsidP="00E94AEB">
      <w:pPr>
        <w:jc w:val="both"/>
        <w:rPr>
          <w:rFonts w:ascii="Arial" w:hAnsi="Arial" w:cs="Arial"/>
          <w:sz w:val="24"/>
          <w:szCs w:val="24"/>
        </w:rPr>
      </w:pPr>
      <w:r>
        <w:rPr>
          <w:rFonts w:ascii="Arial" w:hAnsi="Arial" w:cs="Arial"/>
          <w:sz w:val="24"/>
          <w:szCs w:val="24"/>
        </w:rPr>
        <w:t>Where it is impossible to restore possession as in the case of the thing being destroyed or lost the Condictio is the remedy to use as opposed to the similar Rei Vindicatio</w:t>
      </w:r>
    </w:p>
    <w:p w14:paraId="007B7631" w14:textId="77777777" w:rsidR="00686FF3" w:rsidRDefault="00686FF3" w:rsidP="00E94AEB">
      <w:pPr>
        <w:jc w:val="both"/>
        <w:rPr>
          <w:rFonts w:ascii="Arial" w:hAnsi="Arial" w:cs="Arial"/>
          <w:sz w:val="24"/>
          <w:szCs w:val="24"/>
        </w:rPr>
      </w:pPr>
    </w:p>
    <w:p w14:paraId="1B71DD84" w14:textId="77777777" w:rsidR="00686FF3" w:rsidRDefault="00686FF3" w:rsidP="00E94AEB">
      <w:pPr>
        <w:jc w:val="both"/>
        <w:rPr>
          <w:rFonts w:ascii="Arial" w:hAnsi="Arial" w:cs="Arial"/>
          <w:sz w:val="24"/>
          <w:szCs w:val="24"/>
        </w:rPr>
      </w:pPr>
    </w:p>
    <w:p w14:paraId="7A4BCEC4" w14:textId="77777777" w:rsidR="00686FF3" w:rsidRDefault="00686FF3" w:rsidP="00E94AEB">
      <w:pPr>
        <w:jc w:val="both"/>
        <w:rPr>
          <w:rFonts w:ascii="Arial" w:hAnsi="Arial" w:cs="Arial"/>
          <w:sz w:val="24"/>
          <w:szCs w:val="24"/>
        </w:rPr>
      </w:pPr>
    </w:p>
    <w:p w14:paraId="49483B49" w14:textId="77777777" w:rsidR="00686FF3" w:rsidRDefault="00686FF3" w:rsidP="00E94AEB">
      <w:pPr>
        <w:jc w:val="both"/>
        <w:rPr>
          <w:rFonts w:ascii="Arial" w:hAnsi="Arial" w:cs="Arial"/>
          <w:sz w:val="24"/>
          <w:szCs w:val="24"/>
        </w:rPr>
      </w:pPr>
    </w:p>
    <w:p w14:paraId="73174E56" w14:textId="77777777" w:rsidR="00686FF3" w:rsidRDefault="00686FF3" w:rsidP="00E94AEB">
      <w:pPr>
        <w:jc w:val="both"/>
        <w:rPr>
          <w:rFonts w:ascii="Arial" w:hAnsi="Arial" w:cs="Arial"/>
          <w:sz w:val="24"/>
          <w:szCs w:val="24"/>
        </w:rPr>
      </w:pPr>
    </w:p>
    <w:p w14:paraId="60252BE1" w14:textId="77777777" w:rsidR="00686FF3" w:rsidRDefault="00686FF3" w:rsidP="00E94AEB">
      <w:pPr>
        <w:jc w:val="both"/>
        <w:rPr>
          <w:rFonts w:ascii="Arial" w:hAnsi="Arial" w:cs="Arial"/>
          <w:sz w:val="24"/>
          <w:szCs w:val="24"/>
        </w:rPr>
      </w:pPr>
    </w:p>
    <w:p w14:paraId="0D1153A6" w14:textId="77777777" w:rsidR="00686FF3" w:rsidRDefault="00686FF3" w:rsidP="00E94AEB">
      <w:pPr>
        <w:jc w:val="both"/>
        <w:rPr>
          <w:rFonts w:ascii="Arial" w:hAnsi="Arial" w:cs="Arial"/>
          <w:sz w:val="24"/>
          <w:szCs w:val="24"/>
        </w:rPr>
      </w:pPr>
    </w:p>
    <w:p w14:paraId="6CC2B2E9" w14:textId="77777777" w:rsidR="00686FF3" w:rsidRDefault="00686FF3" w:rsidP="00E94AEB">
      <w:pPr>
        <w:jc w:val="both"/>
        <w:rPr>
          <w:rFonts w:ascii="Arial" w:hAnsi="Arial" w:cs="Arial"/>
          <w:sz w:val="24"/>
          <w:szCs w:val="24"/>
        </w:rPr>
      </w:pPr>
    </w:p>
    <w:p w14:paraId="045689E9" w14:textId="77777777" w:rsidR="00686FF3" w:rsidRDefault="00686FF3" w:rsidP="00E94AEB">
      <w:pPr>
        <w:jc w:val="both"/>
        <w:rPr>
          <w:rFonts w:ascii="Arial" w:hAnsi="Arial" w:cs="Arial"/>
          <w:sz w:val="24"/>
          <w:szCs w:val="24"/>
        </w:rPr>
      </w:pPr>
    </w:p>
    <w:p w14:paraId="06F56D77" w14:textId="77777777" w:rsidR="00686FF3" w:rsidRDefault="00686FF3" w:rsidP="00E94AEB">
      <w:pPr>
        <w:jc w:val="both"/>
        <w:rPr>
          <w:rFonts w:ascii="Arial" w:hAnsi="Arial" w:cs="Arial"/>
          <w:sz w:val="24"/>
          <w:szCs w:val="24"/>
        </w:rPr>
      </w:pPr>
    </w:p>
    <w:p w14:paraId="10751C17" w14:textId="77777777" w:rsidR="00686FF3" w:rsidRDefault="00686FF3" w:rsidP="00E94AEB">
      <w:pPr>
        <w:jc w:val="both"/>
        <w:rPr>
          <w:rFonts w:ascii="Arial" w:hAnsi="Arial" w:cs="Arial"/>
          <w:sz w:val="24"/>
          <w:szCs w:val="24"/>
        </w:rPr>
      </w:pPr>
    </w:p>
    <w:p w14:paraId="77C3581F" w14:textId="77777777" w:rsidR="00686FF3" w:rsidRDefault="00686FF3" w:rsidP="00E94AEB">
      <w:pPr>
        <w:jc w:val="both"/>
        <w:rPr>
          <w:rFonts w:ascii="Arial" w:hAnsi="Arial" w:cs="Arial"/>
          <w:sz w:val="24"/>
          <w:szCs w:val="24"/>
        </w:rPr>
      </w:pPr>
    </w:p>
    <w:p w14:paraId="1C189F31" w14:textId="77777777" w:rsidR="00686FF3" w:rsidRDefault="00686FF3" w:rsidP="00E94AEB">
      <w:pPr>
        <w:jc w:val="both"/>
        <w:rPr>
          <w:rFonts w:ascii="Arial" w:hAnsi="Arial" w:cs="Arial"/>
          <w:sz w:val="24"/>
          <w:szCs w:val="24"/>
        </w:rPr>
      </w:pPr>
    </w:p>
    <w:p w14:paraId="779FCD13" w14:textId="77777777" w:rsidR="00686FF3" w:rsidRDefault="00686FF3" w:rsidP="00E94AEB">
      <w:pPr>
        <w:jc w:val="both"/>
        <w:rPr>
          <w:rFonts w:ascii="Arial" w:hAnsi="Arial" w:cs="Arial"/>
          <w:sz w:val="24"/>
          <w:szCs w:val="24"/>
        </w:rPr>
      </w:pPr>
    </w:p>
    <w:p w14:paraId="488B4D89" w14:textId="77777777" w:rsidR="00686FF3" w:rsidRDefault="00686FF3" w:rsidP="00E94AEB">
      <w:pPr>
        <w:jc w:val="both"/>
        <w:rPr>
          <w:rFonts w:ascii="Arial" w:hAnsi="Arial" w:cs="Arial"/>
          <w:sz w:val="24"/>
          <w:szCs w:val="24"/>
        </w:rPr>
      </w:pPr>
    </w:p>
    <w:p w14:paraId="232A4F85" w14:textId="77777777" w:rsidR="00686FF3" w:rsidRDefault="00686FF3" w:rsidP="00E94AEB">
      <w:pPr>
        <w:jc w:val="both"/>
        <w:rPr>
          <w:rFonts w:ascii="Arial" w:hAnsi="Arial" w:cs="Arial"/>
          <w:sz w:val="24"/>
          <w:szCs w:val="24"/>
        </w:rPr>
      </w:pPr>
    </w:p>
    <w:p w14:paraId="2939777C" w14:textId="77777777" w:rsidR="00686FF3" w:rsidRDefault="00686FF3" w:rsidP="00E94AEB">
      <w:pPr>
        <w:jc w:val="both"/>
        <w:rPr>
          <w:rFonts w:ascii="Arial" w:hAnsi="Arial" w:cs="Arial"/>
          <w:sz w:val="24"/>
          <w:szCs w:val="24"/>
        </w:rPr>
      </w:pPr>
    </w:p>
    <w:p w14:paraId="1CA9A58B" w14:textId="77777777" w:rsidR="00686FF3" w:rsidRDefault="00686FF3" w:rsidP="00E94AEB">
      <w:pPr>
        <w:jc w:val="both"/>
        <w:rPr>
          <w:rFonts w:ascii="Arial" w:hAnsi="Arial" w:cs="Arial"/>
          <w:sz w:val="24"/>
          <w:szCs w:val="24"/>
        </w:rPr>
      </w:pPr>
    </w:p>
    <w:p w14:paraId="334082A4" w14:textId="77777777" w:rsidR="00686FF3" w:rsidRDefault="00686FF3" w:rsidP="00E94AEB">
      <w:pPr>
        <w:jc w:val="both"/>
        <w:rPr>
          <w:rFonts w:ascii="Arial" w:hAnsi="Arial" w:cs="Arial"/>
          <w:sz w:val="24"/>
          <w:szCs w:val="24"/>
        </w:rPr>
      </w:pPr>
    </w:p>
    <w:p w14:paraId="4CE08972" w14:textId="77777777" w:rsidR="00686FF3" w:rsidRDefault="00686FF3" w:rsidP="00E94AEB">
      <w:pPr>
        <w:jc w:val="both"/>
        <w:rPr>
          <w:rFonts w:ascii="Arial" w:hAnsi="Arial" w:cs="Arial"/>
          <w:sz w:val="24"/>
          <w:szCs w:val="24"/>
        </w:rPr>
      </w:pPr>
    </w:p>
    <w:p w14:paraId="5D05B946" w14:textId="77777777" w:rsidR="00686FF3" w:rsidRDefault="00686FF3" w:rsidP="00E94AEB">
      <w:pPr>
        <w:jc w:val="both"/>
        <w:rPr>
          <w:rFonts w:ascii="Arial" w:hAnsi="Arial" w:cs="Arial"/>
          <w:sz w:val="24"/>
          <w:szCs w:val="24"/>
        </w:rPr>
      </w:pPr>
    </w:p>
    <w:p w14:paraId="3FA18A9F" w14:textId="77777777" w:rsidR="00686FF3" w:rsidRDefault="00686FF3" w:rsidP="00E94AEB">
      <w:pPr>
        <w:jc w:val="both"/>
        <w:rPr>
          <w:rFonts w:ascii="Arial" w:hAnsi="Arial" w:cs="Arial"/>
          <w:sz w:val="24"/>
          <w:szCs w:val="24"/>
        </w:rPr>
      </w:pPr>
    </w:p>
    <w:p w14:paraId="334FC796" w14:textId="77777777" w:rsidR="00686FF3" w:rsidRDefault="00D0380B" w:rsidP="00E94AEB">
      <w:pPr>
        <w:jc w:val="both"/>
        <w:rPr>
          <w:rFonts w:ascii="Arial" w:hAnsi="Arial" w:cs="Arial"/>
          <w:sz w:val="24"/>
          <w:szCs w:val="24"/>
        </w:rPr>
      </w:pPr>
      <w:r>
        <w:rPr>
          <w:rFonts w:ascii="Arial" w:hAnsi="Arial" w:cs="Arial"/>
          <w:sz w:val="24"/>
          <w:szCs w:val="24"/>
        </w:rPr>
        <w:t xml:space="preserve">Bibliography </w:t>
      </w:r>
    </w:p>
    <w:p w14:paraId="16A88675" w14:textId="77777777" w:rsidR="00D0380B" w:rsidRPr="00686FF3" w:rsidRDefault="00D0380B" w:rsidP="00E94AEB">
      <w:pPr>
        <w:jc w:val="both"/>
        <w:rPr>
          <w:rFonts w:ascii="Arial" w:hAnsi="Arial" w:cs="Arial"/>
          <w:sz w:val="24"/>
          <w:szCs w:val="24"/>
        </w:rPr>
      </w:pPr>
    </w:p>
    <w:sectPr w:rsidR="00D0380B" w:rsidRPr="00686F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86FA5" w14:textId="77777777" w:rsidR="004770FC" w:rsidRDefault="004770FC" w:rsidP="00686FF3">
      <w:pPr>
        <w:spacing w:after="0" w:line="240" w:lineRule="auto"/>
      </w:pPr>
      <w:r>
        <w:separator/>
      </w:r>
    </w:p>
  </w:endnote>
  <w:endnote w:type="continuationSeparator" w:id="0">
    <w:p w14:paraId="4F3E595D" w14:textId="77777777" w:rsidR="004770FC" w:rsidRDefault="004770FC" w:rsidP="00686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685E4" w14:textId="77777777" w:rsidR="004770FC" w:rsidRDefault="004770FC" w:rsidP="00686FF3">
      <w:pPr>
        <w:spacing w:after="0" w:line="240" w:lineRule="auto"/>
      </w:pPr>
      <w:r>
        <w:separator/>
      </w:r>
    </w:p>
  </w:footnote>
  <w:footnote w:type="continuationSeparator" w:id="0">
    <w:p w14:paraId="2BE00602" w14:textId="77777777" w:rsidR="004770FC" w:rsidRDefault="004770FC" w:rsidP="00686FF3">
      <w:pPr>
        <w:spacing w:after="0" w:line="240" w:lineRule="auto"/>
      </w:pPr>
      <w:r>
        <w:continuationSeparator/>
      </w:r>
    </w:p>
  </w:footnote>
  <w:footnote w:id="1">
    <w:p w14:paraId="63DD3EB8" w14:textId="77777777" w:rsidR="00A04018" w:rsidRDefault="00A04018" w:rsidP="00A04018">
      <w:pPr>
        <w:pStyle w:val="FootnoteText"/>
      </w:pPr>
      <w:r>
        <w:rPr>
          <w:rStyle w:val="FootnoteReference"/>
        </w:rPr>
        <w:footnoteRef/>
      </w:r>
      <w:r>
        <w:t xml:space="preserve"> </w:t>
      </w:r>
      <w:r w:rsidRPr="00A04018">
        <w:t xml:space="preserve">Crots v Pretorius </w:t>
      </w:r>
      <w:r w:rsidRPr="00686FF3">
        <w:t>(2010 (6) SA 512 (SCA)</w:t>
      </w:r>
      <w:r>
        <w:t xml:space="preserve"> (herein referred to as “Crots”) para 3</w:t>
      </w:r>
    </w:p>
  </w:footnote>
  <w:footnote w:id="2">
    <w:p w14:paraId="39BC0E8F" w14:textId="77777777" w:rsidR="00A04018" w:rsidRDefault="00A04018">
      <w:pPr>
        <w:pStyle w:val="FootnoteText"/>
      </w:pPr>
      <w:r>
        <w:rPr>
          <w:rStyle w:val="FootnoteReference"/>
        </w:rPr>
        <w:footnoteRef/>
      </w:r>
      <w:r>
        <w:t xml:space="preserve"> Crots para 8.</w:t>
      </w:r>
    </w:p>
  </w:footnote>
  <w:footnote w:id="3">
    <w:p w14:paraId="7E874522" w14:textId="77777777" w:rsidR="00686FF3" w:rsidRDefault="00686FF3">
      <w:pPr>
        <w:pStyle w:val="FootnoteText"/>
      </w:pPr>
      <w:r>
        <w:rPr>
          <w:rStyle w:val="FootnoteReference"/>
        </w:rPr>
        <w:footnoteRef/>
      </w:r>
      <w:r>
        <w:t xml:space="preserve">  Crots 4, 6, 7.</w:t>
      </w:r>
    </w:p>
  </w:footnote>
  <w:footnote w:id="4">
    <w:p w14:paraId="26742A9B" w14:textId="77777777" w:rsidR="00082E64" w:rsidRDefault="00082E64">
      <w:pPr>
        <w:pStyle w:val="FootnoteText"/>
      </w:pPr>
      <w:r>
        <w:rPr>
          <w:rStyle w:val="FootnoteReference"/>
        </w:rPr>
        <w:footnoteRef/>
      </w:r>
      <w:r>
        <w:t xml:space="preserve"> Chetty para 10.</w:t>
      </w:r>
    </w:p>
  </w:footnote>
  <w:footnote w:id="5">
    <w:p w14:paraId="51933C85" w14:textId="77777777" w:rsidR="006C00CF" w:rsidRDefault="006C00CF">
      <w:pPr>
        <w:pStyle w:val="FootnoteText"/>
      </w:pPr>
      <w:r>
        <w:rPr>
          <w:rStyle w:val="FootnoteReference"/>
        </w:rPr>
        <w:footnoteRef/>
      </w:r>
      <w:r>
        <w:t xml:space="preserve"> Chetty para 10</w:t>
      </w:r>
    </w:p>
  </w:footnote>
  <w:footnote w:id="6">
    <w:p w14:paraId="1885ADB5" w14:textId="697D5DDA" w:rsidR="00DA4112" w:rsidRPr="0039239D" w:rsidRDefault="00DA4112" w:rsidP="00365F0D">
      <w:pPr>
        <w:spacing w:after="0"/>
        <w:rPr>
          <w:sz w:val="20"/>
          <w:szCs w:val="20"/>
        </w:rPr>
      </w:pPr>
      <w:r>
        <w:rPr>
          <w:rStyle w:val="FootnoteReference"/>
        </w:rPr>
        <w:footnoteRef/>
      </w:r>
      <w:r>
        <w:t xml:space="preserve"> </w:t>
      </w:r>
      <w:r w:rsidRPr="0039239D">
        <w:rPr>
          <w:bCs/>
          <w:sz w:val="20"/>
          <w:szCs w:val="20"/>
        </w:rPr>
        <w:t>Chetty v Italtile Ceramics Ltd (668/2011) [2012] ZASCA 170</w:t>
      </w:r>
      <w:r>
        <w:rPr>
          <w:bCs/>
          <w:sz w:val="20"/>
          <w:szCs w:val="20"/>
        </w:rPr>
        <w:t xml:space="preserve"> (herein </w:t>
      </w:r>
      <w:r w:rsidR="004A2D2C">
        <w:rPr>
          <w:bCs/>
          <w:sz w:val="20"/>
          <w:szCs w:val="20"/>
        </w:rPr>
        <w:t>referred</w:t>
      </w:r>
      <w:r>
        <w:rPr>
          <w:bCs/>
          <w:sz w:val="20"/>
          <w:szCs w:val="20"/>
        </w:rPr>
        <w:t xml:space="preserve"> to as ‘Chetty’) para 10.</w:t>
      </w:r>
    </w:p>
  </w:footnote>
  <w:footnote w:id="7">
    <w:p w14:paraId="5B65C81A" w14:textId="77777777" w:rsidR="00DA4112" w:rsidRDefault="00DA4112" w:rsidP="00DA4112">
      <w:pPr>
        <w:pStyle w:val="FootnoteText"/>
      </w:pPr>
      <w:r>
        <w:rPr>
          <w:rStyle w:val="FootnoteReference"/>
        </w:rPr>
        <w:footnoteRef/>
      </w:r>
      <w:r>
        <w:t xml:space="preserve"> Chetty para 10.</w:t>
      </w:r>
    </w:p>
  </w:footnote>
  <w:footnote w:id="8">
    <w:p w14:paraId="6ABA74FE" w14:textId="77777777" w:rsidR="00DA4112" w:rsidRDefault="00DA4112">
      <w:pPr>
        <w:pStyle w:val="FootnoteText"/>
      </w:pPr>
      <w:r>
        <w:rPr>
          <w:rStyle w:val="FootnoteReference"/>
        </w:rPr>
        <w:footnoteRef/>
      </w:r>
      <w:r>
        <w:t xml:space="preserve"> Baqfin para 10 (need the full citation )</w:t>
      </w:r>
    </w:p>
  </w:footnote>
  <w:footnote w:id="9">
    <w:p w14:paraId="031B906C" w14:textId="0D2805A7" w:rsidR="004A2D2C" w:rsidRPr="00BE739C" w:rsidRDefault="004A2D2C">
      <w:pPr>
        <w:pStyle w:val="FootnoteText"/>
        <w:rPr>
          <w:color w:val="C00000"/>
        </w:rPr>
      </w:pPr>
      <w:r>
        <w:rPr>
          <w:rStyle w:val="FootnoteReference"/>
        </w:rPr>
        <w:footnoteRef/>
      </w:r>
      <w:r>
        <w:t xml:space="preserve"> </w:t>
      </w:r>
      <w:r w:rsidRPr="00BE739C">
        <w:rPr>
          <w:color w:val="C00000"/>
        </w:rPr>
        <w:t>Citing is in the PDFs from telegram  page 726</w:t>
      </w:r>
    </w:p>
  </w:footnote>
  <w:footnote w:id="10">
    <w:p w14:paraId="09ECF962" w14:textId="1C5F848C" w:rsidR="0091472B" w:rsidRDefault="0091472B">
      <w:pPr>
        <w:pStyle w:val="FootnoteText"/>
      </w:pPr>
      <w:r>
        <w:rPr>
          <w:rStyle w:val="FootnoteReference"/>
        </w:rPr>
        <w:footnoteRef/>
      </w:r>
      <w:r>
        <w:t xml:space="preserve"> </w:t>
      </w:r>
      <w:proofErr w:type="spellStart"/>
      <w:r>
        <w:t>Sorvaag</w:t>
      </w:r>
      <w:proofErr w:type="spellEnd"/>
      <w:r>
        <w:t xml:space="preserve"> v </w:t>
      </w:r>
      <w:proofErr w:type="spellStart"/>
      <w:r>
        <w:t>pettersen</w:t>
      </w:r>
      <w:proofErr w:type="spellEnd"/>
      <w:r>
        <w:t xml:space="preserve"> and other 1954 (3) SA 636 (c) para </w:t>
      </w:r>
      <w:r w:rsidRPr="0091472B">
        <w:rPr>
          <w:color w:val="C00000"/>
        </w:rPr>
        <w:t>###</w:t>
      </w:r>
    </w:p>
  </w:footnote>
  <w:footnote w:id="11">
    <w:p w14:paraId="45D2BEA3" w14:textId="14FE8D81" w:rsidR="008431BA" w:rsidRPr="00BE739C" w:rsidRDefault="008431BA">
      <w:pPr>
        <w:pStyle w:val="FootnoteText"/>
        <w:rPr>
          <w:color w:val="C00000"/>
        </w:rPr>
      </w:pPr>
      <w:r w:rsidRPr="00BE739C">
        <w:rPr>
          <w:rStyle w:val="FootnoteReference"/>
          <w:color w:val="C00000"/>
        </w:rPr>
        <w:footnoteRef/>
      </w:r>
      <w:r w:rsidRPr="00BE739C">
        <w:rPr>
          <w:color w:val="C00000"/>
        </w:rPr>
        <w:t xml:space="preserve"> C</w:t>
      </w:r>
      <w:r w:rsidRPr="00BE739C">
        <w:rPr>
          <w:color w:val="C00000"/>
        </w:rPr>
        <w:t>iting is in the PDFs from telegram  page 726</w:t>
      </w:r>
    </w:p>
  </w:footnote>
  <w:footnote w:id="12">
    <w:p w14:paraId="3402C4C9" w14:textId="334347E4" w:rsidR="00BE739C" w:rsidRDefault="00BE739C">
      <w:pPr>
        <w:pStyle w:val="FootnoteText"/>
      </w:pPr>
      <w:r w:rsidRPr="00BE739C">
        <w:rPr>
          <w:rStyle w:val="FootnoteReference"/>
          <w:color w:val="C00000"/>
        </w:rPr>
        <w:footnoteRef/>
      </w:r>
      <w:r w:rsidRPr="00BE739C">
        <w:rPr>
          <w:color w:val="C00000"/>
        </w:rPr>
        <w:t xml:space="preserve"> </w:t>
      </w:r>
      <w:r w:rsidRPr="00BE739C">
        <w:rPr>
          <w:color w:val="C00000"/>
        </w:rPr>
        <w:t>Citing is in the PDFs from telegram  page 72</w:t>
      </w:r>
      <w:r w:rsidRPr="00BE739C">
        <w:rPr>
          <w:color w:val="C00000"/>
        </w:rPr>
        <w:t>7</w:t>
      </w:r>
    </w:p>
  </w:footnote>
  <w:footnote w:id="13">
    <w:p w14:paraId="0E273587" w14:textId="77777777" w:rsidR="006C00CF" w:rsidRDefault="006C00CF">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7BD7"/>
    <w:multiLevelType w:val="hybridMultilevel"/>
    <w:tmpl w:val="D408E6D2"/>
    <w:lvl w:ilvl="0" w:tplc="27AC408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6E95FE9"/>
    <w:multiLevelType w:val="hybridMultilevel"/>
    <w:tmpl w:val="1C9E594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21B721E"/>
    <w:multiLevelType w:val="hybridMultilevel"/>
    <w:tmpl w:val="3516048A"/>
    <w:lvl w:ilvl="0" w:tplc="C916098C">
      <w:numFmt w:val="bullet"/>
      <w:lvlText w:val="-"/>
      <w:lvlJc w:val="left"/>
      <w:pPr>
        <w:ind w:left="720" w:hanging="360"/>
      </w:pPr>
      <w:rPr>
        <w:rFonts w:ascii="Arial" w:eastAsiaTheme="minorHAnsi" w:hAnsi="Arial" w:cs="Aria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78B763F"/>
    <w:multiLevelType w:val="hybridMultilevel"/>
    <w:tmpl w:val="49163454"/>
    <w:lvl w:ilvl="0" w:tplc="4AE6BEFE">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E88"/>
    <w:rsid w:val="00051EE5"/>
    <w:rsid w:val="00082E64"/>
    <w:rsid w:val="000870D2"/>
    <w:rsid w:val="000B0EB9"/>
    <w:rsid w:val="00163294"/>
    <w:rsid w:val="00223D52"/>
    <w:rsid w:val="0028452F"/>
    <w:rsid w:val="002B2498"/>
    <w:rsid w:val="00365F0D"/>
    <w:rsid w:val="0039239D"/>
    <w:rsid w:val="003C1AEF"/>
    <w:rsid w:val="004420C5"/>
    <w:rsid w:val="00454E47"/>
    <w:rsid w:val="004770FC"/>
    <w:rsid w:val="004A2D2C"/>
    <w:rsid w:val="005C38C7"/>
    <w:rsid w:val="00686FF3"/>
    <w:rsid w:val="006A4620"/>
    <w:rsid w:val="006C00CF"/>
    <w:rsid w:val="006D777C"/>
    <w:rsid w:val="006F516A"/>
    <w:rsid w:val="008431BA"/>
    <w:rsid w:val="00884329"/>
    <w:rsid w:val="0091472B"/>
    <w:rsid w:val="00920EB8"/>
    <w:rsid w:val="009C36D4"/>
    <w:rsid w:val="00A04018"/>
    <w:rsid w:val="00AA5035"/>
    <w:rsid w:val="00AC301A"/>
    <w:rsid w:val="00BC2953"/>
    <w:rsid w:val="00BE739C"/>
    <w:rsid w:val="00C22074"/>
    <w:rsid w:val="00C57E88"/>
    <w:rsid w:val="00C73F8E"/>
    <w:rsid w:val="00D01CAF"/>
    <w:rsid w:val="00D0380B"/>
    <w:rsid w:val="00DA4112"/>
    <w:rsid w:val="00E674E4"/>
    <w:rsid w:val="00E94AEB"/>
    <w:rsid w:val="00FC240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FE336"/>
  <w15:chartTrackingRefBased/>
  <w15:docId w15:val="{1A781F6A-FD60-48C5-890B-A00928E5A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686FF3"/>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86F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6FF3"/>
    <w:rPr>
      <w:sz w:val="20"/>
      <w:szCs w:val="20"/>
    </w:rPr>
  </w:style>
  <w:style w:type="character" w:styleId="FootnoteReference">
    <w:name w:val="footnote reference"/>
    <w:basedOn w:val="DefaultParagraphFont"/>
    <w:uiPriority w:val="99"/>
    <w:semiHidden/>
    <w:unhideWhenUsed/>
    <w:rsid w:val="00686FF3"/>
    <w:rPr>
      <w:vertAlign w:val="superscript"/>
    </w:rPr>
  </w:style>
  <w:style w:type="character" w:customStyle="1" w:styleId="Heading2Char">
    <w:name w:val="Heading 2 Char"/>
    <w:basedOn w:val="DefaultParagraphFont"/>
    <w:link w:val="Heading2"/>
    <w:uiPriority w:val="9"/>
    <w:rsid w:val="00686FF3"/>
    <w:rPr>
      <w:rFonts w:ascii="Times New Roman" w:eastAsia="Times New Roman" w:hAnsi="Times New Roman" w:cs="Times New Roman"/>
      <w:b/>
      <w:bCs/>
      <w:sz w:val="36"/>
      <w:szCs w:val="36"/>
      <w:lang w:eastAsia="en-ZA"/>
    </w:rPr>
  </w:style>
  <w:style w:type="paragraph" w:styleId="ListParagraph">
    <w:name w:val="List Paragraph"/>
    <w:basedOn w:val="Normal"/>
    <w:uiPriority w:val="34"/>
    <w:qFormat/>
    <w:rsid w:val="005C3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443591">
      <w:bodyDiv w:val="1"/>
      <w:marLeft w:val="0"/>
      <w:marRight w:val="0"/>
      <w:marTop w:val="0"/>
      <w:marBottom w:val="0"/>
      <w:divBdr>
        <w:top w:val="none" w:sz="0" w:space="0" w:color="auto"/>
        <w:left w:val="none" w:sz="0" w:space="0" w:color="auto"/>
        <w:bottom w:val="none" w:sz="0" w:space="0" w:color="auto"/>
        <w:right w:val="none" w:sz="0" w:space="0" w:color="auto"/>
      </w:divBdr>
    </w:div>
    <w:div w:id="1197161624">
      <w:bodyDiv w:val="1"/>
      <w:marLeft w:val="0"/>
      <w:marRight w:val="0"/>
      <w:marTop w:val="0"/>
      <w:marBottom w:val="0"/>
      <w:divBdr>
        <w:top w:val="none" w:sz="0" w:space="0" w:color="auto"/>
        <w:left w:val="none" w:sz="0" w:space="0" w:color="auto"/>
        <w:bottom w:val="none" w:sz="0" w:space="0" w:color="auto"/>
        <w:right w:val="none" w:sz="0" w:space="0" w:color="auto"/>
      </w:divBdr>
    </w:div>
    <w:div w:id="144962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DE3B7-84B4-4847-8775-1117458E5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TotalTime>
  <Pages>3</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Hlongwane, Mpumelelo</dc:creator>
  <cp:keywords/>
  <dc:description/>
  <cp:lastModifiedBy>Hlongwane, Mpumelelo</cp:lastModifiedBy>
  <cp:revision>7</cp:revision>
  <dcterms:created xsi:type="dcterms:W3CDTF">2020-07-23T13:45:00Z</dcterms:created>
  <dcterms:modified xsi:type="dcterms:W3CDTF">2020-07-31T14:36:00Z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iteId">
    <vt:lpwstr>4032514a-830a-4f20-9539-81bbc35b3cd9</vt:lpwstr>
  </property>
  <property fmtid="{D5CDD505-2E9C-101B-9397-08002B2CF9AE}" pid="4" name="MSIP_Label_216eec4e-c7b8-491d-b7d8-90a69632743d_Owner">
    <vt:lpwstr>F5306922@FNB.CO.ZA</vt:lpwstr>
  </property>
  <property fmtid="{D5CDD505-2E9C-101B-9397-08002B2CF9AE}" pid="5" name="MSIP_Label_216eec4e-c7b8-491d-b7d8-90a69632743d_SetDate">
    <vt:lpwstr>2020-07-23T13:44:14.9693229Z</vt:lpwstr>
  </property>
  <property fmtid="{D5CDD505-2E9C-101B-9397-08002B2CF9AE}" pid="6" name="MSIP_Label_216eec4e-c7b8-491d-b7d8-90a69632743d_Name">
    <vt:lpwstr>Confidential</vt:lpwstr>
  </property>
  <property fmtid="{D5CDD505-2E9C-101B-9397-08002B2CF9AE}" pid="7" name="MSIP_Label_216eec4e-c7b8-491d-b7d8-90a69632743d_Application">
    <vt:lpwstr>Microsoft Azure Information Protection</vt:lpwstr>
  </property>
  <property fmtid="{D5CDD505-2E9C-101B-9397-08002B2CF9AE}" pid="8" name="MSIP_Label_216eec4e-c7b8-491d-b7d8-90a69632743d_ActionId">
    <vt:lpwstr>efe1a859-21e0-43bd-aceb-386c1ab28107</vt:lpwstr>
  </property>
  <property fmtid="{D5CDD505-2E9C-101B-9397-08002B2CF9AE}" pid="9" name="MSIP_Label_216eec4e-c7b8-491d-b7d8-90a69632743d_Extended_MSFT_Method">
    <vt:lpwstr>Automatic</vt:lpwstr>
  </property>
  <property fmtid="{D5CDD505-2E9C-101B-9397-08002B2CF9AE}" pid="10" name="Sensitivity">
    <vt:lpwstr>Confidential</vt:lpwstr>
  </property>
</Properties>
</file>