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B01" w:rsidRPr="00632CC2" w:rsidRDefault="00004B01" w:rsidP="00094C7B">
      <w:pPr>
        <w:pStyle w:val="Default"/>
        <w:ind w:left="720"/>
        <w:jc w:val="both"/>
        <w:rPr>
          <w:rFonts w:ascii="Arial" w:hAnsi="Arial" w:cs="Arial"/>
        </w:rPr>
      </w:pPr>
    </w:p>
    <w:tbl>
      <w:tblPr>
        <w:tblW w:w="9064" w:type="dxa"/>
        <w:tblInd w:w="612" w:type="dxa"/>
        <w:tblBorders>
          <w:top w:val="nil"/>
          <w:left w:val="nil"/>
          <w:bottom w:val="nil"/>
          <w:right w:val="nil"/>
        </w:tblBorders>
        <w:tblLayout w:type="fixed"/>
        <w:tblLook w:val="0000" w:firstRow="0" w:lastRow="0" w:firstColumn="0" w:lastColumn="0" w:noHBand="0" w:noVBand="0"/>
      </w:tblPr>
      <w:tblGrid>
        <w:gridCol w:w="9064"/>
      </w:tblGrid>
      <w:tr w:rsidR="00004B01" w:rsidRPr="00632CC2" w:rsidTr="00AD5D68">
        <w:trPr>
          <w:trHeight w:val="486"/>
        </w:trPr>
        <w:tc>
          <w:tcPr>
            <w:tcW w:w="9064" w:type="dxa"/>
          </w:tcPr>
          <w:p w:rsidR="00004B01" w:rsidRPr="00632CC2" w:rsidRDefault="00004B01" w:rsidP="00094C7B">
            <w:pPr>
              <w:pStyle w:val="Default"/>
              <w:jc w:val="both"/>
              <w:rPr>
                <w:rFonts w:ascii="Arial" w:hAnsi="Arial" w:cs="Arial"/>
                <w:b/>
                <w:bCs/>
              </w:rPr>
            </w:pPr>
            <w:r w:rsidRPr="00632CC2">
              <w:rPr>
                <w:rFonts w:ascii="Arial" w:hAnsi="Arial" w:cs="Arial"/>
                <w:b/>
                <w:bCs/>
                <w:i/>
                <w:iCs/>
              </w:rPr>
              <w:t xml:space="preserve">Advanced Indigenous Law </w:t>
            </w:r>
            <w:r w:rsidRPr="00632CC2">
              <w:rPr>
                <w:rFonts w:ascii="Arial" w:hAnsi="Arial" w:cs="Arial"/>
                <w:b/>
                <w:bCs/>
              </w:rPr>
              <w:t>LCP4804</w:t>
            </w:r>
          </w:p>
          <w:p w:rsidR="00004B01" w:rsidRPr="00632CC2" w:rsidRDefault="00004B01" w:rsidP="00094C7B">
            <w:pPr>
              <w:pStyle w:val="Default"/>
              <w:jc w:val="both"/>
              <w:rPr>
                <w:rFonts w:ascii="Arial" w:hAnsi="Arial" w:cs="Arial"/>
              </w:rPr>
            </w:pPr>
            <w:r w:rsidRPr="00632CC2">
              <w:rPr>
                <w:rFonts w:ascii="Arial" w:hAnsi="Arial" w:cs="Arial"/>
                <w:b/>
                <w:bCs/>
              </w:rPr>
              <w:t xml:space="preserve">October/November 2020  </w:t>
            </w:r>
          </w:p>
        </w:tc>
      </w:tr>
    </w:tbl>
    <w:p w:rsidR="00004B01" w:rsidRPr="00632CC2" w:rsidRDefault="00004B01" w:rsidP="00094C7B">
      <w:pPr>
        <w:ind w:left="720"/>
        <w:jc w:val="both"/>
        <w:rPr>
          <w:rFonts w:ascii="Arial" w:hAnsi="Arial" w:cs="Arial"/>
          <w:sz w:val="24"/>
          <w:szCs w:val="24"/>
          <w:lang w:val="en-US"/>
        </w:rPr>
      </w:pPr>
    </w:p>
    <w:p w:rsidR="00654F67" w:rsidRPr="00632CC2" w:rsidRDefault="00004B01" w:rsidP="00094C7B">
      <w:pPr>
        <w:ind w:left="720"/>
        <w:jc w:val="both"/>
        <w:rPr>
          <w:rFonts w:ascii="Arial" w:hAnsi="Arial" w:cs="Arial"/>
          <w:sz w:val="24"/>
          <w:szCs w:val="24"/>
          <w:lang w:val="en-US"/>
        </w:rPr>
      </w:pPr>
      <w:r w:rsidRPr="00632CC2">
        <w:rPr>
          <w:rFonts w:ascii="Arial" w:hAnsi="Arial" w:cs="Arial"/>
          <w:b/>
          <w:sz w:val="24"/>
          <w:szCs w:val="24"/>
          <w:lang w:val="en-US"/>
        </w:rPr>
        <w:t>Name</w:t>
      </w:r>
      <w:r w:rsidRPr="00632CC2">
        <w:rPr>
          <w:rFonts w:ascii="Arial" w:hAnsi="Arial" w:cs="Arial"/>
          <w:sz w:val="24"/>
          <w:szCs w:val="24"/>
          <w:lang w:val="en-US"/>
        </w:rPr>
        <w:t xml:space="preserve">: Mpumelelo </w:t>
      </w:r>
      <w:proofErr w:type="spellStart"/>
      <w:r w:rsidRPr="00632CC2">
        <w:rPr>
          <w:rFonts w:ascii="Arial" w:hAnsi="Arial" w:cs="Arial"/>
          <w:sz w:val="24"/>
          <w:szCs w:val="24"/>
          <w:lang w:val="en-US"/>
        </w:rPr>
        <w:t>Hlongwane</w:t>
      </w:r>
      <w:proofErr w:type="spellEnd"/>
    </w:p>
    <w:p w:rsidR="00004B01" w:rsidRPr="00632CC2" w:rsidRDefault="00004B01" w:rsidP="00094C7B">
      <w:pPr>
        <w:ind w:left="720"/>
        <w:jc w:val="both"/>
        <w:rPr>
          <w:rFonts w:ascii="Arial" w:hAnsi="Arial" w:cs="Arial"/>
          <w:sz w:val="24"/>
          <w:szCs w:val="24"/>
          <w:lang w:val="en-US"/>
        </w:rPr>
      </w:pPr>
      <w:r w:rsidRPr="00632CC2">
        <w:rPr>
          <w:rFonts w:ascii="Arial" w:hAnsi="Arial" w:cs="Arial"/>
          <w:b/>
          <w:sz w:val="24"/>
          <w:szCs w:val="24"/>
          <w:lang w:val="en-US"/>
        </w:rPr>
        <w:t>ID no.</w:t>
      </w:r>
      <w:r w:rsidRPr="00632CC2">
        <w:rPr>
          <w:rFonts w:ascii="Arial" w:hAnsi="Arial" w:cs="Arial"/>
          <w:sz w:val="24"/>
          <w:szCs w:val="24"/>
          <w:lang w:val="en-US"/>
        </w:rPr>
        <w:t xml:space="preserve"> 8510016038085</w:t>
      </w:r>
    </w:p>
    <w:p w:rsidR="00004B01" w:rsidRPr="00632CC2" w:rsidRDefault="00004B01" w:rsidP="00094C7B">
      <w:pPr>
        <w:ind w:left="720"/>
        <w:jc w:val="both"/>
        <w:rPr>
          <w:rFonts w:ascii="Arial" w:hAnsi="Arial" w:cs="Arial"/>
          <w:sz w:val="24"/>
          <w:szCs w:val="24"/>
          <w:lang w:val="en-US"/>
        </w:rPr>
      </w:pPr>
      <w:r w:rsidRPr="00632CC2">
        <w:rPr>
          <w:rFonts w:ascii="Arial" w:hAnsi="Arial" w:cs="Arial"/>
          <w:b/>
          <w:sz w:val="24"/>
          <w:szCs w:val="24"/>
          <w:lang w:val="en-US"/>
        </w:rPr>
        <w:t>Student number:</w:t>
      </w:r>
      <w:r w:rsidRPr="00632CC2">
        <w:rPr>
          <w:rFonts w:ascii="Arial" w:hAnsi="Arial" w:cs="Arial"/>
          <w:sz w:val="24"/>
          <w:szCs w:val="24"/>
          <w:lang w:val="en-US"/>
        </w:rPr>
        <w:t xml:space="preserve"> 45511209</w:t>
      </w: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Default="00703F4B"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Default="00E04BA2" w:rsidP="00094C7B">
      <w:pPr>
        <w:ind w:left="720"/>
        <w:jc w:val="both"/>
        <w:rPr>
          <w:rFonts w:ascii="Arial" w:hAnsi="Arial" w:cs="Arial"/>
          <w:sz w:val="24"/>
          <w:szCs w:val="24"/>
          <w:lang w:val="en-US"/>
        </w:rPr>
      </w:pPr>
    </w:p>
    <w:p w:rsidR="00E04BA2" w:rsidRPr="00E04BA2" w:rsidRDefault="00E04BA2" w:rsidP="00094C7B">
      <w:pPr>
        <w:ind w:left="720"/>
        <w:jc w:val="both"/>
        <w:rPr>
          <w:rFonts w:ascii="Arial" w:hAnsi="Arial" w:cs="Arial"/>
          <w:b/>
          <w:sz w:val="24"/>
          <w:szCs w:val="24"/>
          <w:lang w:val="en-US"/>
        </w:rPr>
      </w:pPr>
      <w:r w:rsidRPr="00E04BA2">
        <w:rPr>
          <w:rFonts w:ascii="Arial" w:hAnsi="Arial" w:cs="Arial"/>
          <w:b/>
          <w:sz w:val="24"/>
          <w:szCs w:val="24"/>
          <w:lang w:val="en-US"/>
        </w:rPr>
        <w:lastRenderedPageBreak/>
        <w:t xml:space="preserve">Abbreviations </w:t>
      </w:r>
    </w:p>
    <w:p w:rsidR="00E04BA2" w:rsidRPr="00632CC2" w:rsidRDefault="00E04BA2" w:rsidP="00094C7B">
      <w:pPr>
        <w:ind w:left="720"/>
        <w:jc w:val="both"/>
        <w:rPr>
          <w:rFonts w:ascii="Arial" w:hAnsi="Arial" w:cs="Arial"/>
          <w:sz w:val="24"/>
          <w:szCs w:val="24"/>
          <w:lang w:val="en-US"/>
        </w:rPr>
      </w:pPr>
      <w:r w:rsidRPr="00E04BA2">
        <w:rPr>
          <w:rFonts w:ascii="Arial" w:hAnsi="Arial" w:cs="Arial"/>
          <w:b/>
          <w:sz w:val="24"/>
          <w:szCs w:val="24"/>
          <w:lang w:val="en-US"/>
        </w:rPr>
        <w:t>RCMA</w:t>
      </w:r>
      <w:r>
        <w:rPr>
          <w:rFonts w:ascii="Arial" w:hAnsi="Arial" w:cs="Arial"/>
          <w:b/>
          <w:sz w:val="24"/>
          <w:szCs w:val="24"/>
          <w:lang w:val="en-US"/>
        </w:rPr>
        <w:t xml:space="preserve"> </w:t>
      </w:r>
      <w:r w:rsidRPr="00E04BA2">
        <w:rPr>
          <w:rFonts w:ascii="Arial" w:hAnsi="Arial" w:cs="Arial"/>
          <w:sz w:val="24"/>
          <w:szCs w:val="24"/>
          <w:lang w:val="en-US"/>
        </w:rPr>
        <w:t xml:space="preserve">= </w:t>
      </w:r>
      <w:r>
        <w:rPr>
          <w:rFonts w:ascii="Arial" w:hAnsi="Arial" w:cs="Arial"/>
          <w:sz w:val="24"/>
          <w:szCs w:val="24"/>
          <w:lang w:val="en-US"/>
        </w:rPr>
        <w:t xml:space="preserve">Recognition of patrimonial </w:t>
      </w:r>
      <w:r w:rsidR="003E079B">
        <w:rPr>
          <w:rFonts w:ascii="Arial" w:hAnsi="Arial" w:cs="Arial"/>
          <w:sz w:val="24"/>
          <w:szCs w:val="24"/>
          <w:lang w:val="en-US"/>
        </w:rPr>
        <w:t>marriages</w:t>
      </w:r>
      <w:r>
        <w:rPr>
          <w:rFonts w:ascii="Arial" w:hAnsi="Arial" w:cs="Arial"/>
          <w:sz w:val="24"/>
          <w:szCs w:val="24"/>
          <w:lang w:val="en-US"/>
        </w:rPr>
        <w:t xml:space="preserve"> act </w:t>
      </w:r>
      <w:r w:rsidR="009B1103">
        <w:rPr>
          <w:rFonts w:ascii="Arial" w:hAnsi="Arial" w:cs="Arial"/>
          <w:sz w:val="24"/>
          <w:szCs w:val="24"/>
          <w:lang w:val="en-US"/>
        </w:rPr>
        <w:t>120 of 1998</w:t>
      </w: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Default="00FF3ECF"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Default="0003545E" w:rsidP="00094C7B">
      <w:pPr>
        <w:ind w:left="720"/>
        <w:jc w:val="both"/>
        <w:rPr>
          <w:rFonts w:ascii="Arial" w:hAnsi="Arial" w:cs="Arial"/>
          <w:sz w:val="24"/>
          <w:szCs w:val="24"/>
          <w:lang w:val="en-US"/>
        </w:rPr>
      </w:pPr>
    </w:p>
    <w:p w:rsidR="0003545E" w:rsidRPr="00632CC2" w:rsidRDefault="0003545E"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sdt>
      <w:sdtPr>
        <w:rPr>
          <w:rFonts w:ascii="Arial" w:eastAsiaTheme="minorHAnsi" w:hAnsi="Arial" w:cs="Arial"/>
          <w:color w:val="auto"/>
          <w:sz w:val="24"/>
          <w:szCs w:val="24"/>
          <w:lang w:val="en-ZA"/>
        </w:rPr>
        <w:id w:val="1085421814"/>
        <w:docPartObj>
          <w:docPartGallery w:val="Table of Contents"/>
          <w:docPartUnique/>
        </w:docPartObj>
      </w:sdtPr>
      <w:sdtEndPr>
        <w:rPr>
          <w:b/>
          <w:bCs/>
          <w:noProof/>
        </w:rPr>
      </w:sdtEndPr>
      <w:sdtContent>
        <w:p w:rsidR="00FF3ECF" w:rsidRPr="00632CC2" w:rsidRDefault="00FF3ECF" w:rsidP="00094C7B">
          <w:pPr>
            <w:pStyle w:val="TOCHeading"/>
            <w:ind w:left="720"/>
            <w:jc w:val="both"/>
            <w:rPr>
              <w:rFonts w:ascii="Arial" w:hAnsi="Arial" w:cs="Arial"/>
              <w:b/>
              <w:color w:val="auto"/>
              <w:sz w:val="24"/>
              <w:szCs w:val="24"/>
            </w:rPr>
          </w:pPr>
          <w:r w:rsidRPr="00632CC2">
            <w:rPr>
              <w:rFonts w:ascii="Arial" w:hAnsi="Arial" w:cs="Arial"/>
              <w:b/>
              <w:color w:val="auto"/>
              <w:sz w:val="24"/>
              <w:szCs w:val="24"/>
            </w:rPr>
            <w:t>Contents</w:t>
          </w:r>
        </w:p>
        <w:p w:rsidR="008B7079" w:rsidRPr="00632CC2" w:rsidRDefault="008B7079" w:rsidP="00094C7B">
          <w:pPr>
            <w:ind w:left="720"/>
            <w:jc w:val="both"/>
            <w:rPr>
              <w:rFonts w:ascii="Arial" w:hAnsi="Arial" w:cs="Arial"/>
              <w:sz w:val="24"/>
              <w:szCs w:val="24"/>
              <w:lang w:val="en-US"/>
            </w:rPr>
          </w:pPr>
        </w:p>
        <w:p w:rsidR="008B7079" w:rsidRPr="00632CC2" w:rsidRDefault="00FF3ECF" w:rsidP="00094C7B">
          <w:pPr>
            <w:pStyle w:val="TOC1"/>
            <w:tabs>
              <w:tab w:val="right" w:leader="dot" w:pos="9016"/>
            </w:tabs>
            <w:ind w:left="720"/>
            <w:jc w:val="both"/>
            <w:rPr>
              <w:rFonts w:ascii="Arial" w:eastAsiaTheme="minorEastAsia" w:hAnsi="Arial" w:cs="Arial"/>
              <w:noProof/>
              <w:sz w:val="24"/>
              <w:szCs w:val="24"/>
              <w:lang w:eastAsia="en-ZA"/>
            </w:rPr>
          </w:pPr>
          <w:r w:rsidRPr="00632CC2">
            <w:rPr>
              <w:rFonts w:ascii="Arial" w:hAnsi="Arial" w:cs="Arial"/>
              <w:sz w:val="24"/>
              <w:szCs w:val="24"/>
            </w:rPr>
            <w:fldChar w:fldCharType="begin"/>
          </w:r>
          <w:r w:rsidRPr="00632CC2">
            <w:rPr>
              <w:rFonts w:ascii="Arial" w:hAnsi="Arial" w:cs="Arial"/>
              <w:sz w:val="24"/>
              <w:szCs w:val="24"/>
            </w:rPr>
            <w:instrText xml:space="preserve"> TOC \o "1-3" \h \z \u </w:instrText>
          </w:r>
          <w:r w:rsidRPr="00632CC2">
            <w:rPr>
              <w:rFonts w:ascii="Arial" w:hAnsi="Arial" w:cs="Arial"/>
              <w:sz w:val="24"/>
              <w:szCs w:val="24"/>
            </w:rPr>
            <w:fldChar w:fldCharType="separate"/>
          </w:r>
          <w:hyperlink w:anchor="_Toc57128484" w:history="1">
            <w:r w:rsidR="008B7079" w:rsidRPr="00632CC2">
              <w:rPr>
                <w:rStyle w:val="Hyperlink"/>
                <w:rFonts w:ascii="Arial" w:hAnsi="Arial" w:cs="Arial"/>
                <w:b/>
                <w:noProof/>
                <w:sz w:val="24"/>
                <w:szCs w:val="24"/>
                <w:lang w:val="en-US"/>
              </w:rPr>
              <w:t>Question 1</w:t>
            </w:r>
            <w:r w:rsidR="008B7079" w:rsidRPr="00632CC2">
              <w:rPr>
                <w:rFonts w:ascii="Arial" w:hAnsi="Arial" w:cs="Arial"/>
                <w:noProof/>
                <w:webHidden/>
                <w:sz w:val="24"/>
                <w:szCs w:val="24"/>
              </w:rPr>
              <w:tab/>
            </w:r>
            <w:r w:rsidR="008B7079" w:rsidRPr="00632CC2">
              <w:rPr>
                <w:rFonts w:ascii="Arial" w:hAnsi="Arial" w:cs="Arial"/>
                <w:noProof/>
                <w:webHidden/>
                <w:sz w:val="24"/>
                <w:szCs w:val="24"/>
              </w:rPr>
              <w:fldChar w:fldCharType="begin"/>
            </w:r>
            <w:r w:rsidR="008B7079" w:rsidRPr="00632CC2">
              <w:rPr>
                <w:rFonts w:ascii="Arial" w:hAnsi="Arial" w:cs="Arial"/>
                <w:noProof/>
                <w:webHidden/>
                <w:sz w:val="24"/>
                <w:szCs w:val="24"/>
              </w:rPr>
              <w:instrText xml:space="preserve"> PAGEREF _Toc57128484 \h </w:instrText>
            </w:r>
            <w:r w:rsidR="008B7079" w:rsidRPr="00632CC2">
              <w:rPr>
                <w:rFonts w:ascii="Arial" w:hAnsi="Arial" w:cs="Arial"/>
                <w:noProof/>
                <w:webHidden/>
                <w:sz w:val="24"/>
                <w:szCs w:val="24"/>
              </w:rPr>
            </w:r>
            <w:r w:rsidR="008B7079" w:rsidRPr="00632CC2">
              <w:rPr>
                <w:rFonts w:ascii="Arial" w:hAnsi="Arial" w:cs="Arial"/>
                <w:noProof/>
                <w:webHidden/>
                <w:sz w:val="24"/>
                <w:szCs w:val="24"/>
              </w:rPr>
              <w:fldChar w:fldCharType="separate"/>
            </w:r>
            <w:r w:rsidR="008B7079" w:rsidRPr="00632CC2">
              <w:rPr>
                <w:rFonts w:ascii="Arial" w:hAnsi="Arial" w:cs="Arial"/>
                <w:noProof/>
                <w:webHidden/>
                <w:sz w:val="24"/>
                <w:szCs w:val="24"/>
              </w:rPr>
              <w:t>1</w:t>
            </w:r>
            <w:r w:rsidR="008B7079" w:rsidRPr="00632CC2">
              <w:rPr>
                <w:rFonts w:ascii="Arial" w:hAnsi="Arial" w:cs="Arial"/>
                <w:noProof/>
                <w:webHidden/>
                <w:sz w:val="24"/>
                <w:szCs w:val="24"/>
              </w:rPr>
              <w:fldChar w:fldCharType="end"/>
            </w:r>
          </w:hyperlink>
        </w:p>
        <w:p w:rsidR="008B7079" w:rsidRPr="00632CC2" w:rsidRDefault="001F61A9" w:rsidP="00094C7B">
          <w:pPr>
            <w:pStyle w:val="TOC2"/>
            <w:tabs>
              <w:tab w:val="right" w:leader="dot" w:pos="9016"/>
            </w:tabs>
            <w:ind w:left="940"/>
            <w:jc w:val="both"/>
            <w:rPr>
              <w:rFonts w:ascii="Arial" w:eastAsiaTheme="minorEastAsia" w:hAnsi="Arial" w:cs="Arial"/>
              <w:noProof/>
              <w:sz w:val="24"/>
              <w:szCs w:val="24"/>
              <w:lang w:eastAsia="en-ZA"/>
            </w:rPr>
          </w:pPr>
          <w:hyperlink w:anchor="_Toc57128485" w:history="1">
            <w:r w:rsidR="008B7079" w:rsidRPr="00632CC2">
              <w:rPr>
                <w:rStyle w:val="Hyperlink"/>
                <w:rFonts w:ascii="Arial" w:hAnsi="Arial" w:cs="Arial"/>
                <w:noProof/>
                <w:sz w:val="24"/>
                <w:szCs w:val="24"/>
                <w:lang w:val="en-US"/>
              </w:rPr>
              <w:t>a.</w:t>
            </w:r>
            <w:r w:rsidR="008B7079" w:rsidRPr="00632CC2">
              <w:rPr>
                <w:rFonts w:ascii="Arial" w:hAnsi="Arial" w:cs="Arial"/>
                <w:noProof/>
                <w:webHidden/>
                <w:sz w:val="24"/>
                <w:szCs w:val="24"/>
              </w:rPr>
              <w:tab/>
            </w:r>
            <w:r w:rsidR="008B7079" w:rsidRPr="00632CC2">
              <w:rPr>
                <w:rFonts w:ascii="Arial" w:hAnsi="Arial" w:cs="Arial"/>
                <w:noProof/>
                <w:webHidden/>
                <w:sz w:val="24"/>
                <w:szCs w:val="24"/>
              </w:rPr>
              <w:fldChar w:fldCharType="begin"/>
            </w:r>
            <w:r w:rsidR="008B7079" w:rsidRPr="00632CC2">
              <w:rPr>
                <w:rFonts w:ascii="Arial" w:hAnsi="Arial" w:cs="Arial"/>
                <w:noProof/>
                <w:webHidden/>
                <w:sz w:val="24"/>
                <w:szCs w:val="24"/>
              </w:rPr>
              <w:instrText xml:space="preserve"> PAGEREF _Toc57128485 \h </w:instrText>
            </w:r>
            <w:r w:rsidR="008B7079" w:rsidRPr="00632CC2">
              <w:rPr>
                <w:rFonts w:ascii="Arial" w:hAnsi="Arial" w:cs="Arial"/>
                <w:noProof/>
                <w:webHidden/>
                <w:sz w:val="24"/>
                <w:szCs w:val="24"/>
              </w:rPr>
            </w:r>
            <w:r w:rsidR="008B7079" w:rsidRPr="00632CC2">
              <w:rPr>
                <w:rFonts w:ascii="Arial" w:hAnsi="Arial" w:cs="Arial"/>
                <w:noProof/>
                <w:webHidden/>
                <w:sz w:val="24"/>
                <w:szCs w:val="24"/>
              </w:rPr>
              <w:fldChar w:fldCharType="separate"/>
            </w:r>
            <w:r w:rsidR="008B7079" w:rsidRPr="00632CC2">
              <w:rPr>
                <w:rFonts w:ascii="Arial" w:hAnsi="Arial" w:cs="Arial"/>
                <w:noProof/>
                <w:webHidden/>
                <w:sz w:val="24"/>
                <w:szCs w:val="24"/>
              </w:rPr>
              <w:t>1</w:t>
            </w:r>
            <w:r w:rsidR="008B7079" w:rsidRPr="00632CC2">
              <w:rPr>
                <w:rFonts w:ascii="Arial" w:hAnsi="Arial" w:cs="Arial"/>
                <w:noProof/>
                <w:webHidden/>
                <w:sz w:val="24"/>
                <w:szCs w:val="24"/>
              </w:rPr>
              <w:fldChar w:fldCharType="end"/>
            </w:r>
          </w:hyperlink>
        </w:p>
        <w:p w:rsidR="008B7079" w:rsidRPr="00632CC2" w:rsidRDefault="001F61A9" w:rsidP="00094C7B">
          <w:pPr>
            <w:pStyle w:val="TOC2"/>
            <w:tabs>
              <w:tab w:val="right" w:leader="dot" w:pos="9016"/>
            </w:tabs>
            <w:ind w:left="940"/>
            <w:jc w:val="both"/>
            <w:rPr>
              <w:rFonts w:ascii="Arial" w:eastAsiaTheme="minorEastAsia" w:hAnsi="Arial" w:cs="Arial"/>
              <w:noProof/>
              <w:sz w:val="24"/>
              <w:szCs w:val="24"/>
              <w:lang w:eastAsia="en-ZA"/>
            </w:rPr>
          </w:pPr>
          <w:hyperlink w:anchor="_Toc57128486" w:history="1">
            <w:r w:rsidR="008B7079" w:rsidRPr="00632CC2">
              <w:rPr>
                <w:rStyle w:val="Hyperlink"/>
                <w:rFonts w:ascii="Arial" w:hAnsi="Arial" w:cs="Arial"/>
                <w:noProof/>
                <w:sz w:val="24"/>
                <w:szCs w:val="24"/>
                <w:lang w:val="en-US"/>
              </w:rPr>
              <w:t>b.</w:t>
            </w:r>
            <w:r w:rsidR="008B7079" w:rsidRPr="00632CC2">
              <w:rPr>
                <w:rFonts w:ascii="Arial" w:hAnsi="Arial" w:cs="Arial"/>
                <w:noProof/>
                <w:webHidden/>
                <w:sz w:val="24"/>
                <w:szCs w:val="24"/>
              </w:rPr>
              <w:tab/>
            </w:r>
            <w:r w:rsidR="008B7079" w:rsidRPr="00632CC2">
              <w:rPr>
                <w:rFonts w:ascii="Arial" w:hAnsi="Arial" w:cs="Arial"/>
                <w:noProof/>
                <w:webHidden/>
                <w:sz w:val="24"/>
                <w:szCs w:val="24"/>
              </w:rPr>
              <w:fldChar w:fldCharType="begin"/>
            </w:r>
            <w:r w:rsidR="008B7079" w:rsidRPr="00632CC2">
              <w:rPr>
                <w:rFonts w:ascii="Arial" w:hAnsi="Arial" w:cs="Arial"/>
                <w:noProof/>
                <w:webHidden/>
                <w:sz w:val="24"/>
                <w:szCs w:val="24"/>
              </w:rPr>
              <w:instrText xml:space="preserve"> PAGEREF _Toc57128486 \h </w:instrText>
            </w:r>
            <w:r w:rsidR="008B7079" w:rsidRPr="00632CC2">
              <w:rPr>
                <w:rFonts w:ascii="Arial" w:hAnsi="Arial" w:cs="Arial"/>
                <w:noProof/>
                <w:webHidden/>
                <w:sz w:val="24"/>
                <w:szCs w:val="24"/>
              </w:rPr>
            </w:r>
            <w:r w:rsidR="008B7079" w:rsidRPr="00632CC2">
              <w:rPr>
                <w:rFonts w:ascii="Arial" w:hAnsi="Arial" w:cs="Arial"/>
                <w:noProof/>
                <w:webHidden/>
                <w:sz w:val="24"/>
                <w:szCs w:val="24"/>
              </w:rPr>
              <w:fldChar w:fldCharType="separate"/>
            </w:r>
            <w:r w:rsidR="008B7079" w:rsidRPr="00632CC2">
              <w:rPr>
                <w:rFonts w:ascii="Arial" w:hAnsi="Arial" w:cs="Arial"/>
                <w:noProof/>
                <w:webHidden/>
                <w:sz w:val="24"/>
                <w:szCs w:val="24"/>
              </w:rPr>
              <w:t>1</w:t>
            </w:r>
            <w:r w:rsidR="008B7079" w:rsidRPr="00632CC2">
              <w:rPr>
                <w:rFonts w:ascii="Arial" w:hAnsi="Arial" w:cs="Arial"/>
                <w:noProof/>
                <w:webHidden/>
                <w:sz w:val="24"/>
                <w:szCs w:val="24"/>
              </w:rPr>
              <w:fldChar w:fldCharType="end"/>
            </w:r>
          </w:hyperlink>
        </w:p>
        <w:p w:rsidR="008B7079" w:rsidRPr="00632CC2" w:rsidRDefault="001F61A9" w:rsidP="00094C7B">
          <w:pPr>
            <w:pStyle w:val="TOC1"/>
            <w:tabs>
              <w:tab w:val="right" w:leader="dot" w:pos="9016"/>
            </w:tabs>
            <w:ind w:left="720"/>
            <w:jc w:val="both"/>
            <w:rPr>
              <w:rFonts w:ascii="Arial" w:eastAsiaTheme="minorEastAsia" w:hAnsi="Arial" w:cs="Arial"/>
              <w:noProof/>
              <w:sz w:val="24"/>
              <w:szCs w:val="24"/>
              <w:lang w:eastAsia="en-ZA"/>
            </w:rPr>
          </w:pPr>
          <w:hyperlink w:anchor="_Toc57128487" w:history="1">
            <w:r w:rsidR="008B7079" w:rsidRPr="00632CC2">
              <w:rPr>
                <w:rStyle w:val="Hyperlink"/>
                <w:rFonts w:ascii="Arial" w:hAnsi="Arial" w:cs="Arial"/>
                <w:b/>
                <w:noProof/>
                <w:sz w:val="24"/>
                <w:szCs w:val="24"/>
                <w:lang w:val="en-US"/>
              </w:rPr>
              <w:t>Question 2</w:t>
            </w:r>
            <w:r w:rsidR="008B7079" w:rsidRPr="00632CC2">
              <w:rPr>
                <w:rFonts w:ascii="Arial" w:hAnsi="Arial" w:cs="Arial"/>
                <w:noProof/>
                <w:webHidden/>
                <w:sz w:val="24"/>
                <w:szCs w:val="24"/>
              </w:rPr>
              <w:tab/>
            </w:r>
            <w:r w:rsidR="008B7079" w:rsidRPr="00632CC2">
              <w:rPr>
                <w:rFonts w:ascii="Arial" w:hAnsi="Arial" w:cs="Arial"/>
                <w:noProof/>
                <w:webHidden/>
                <w:sz w:val="24"/>
                <w:szCs w:val="24"/>
              </w:rPr>
              <w:fldChar w:fldCharType="begin"/>
            </w:r>
            <w:r w:rsidR="008B7079" w:rsidRPr="00632CC2">
              <w:rPr>
                <w:rFonts w:ascii="Arial" w:hAnsi="Arial" w:cs="Arial"/>
                <w:noProof/>
                <w:webHidden/>
                <w:sz w:val="24"/>
                <w:szCs w:val="24"/>
              </w:rPr>
              <w:instrText xml:space="preserve"> PAGEREF _Toc57128487 \h </w:instrText>
            </w:r>
            <w:r w:rsidR="008B7079" w:rsidRPr="00632CC2">
              <w:rPr>
                <w:rFonts w:ascii="Arial" w:hAnsi="Arial" w:cs="Arial"/>
                <w:noProof/>
                <w:webHidden/>
                <w:sz w:val="24"/>
                <w:szCs w:val="24"/>
              </w:rPr>
            </w:r>
            <w:r w:rsidR="008B7079" w:rsidRPr="00632CC2">
              <w:rPr>
                <w:rFonts w:ascii="Arial" w:hAnsi="Arial" w:cs="Arial"/>
                <w:noProof/>
                <w:webHidden/>
                <w:sz w:val="24"/>
                <w:szCs w:val="24"/>
              </w:rPr>
              <w:fldChar w:fldCharType="separate"/>
            </w:r>
            <w:r w:rsidR="008B7079" w:rsidRPr="00632CC2">
              <w:rPr>
                <w:rFonts w:ascii="Arial" w:hAnsi="Arial" w:cs="Arial"/>
                <w:noProof/>
                <w:webHidden/>
                <w:sz w:val="24"/>
                <w:szCs w:val="24"/>
              </w:rPr>
              <w:t>1</w:t>
            </w:r>
            <w:r w:rsidR="008B7079" w:rsidRPr="00632CC2">
              <w:rPr>
                <w:rFonts w:ascii="Arial" w:hAnsi="Arial" w:cs="Arial"/>
                <w:noProof/>
                <w:webHidden/>
                <w:sz w:val="24"/>
                <w:szCs w:val="24"/>
              </w:rPr>
              <w:fldChar w:fldCharType="end"/>
            </w:r>
          </w:hyperlink>
        </w:p>
        <w:p w:rsidR="008B7079" w:rsidRPr="00632CC2" w:rsidRDefault="001F61A9" w:rsidP="00094C7B">
          <w:pPr>
            <w:pStyle w:val="TOC1"/>
            <w:tabs>
              <w:tab w:val="right" w:leader="dot" w:pos="9016"/>
            </w:tabs>
            <w:ind w:left="720"/>
            <w:jc w:val="both"/>
            <w:rPr>
              <w:rFonts w:ascii="Arial" w:eastAsiaTheme="minorEastAsia" w:hAnsi="Arial" w:cs="Arial"/>
              <w:noProof/>
              <w:sz w:val="24"/>
              <w:szCs w:val="24"/>
              <w:lang w:eastAsia="en-ZA"/>
            </w:rPr>
          </w:pPr>
          <w:hyperlink w:anchor="_Toc57128488" w:history="1">
            <w:r w:rsidR="008B7079" w:rsidRPr="00632CC2">
              <w:rPr>
                <w:rStyle w:val="Hyperlink"/>
                <w:rFonts w:ascii="Arial" w:hAnsi="Arial" w:cs="Arial"/>
                <w:b/>
                <w:noProof/>
                <w:sz w:val="24"/>
                <w:szCs w:val="24"/>
                <w:lang w:val="en-US"/>
              </w:rPr>
              <w:t>Question 3</w:t>
            </w:r>
            <w:r w:rsidR="008B7079" w:rsidRPr="00632CC2">
              <w:rPr>
                <w:rFonts w:ascii="Arial" w:hAnsi="Arial" w:cs="Arial"/>
                <w:noProof/>
                <w:webHidden/>
                <w:sz w:val="24"/>
                <w:szCs w:val="24"/>
              </w:rPr>
              <w:tab/>
            </w:r>
            <w:r w:rsidR="008B7079" w:rsidRPr="00632CC2">
              <w:rPr>
                <w:rFonts w:ascii="Arial" w:hAnsi="Arial" w:cs="Arial"/>
                <w:noProof/>
                <w:webHidden/>
                <w:sz w:val="24"/>
                <w:szCs w:val="24"/>
              </w:rPr>
              <w:fldChar w:fldCharType="begin"/>
            </w:r>
            <w:r w:rsidR="008B7079" w:rsidRPr="00632CC2">
              <w:rPr>
                <w:rFonts w:ascii="Arial" w:hAnsi="Arial" w:cs="Arial"/>
                <w:noProof/>
                <w:webHidden/>
                <w:sz w:val="24"/>
                <w:szCs w:val="24"/>
              </w:rPr>
              <w:instrText xml:space="preserve"> PAGEREF _Toc57128488 \h </w:instrText>
            </w:r>
            <w:r w:rsidR="008B7079" w:rsidRPr="00632CC2">
              <w:rPr>
                <w:rFonts w:ascii="Arial" w:hAnsi="Arial" w:cs="Arial"/>
                <w:noProof/>
                <w:webHidden/>
                <w:sz w:val="24"/>
                <w:szCs w:val="24"/>
              </w:rPr>
            </w:r>
            <w:r w:rsidR="008B7079" w:rsidRPr="00632CC2">
              <w:rPr>
                <w:rFonts w:ascii="Arial" w:hAnsi="Arial" w:cs="Arial"/>
                <w:noProof/>
                <w:webHidden/>
                <w:sz w:val="24"/>
                <w:szCs w:val="24"/>
              </w:rPr>
              <w:fldChar w:fldCharType="separate"/>
            </w:r>
            <w:r w:rsidR="008B7079" w:rsidRPr="00632CC2">
              <w:rPr>
                <w:rFonts w:ascii="Arial" w:hAnsi="Arial" w:cs="Arial"/>
                <w:noProof/>
                <w:webHidden/>
                <w:sz w:val="24"/>
                <w:szCs w:val="24"/>
              </w:rPr>
              <w:t>1</w:t>
            </w:r>
            <w:r w:rsidR="008B7079" w:rsidRPr="00632CC2">
              <w:rPr>
                <w:rFonts w:ascii="Arial" w:hAnsi="Arial" w:cs="Arial"/>
                <w:noProof/>
                <w:webHidden/>
                <w:sz w:val="24"/>
                <w:szCs w:val="24"/>
              </w:rPr>
              <w:fldChar w:fldCharType="end"/>
            </w:r>
          </w:hyperlink>
        </w:p>
        <w:p w:rsidR="008B7079" w:rsidRPr="00632CC2" w:rsidRDefault="001F61A9" w:rsidP="00094C7B">
          <w:pPr>
            <w:pStyle w:val="TOC2"/>
            <w:tabs>
              <w:tab w:val="right" w:leader="dot" w:pos="9016"/>
            </w:tabs>
            <w:ind w:left="940"/>
            <w:jc w:val="both"/>
            <w:rPr>
              <w:rFonts w:ascii="Arial" w:eastAsiaTheme="minorEastAsia" w:hAnsi="Arial" w:cs="Arial"/>
              <w:noProof/>
              <w:sz w:val="24"/>
              <w:szCs w:val="24"/>
              <w:lang w:eastAsia="en-ZA"/>
            </w:rPr>
          </w:pPr>
          <w:hyperlink w:anchor="_Toc57128489" w:history="1">
            <w:r w:rsidR="008B7079" w:rsidRPr="00632CC2">
              <w:rPr>
                <w:rStyle w:val="Hyperlink"/>
                <w:rFonts w:ascii="Arial" w:hAnsi="Arial" w:cs="Arial"/>
                <w:noProof/>
                <w:sz w:val="24"/>
                <w:szCs w:val="24"/>
                <w:lang w:val="en-US"/>
              </w:rPr>
              <w:t>a.</w:t>
            </w:r>
            <w:r w:rsidR="008B7079" w:rsidRPr="00632CC2">
              <w:rPr>
                <w:rFonts w:ascii="Arial" w:hAnsi="Arial" w:cs="Arial"/>
                <w:noProof/>
                <w:webHidden/>
                <w:sz w:val="24"/>
                <w:szCs w:val="24"/>
              </w:rPr>
              <w:tab/>
            </w:r>
            <w:r w:rsidR="008B7079" w:rsidRPr="00632CC2">
              <w:rPr>
                <w:rFonts w:ascii="Arial" w:hAnsi="Arial" w:cs="Arial"/>
                <w:noProof/>
                <w:webHidden/>
                <w:sz w:val="24"/>
                <w:szCs w:val="24"/>
              </w:rPr>
              <w:fldChar w:fldCharType="begin"/>
            </w:r>
            <w:r w:rsidR="008B7079" w:rsidRPr="00632CC2">
              <w:rPr>
                <w:rFonts w:ascii="Arial" w:hAnsi="Arial" w:cs="Arial"/>
                <w:noProof/>
                <w:webHidden/>
                <w:sz w:val="24"/>
                <w:szCs w:val="24"/>
              </w:rPr>
              <w:instrText xml:space="preserve"> PAGEREF _Toc57128489 \h </w:instrText>
            </w:r>
            <w:r w:rsidR="008B7079" w:rsidRPr="00632CC2">
              <w:rPr>
                <w:rFonts w:ascii="Arial" w:hAnsi="Arial" w:cs="Arial"/>
                <w:noProof/>
                <w:webHidden/>
                <w:sz w:val="24"/>
                <w:szCs w:val="24"/>
              </w:rPr>
            </w:r>
            <w:r w:rsidR="008B7079" w:rsidRPr="00632CC2">
              <w:rPr>
                <w:rFonts w:ascii="Arial" w:hAnsi="Arial" w:cs="Arial"/>
                <w:noProof/>
                <w:webHidden/>
                <w:sz w:val="24"/>
                <w:szCs w:val="24"/>
              </w:rPr>
              <w:fldChar w:fldCharType="separate"/>
            </w:r>
            <w:r w:rsidR="008B7079" w:rsidRPr="00632CC2">
              <w:rPr>
                <w:rFonts w:ascii="Arial" w:hAnsi="Arial" w:cs="Arial"/>
                <w:noProof/>
                <w:webHidden/>
                <w:sz w:val="24"/>
                <w:szCs w:val="24"/>
              </w:rPr>
              <w:t>1</w:t>
            </w:r>
            <w:r w:rsidR="008B7079" w:rsidRPr="00632CC2">
              <w:rPr>
                <w:rFonts w:ascii="Arial" w:hAnsi="Arial" w:cs="Arial"/>
                <w:noProof/>
                <w:webHidden/>
                <w:sz w:val="24"/>
                <w:szCs w:val="24"/>
              </w:rPr>
              <w:fldChar w:fldCharType="end"/>
            </w:r>
          </w:hyperlink>
        </w:p>
        <w:p w:rsidR="008B7079" w:rsidRPr="00632CC2" w:rsidRDefault="001F61A9" w:rsidP="00094C7B">
          <w:pPr>
            <w:pStyle w:val="TOC2"/>
            <w:tabs>
              <w:tab w:val="right" w:leader="dot" w:pos="9016"/>
            </w:tabs>
            <w:ind w:left="940"/>
            <w:jc w:val="both"/>
            <w:rPr>
              <w:rFonts w:ascii="Arial" w:eastAsiaTheme="minorEastAsia" w:hAnsi="Arial" w:cs="Arial"/>
              <w:noProof/>
              <w:sz w:val="24"/>
              <w:szCs w:val="24"/>
              <w:lang w:eastAsia="en-ZA"/>
            </w:rPr>
          </w:pPr>
          <w:hyperlink w:anchor="_Toc57128490" w:history="1">
            <w:r w:rsidR="008B7079" w:rsidRPr="00632CC2">
              <w:rPr>
                <w:rStyle w:val="Hyperlink"/>
                <w:rFonts w:ascii="Arial" w:hAnsi="Arial" w:cs="Arial"/>
                <w:noProof/>
                <w:sz w:val="24"/>
                <w:szCs w:val="24"/>
                <w:lang w:val="en-US"/>
              </w:rPr>
              <w:t>b.</w:t>
            </w:r>
            <w:r w:rsidR="008B7079" w:rsidRPr="00632CC2">
              <w:rPr>
                <w:rFonts w:ascii="Arial" w:hAnsi="Arial" w:cs="Arial"/>
                <w:noProof/>
                <w:webHidden/>
                <w:sz w:val="24"/>
                <w:szCs w:val="24"/>
              </w:rPr>
              <w:tab/>
            </w:r>
            <w:r w:rsidR="008B7079" w:rsidRPr="00632CC2">
              <w:rPr>
                <w:rFonts w:ascii="Arial" w:hAnsi="Arial" w:cs="Arial"/>
                <w:noProof/>
                <w:webHidden/>
                <w:sz w:val="24"/>
                <w:szCs w:val="24"/>
              </w:rPr>
              <w:fldChar w:fldCharType="begin"/>
            </w:r>
            <w:r w:rsidR="008B7079" w:rsidRPr="00632CC2">
              <w:rPr>
                <w:rFonts w:ascii="Arial" w:hAnsi="Arial" w:cs="Arial"/>
                <w:noProof/>
                <w:webHidden/>
                <w:sz w:val="24"/>
                <w:szCs w:val="24"/>
              </w:rPr>
              <w:instrText xml:space="preserve"> PAGEREF _Toc57128490 \h </w:instrText>
            </w:r>
            <w:r w:rsidR="008B7079" w:rsidRPr="00632CC2">
              <w:rPr>
                <w:rFonts w:ascii="Arial" w:hAnsi="Arial" w:cs="Arial"/>
                <w:noProof/>
                <w:webHidden/>
                <w:sz w:val="24"/>
                <w:szCs w:val="24"/>
              </w:rPr>
            </w:r>
            <w:r w:rsidR="008B7079" w:rsidRPr="00632CC2">
              <w:rPr>
                <w:rFonts w:ascii="Arial" w:hAnsi="Arial" w:cs="Arial"/>
                <w:noProof/>
                <w:webHidden/>
                <w:sz w:val="24"/>
                <w:szCs w:val="24"/>
              </w:rPr>
              <w:fldChar w:fldCharType="separate"/>
            </w:r>
            <w:r w:rsidR="008B7079" w:rsidRPr="00632CC2">
              <w:rPr>
                <w:rFonts w:ascii="Arial" w:hAnsi="Arial" w:cs="Arial"/>
                <w:noProof/>
                <w:webHidden/>
                <w:sz w:val="24"/>
                <w:szCs w:val="24"/>
              </w:rPr>
              <w:t>1</w:t>
            </w:r>
            <w:r w:rsidR="008B7079" w:rsidRPr="00632CC2">
              <w:rPr>
                <w:rFonts w:ascii="Arial" w:hAnsi="Arial" w:cs="Arial"/>
                <w:noProof/>
                <w:webHidden/>
                <w:sz w:val="24"/>
                <w:szCs w:val="24"/>
              </w:rPr>
              <w:fldChar w:fldCharType="end"/>
            </w:r>
          </w:hyperlink>
        </w:p>
        <w:p w:rsidR="008B7079" w:rsidRPr="00632CC2" w:rsidRDefault="001F61A9" w:rsidP="00094C7B">
          <w:pPr>
            <w:pStyle w:val="TOC2"/>
            <w:tabs>
              <w:tab w:val="right" w:leader="dot" w:pos="9016"/>
            </w:tabs>
            <w:ind w:left="940"/>
            <w:jc w:val="both"/>
            <w:rPr>
              <w:rFonts w:ascii="Arial" w:eastAsiaTheme="minorEastAsia" w:hAnsi="Arial" w:cs="Arial"/>
              <w:noProof/>
              <w:sz w:val="24"/>
              <w:szCs w:val="24"/>
              <w:lang w:eastAsia="en-ZA"/>
            </w:rPr>
          </w:pPr>
          <w:hyperlink w:anchor="_Toc57128491" w:history="1">
            <w:r w:rsidR="008B7079" w:rsidRPr="00632CC2">
              <w:rPr>
                <w:rStyle w:val="Hyperlink"/>
                <w:rFonts w:ascii="Arial" w:hAnsi="Arial" w:cs="Arial"/>
                <w:noProof/>
                <w:sz w:val="24"/>
                <w:szCs w:val="24"/>
                <w:lang w:val="en-US"/>
              </w:rPr>
              <w:t>c.</w:t>
            </w:r>
            <w:r w:rsidR="008B7079" w:rsidRPr="00632CC2">
              <w:rPr>
                <w:rFonts w:ascii="Arial" w:hAnsi="Arial" w:cs="Arial"/>
                <w:noProof/>
                <w:webHidden/>
                <w:sz w:val="24"/>
                <w:szCs w:val="24"/>
              </w:rPr>
              <w:tab/>
            </w:r>
            <w:r w:rsidR="008B7079" w:rsidRPr="00632CC2">
              <w:rPr>
                <w:rFonts w:ascii="Arial" w:hAnsi="Arial" w:cs="Arial"/>
                <w:noProof/>
                <w:webHidden/>
                <w:sz w:val="24"/>
                <w:szCs w:val="24"/>
              </w:rPr>
              <w:fldChar w:fldCharType="begin"/>
            </w:r>
            <w:r w:rsidR="008B7079" w:rsidRPr="00632CC2">
              <w:rPr>
                <w:rFonts w:ascii="Arial" w:hAnsi="Arial" w:cs="Arial"/>
                <w:noProof/>
                <w:webHidden/>
                <w:sz w:val="24"/>
                <w:szCs w:val="24"/>
              </w:rPr>
              <w:instrText xml:space="preserve"> PAGEREF _Toc57128491 \h </w:instrText>
            </w:r>
            <w:r w:rsidR="008B7079" w:rsidRPr="00632CC2">
              <w:rPr>
                <w:rFonts w:ascii="Arial" w:hAnsi="Arial" w:cs="Arial"/>
                <w:noProof/>
                <w:webHidden/>
                <w:sz w:val="24"/>
                <w:szCs w:val="24"/>
              </w:rPr>
            </w:r>
            <w:r w:rsidR="008B7079" w:rsidRPr="00632CC2">
              <w:rPr>
                <w:rFonts w:ascii="Arial" w:hAnsi="Arial" w:cs="Arial"/>
                <w:noProof/>
                <w:webHidden/>
                <w:sz w:val="24"/>
                <w:szCs w:val="24"/>
              </w:rPr>
              <w:fldChar w:fldCharType="separate"/>
            </w:r>
            <w:r w:rsidR="008B7079" w:rsidRPr="00632CC2">
              <w:rPr>
                <w:rFonts w:ascii="Arial" w:hAnsi="Arial" w:cs="Arial"/>
                <w:noProof/>
                <w:webHidden/>
                <w:sz w:val="24"/>
                <w:szCs w:val="24"/>
              </w:rPr>
              <w:t>1</w:t>
            </w:r>
            <w:r w:rsidR="008B7079" w:rsidRPr="00632CC2">
              <w:rPr>
                <w:rFonts w:ascii="Arial" w:hAnsi="Arial" w:cs="Arial"/>
                <w:noProof/>
                <w:webHidden/>
                <w:sz w:val="24"/>
                <w:szCs w:val="24"/>
              </w:rPr>
              <w:fldChar w:fldCharType="end"/>
            </w:r>
          </w:hyperlink>
        </w:p>
        <w:p w:rsidR="00FF3ECF" w:rsidRPr="00632CC2" w:rsidRDefault="00FF3ECF" w:rsidP="00094C7B">
          <w:pPr>
            <w:ind w:left="720"/>
            <w:jc w:val="both"/>
            <w:rPr>
              <w:rFonts w:ascii="Arial" w:hAnsi="Arial" w:cs="Arial"/>
              <w:sz w:val="24"/>
              <w:szCs w:val="24"/>
            </w:rPr>
          </w:pPr>
          <w:r w:rsidRPr="00632CC2">
            <w:rPr>
              <w:rFonts w:ascii="Arial" w:hAnsi="Arial" w:cs="Arial"/>
              <w:b/>
              <w:bCs/>
              <w:noProof/>
              <w:sz w:val="24"/>
              <w:szCs w:val="24"/>
            </w:rPr>
            <w:fldChar w:fldCharType="end"/>
          </w:r>
        </w:p>
      </w:sdtContent>
    </w:sdt>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703F4B" w:rsidRPr="00632CC2" w:rsidRDefault="00703F4B" w:rsidP="00094C7B">
      <w:pPr>
        <w:ind w:left="720"/>
        <w:jc w:val="both"/>
        <w:rPr>
          <w:rFonts w:ascii="Arial" w:hAnsi="Arial" w:cs="Arial"/>
          <w:sz w:val="24"/>
          <w:szCs w:val="24"/>
          <w:lang w:val="en-US"/>
        </w:rPr>
      </w:pPr>
    </w:p>
    <w:p w:rsidR="00FF3ECF" w:rsidRPr="00632CC2" w:rsidRDefault="00FF3ECF" w:rsidP="00094C7B">
      <w:pPr>
        <w:ind w:left="720"/>
        <w:jc w:val="both"/>
        <w:rPr>
          <w:rFonts w:ascii="Arial" w:hAnsi="Arial" w:cs="Arial"/>
          <w:sz w:val="24"/>
          <w:szCs w:val="24"/>
        </w:rPr>
        <w:sectPr w:rsidR="00FF3ECF" w:rsidRPr="00632CC2">
          <w:pgSz w:w="11906" w:h="16838"/>
          <w:pgMar w:top="1440" w:right="1440" w:bottom="1440" w:left="1440" w:header="708" w:footer="708" w:gutter="0"/>
          <w:cols w:space="708"/>
          <w:docGrid w:linePitch="360"/>
        </w:sectPr>
      </w:pPr>
    </w:p>
    <w:p w:rsidR="00124280" w:rsidRPr="00632CC2" w:rsidRDefault="00124280" w:rsidP="00094C7B">
      <w:pPr>
        <w:ind w:left="720"/>
        <w:jc w:val="both"/>
        <w:rPr>
          <w:rFonts w:ascii="Arial" w:hAnsi="Arial" w:cs="Arial"/>
          <w:sz w:val="24"/>
          <w:szCs w:val="24"/>
          <w:lang w:val="en-US"/>
        </w:rPr>
      </w:pPr>
    </w:p>
    <w:p w:rsidR="00004B01" w:rsidRPr="00632CC2" w:rsidRDefault="00703F4B" w:rsidP="00094C7B">
      <w:pPr>
        <w:pStyle w:val="Heading1"/>
        <w:ind w:left="720"/>
        <w:jc w:val="both"/>
        <w:rPr>
          <w:rFonts w:ascii="Arial" w:hAnsi="Arial" w:cs="Arial"/>
          <w:b/>
          <w:color w:val="auto"/>
          <w:sz w:val="24"/>
          <w:szCs w:val="24"/>
          <w:lang w:val="en-US"/>
        </w:rPr>
      </w:pPr>
      <w:bookmarkStart w:id="0" w:name="_Toc57128484"/>
      <w:r w:rsidRPr="00632CC2">
        <w:rPr>
          <w:rFonts w:ascii="Arial" w:hAnsi="Arial" w:cs="Arial"/>
          <w:b/>
          <w:color w:val="auto"/>
          <w:sz w:val="24"/>
          <w:szCs w:val="24"/>
          <w:lang w:val="en-US"/>
        </w:rPr>
        <w:t>Question 1</w:t>
      </w:r>
      <w:bookmarkEnd w:id="0"/>
    </w:p>
    <w:p w:rsidR="003D74B7" w:rsidRPr="00632CC2" w:rsidRDefault="003D74B7" w:rsidP="00094C7B">
      <w:pPr>
        <w:pStyle w:val="ListParagraph"/>
        <w:numPr>
          <w:ilvl w:val="0"/>
          <w:numId w:val="1"/>
        </w:numPr>
        <w:ind w:left="1440"/>
        <w:jc w:val="both"/>
        <w:outlineLvl w:val="1"/>
        <w:rPr>
          <w:rFonts w:ascii="Arial" w:hAnsi="Arial" w:cs="Arial"/>
          <w:sz w:val="24"/>
          <w:szCs w:val="24"/>
          <w:lang w:val="en-US"/>
        </w:rPr>
      </w:pPr>
      <w:bookmarkStart w:id="1" w:name="_Toc57128485"/>
      <w:bookmarkEnd w:id="1"/>
    </w:p>
    <w:p w:rsidR="001B55CE" w:rsidRDefault="001B55CE" w:rsidP="001B55CE">
      <w:pPr>
        <w:pStyle w:val="Default"/>
        <w:ind w:left="1440"/>
        <w:rPr>
          <w:sz w:val="23"/>
          <w:szCs w:val="23"/>
        </w:rPr>
      </w:pPr>
      <w:bookmarkStart w:id="2" w:name="_Toc57128486"/>
      <w:bookmarkEnd w:id="2"/>
      <w:r>
        <w:rPr>
          <w:sz w:val="23"/>
          <w:szCs w:val="23"/>
        </w:rPr>
        <w:t xml:space="preserve">In terms of </w:t>
      </w:r>
      <w:proofErr w:type="spellStart"/>
      <w:r>
        <w:rPr>
          <w:i/>
          <w:iCs/>
          <w:sz w:val="23"/>
          <w:szCs w:val="23"/>
        </w:rPr>
        <w:t>Maluleke</w:t>
      </w:r>
      <w:proofErr w:type="spellEnd"/>
      <w:r>
        <w:rPr>
          <w:i/>
          <w:iCs/>
          <w:sz w:val="23"/>
          <w:szCs w:val="23"/>
        </w:rPr>
        <w:t xml:space="preserve"> v Minister of Home Affairs </w:t>
      </w:r>
      <w:r>
        <w:rPr>
          <w:sz w:val="23"/>
          <w:szCs w:val="23"/>
        </w:rPr>
        <w:t xml:space="preserve">Case no 02/24921 [2008] ZAGPHC 129 (9 April 2008) (unreported)( </w:t>
      </w:r>
      <w:proofErr w:type="spellStart"/>
      <w:r>
        <w:rPr>
          <w:i/>
          <w:iCs/>
          <w:sz w:val="23"/>
          <w:szCs w:val="23"/>
        </w:rPr>
        <w:t>imvume</w:t>
      </w:r>
      <w:proofErr w:type="spellEnd"/>
      <w:r>
        <w:rPr>
          <w:i/>
          <w:iCs/>
          <w:sz w:val="23"/>
          <w:szCs w:val="23"/>
        </w:rPr>
        <w:t xml:space="preserve">) </w:t>
      </w:r>
      <w:r>
        <w:rPr>
          <w:sz w:val="23"/>
          <w:szCs w:val="23"/>
        </w:rPr>
        <w:t xml:space="preserve">and </w:t>
      </w:r>
      <w:proofErr w:type="spellStart"/>
      <w:r>
        <w:rPr>
          <w:i/>
          <w:iCs/>
          <w:sz w:val="23"/>
          <w:szCs w:val="23"/>
        </w:rPr>
        <w:t>Mabuza</w:t>
      </w:r>
      <w:proofErr w:type="spellEnd"/>
      <w:r>
        <w:rPr>
          <w:i/>
          <w:iCs/>
          <w:sz w:val="23"/>
          <w:szCs w:val="23"/>
        </w:rPr>
        <w:t xml:space="preserve"> v </w:t>
      </w:r>
      <w:proofErr w:type="spellStart"/>
      <w:r>
        <w:rPr>
          <w:i/>
          <w:iCs/>
          <w:sz w:val="23"/>
          <w:szCs w:val="23"/>
        </w:rPr>
        <w:t>Mbatha</w:t>
      </w:r>
      <w:proofErr w:type="spellEnd"/>
      <w:r>
        <w:rPr>
          <w:i/>
          <w:iCs/>
          <w:sz w:val="23"/>
          <w:szCs w:val="23"/>
        </w:rPr>
        <w:t xml:space="preserve"> </w:t>
      </w:r>
      <w:r>
        <w:rPr>
          <w:sz w:val="23"/>
          <w:szCs w:val="23"/>
        </w:rPr>
        <w:t xml:space="preserve">2003 (7) BCLR 43 (C) </w:t>
      </w:r>
      <w:r>
        <w:rPr>
          <w:i/>
          <w:iCs/>
          <w:sz w:val="23"/>
          <w:szCs w:val="23"/>
        </w:rPr>
        <w:t>(</w:t>
      </w:r>
      <w:proofErr w:type="spellStart"/>
      <w:r>
        <w:rPr>
          <w:i/>
          <w:iCs/>
          <w:sz w:val="23"/>
          <w:szCs w:val="23"/>
        </w:rPr>
        <w:t>ukumekeza</w:t>
      </w:r>
      <w:proofErr w:type="spellEnd"/>
      <w:r>
        <w:rPr>
          <w:i/>
          <w:iCs/>
          <w:sz w:val="23"/>
          <w:szCs w:val="23"/>
        </w:rPr>
        <w:t xml:space="preserve">) </w:t>
      </w:r>
      <w:r>
        <w:rPr>
          <w:sz w:val="23"/>
          <w:szCs w:val="23"/>
        </w:rPr>
        <w:t xml:space="preserve">the observance of these customs is no longer essential in the urban and different environments in which today’s conditions obtain. Transformation means that once the requirements of section 3(1) of the Act are observed the customary marriage will be valid. Thus the enjoyment of the relevant traditions has been reduced to the level of nice festivities to grace the wedding, but no longer essential requirements for a valid customary marriage. You must note that proof of these festivities may still help the court in a difficult case where evidence is needed to define the occasion as a customary marriage. In such a case it would be difficult for a party who admit </w:t>
      </w:r>
      <w:proofErr w:type="spellStart"/>
      <w:r>
        <w:rPr>
          <w:i/>
          <w:iCs/>
          <w:sz w:val="23"/>
          <w:szCs w:val="23"/>
        </w:rPr>
        <w:t>imvume</w:t>
      </w:r>
      <w:proofErr w:type="spellEnd"/>
      <w:r>
        <w:rPr>
          <w:i/>
          <w:iCs/>
          <w:sz w:val="23"/>
          <w:szCs w:val="23"/>
        </w:rPr>
        <w:t>/</w:t>
      </w:r>
      <w:proofErr w:type="spellStart"/>
      <w:r>
        <w:rPr>
          <w:i/>
          <w:iCs/>
          <w:sz w:val="23"/>
          <w:szCs w:val="23"/>
        </w:rPr>
        <w:t>ukumekeza</w:t>
      </w:r>
      <w:proofErr w:type="spellEnd"/>
      <w:r>
        <w:rPr>
          <w:i/>
          <w:iCs/>
          <w:sz w:val="23"/>
          <w:szCs w:val="23"/>
        </w:rPr>
        <w:t xml:space="preserve"> </w:t>
      </w:r>
      <w:r>
        <w:rPr>
          <w:sz w:val="23"/>
          <w:szCs w:val="23"/>
        </w:rPr>
        <w:t xml:space="preserve">were held, to then dispute that the occasion was a customary marriage wedding </w:t>
      </w:r>
      <w:proofErr w:type="spellStart"/>
      <w:r>
        <w:rPr>
          <w:i/>
          <w:iCs/>
          <w:sz w:val="23"/>
          <w:szCs w:val="23"/>
        </w:rPr>
        <w:t>Maluleke</w:t>
      </w:r>
      <w:proofErr w:type="spellEnd"/>
      <w:r>
        <w:rPr>
          <w:i/>
          <w:iCs/>
          <w:sz w:val="23"/>
          <w:szCs w:val="23"/>
        </w:rPr>
        <w:t xml:space="preserve"> v Minister of Home Affairs </w:t>
      </w:r>
      <w:r>
        <w:rPr>
          <w:sz w:val="23"/>
          <w:szCs w:val="23"/>
        </w:rPr>
        <w:t>Case no 02/24921 [2008] ZAGPHC 129 (9 April 2008) (unreported)</w:t>
      </w:r>
      <w:r>
        <w:rPr>
          <w:i/>
          <w:iCs/>
          <w:sz w:val="23"/>
          <w:szCs w:val="23"/>
        </w:rPr>
        <w:t xml:space="preserve">, </w:t>
      </w:r>
      <w:r>
        <w:rPr>
          <w:sz w:val="23"/>
          <w:szCs w:val="23"/>
        </w:rPr>
        <w:t xml:space="preserve">The court held: </w:t>
      </w:r>
    </w:p>
    <w:p w:rsidR="001B55CE" w:rsidRDefault="001B55CE" w:rsidP="001B55CE">
      <w:pPr>
        <w:pStyle w:val="Default"/>
        <w:ind w:left="1440"/>
        <w:rPr>
          <w:sz w:val="23"/>
          <w:szCs w:val="23"/>
        </w:rPr>
      </w:pPr>
      <w:r>
        <w:rPr>
          <w:sz w:val="23"/>
          <w:szCs w:val="23"/>
        </w:rPr>
        <w:t xml:space="preserve">Once it is clear that the negotiations have taken place, the next inquiry, applying the Act is whether there are any factors that show that the marriage was “entered into” or “celebrated”. </w:t>
      </w:r>
    </w:p>
    <w:p w:rsidR="001B55CE" w:rsidRDefault="001B55CE" w:rsidP="001B55CE">
      <w:pPr>
        <w:pStyle w:val="Default"/>
        <w:ind w:left="1440"/>
        <w:rPr>
          <w:sz w:val="23"/>
          <w:szCs w:val="23"/>
        </w:rPr>
      </w:pPr>
      <w:r>
        <w:rPr>
          <w:sz w:val="23"/>
          <w:szCs w:val="23"/>
        </w:rPr>
        <w:t xml:space="preserve">The validity of a customary marriage was </w:t>
      </w:r>
      <w:proofErr w:type="spellStart"/>
      <w:r>
        <w:rPr>
          <w:sz w:val="23"/>
          <w:szCs w:val="23"/>
        </w:rPr>
        <w:t>impuned</w:t>
      </w:r>
      <w:proofErr w:type="spellEnd"/>
      <w:r>
        <w:rPr>
          <w:sz w:val="23"/>
          <w:szCs w:val="23"/>
        </w:rPr>
        <w:t xml:space="preserve"> on the basis that the traditional </w:t>
      </w:r>
      <w:proofErr w:type="spellStart"/>
      <w:r>
        <w:rPr>
          <w:i/>
          <w:iCs/>
          <w:sz w:val="23"/>
          <w:szCs w:val="23"/>
        </w:rPr>
        <w:t>imvume</w:t>
      </w:r>
      <w:proofErr w:type="spellEnd"/>
      <w:r>
        <w:rPr>
          <w:i/>
          <w:iCs/>
          <w:sz w:val="23"/>
          <w:szCs w:val="23"/>
        </w:rPr>
        <w:t xml:space="preserve"> </w:t>
      </w:r>
      <w:r>
        <w:rPr>
          <w:sz w:val="23"/>
          <w:szCs w:val="23"/>
        </w:rPr>
        <w:t xml:space="preserve">ritual, the Zulu variation of </w:t>
      </w:r>
      <w:proofErr w:type="spellStart"/>
      <w:r>
        <w:rPr>
          <w:i/>
          <w:iCs/>
          <w:sz w:val="23"/>
          <w:szCs w:val="23"/>
        </w:rPr>
        <w:t>ukumekeza</w:t>
      </w:r>
      <w:proofErr w:type="spellEnd"/>
      <w:r>
        <w:rPr>
          <w:i/>
          <w:iCs/>
          <w:sz w:val="23"/>
          <w:szCs w:val="23"/>
        </w:rPr>
        <w:t xml:space="preserve"> </w:t>
      </w:r>
      <w:r>
        <w:rPr>
          <w:sz w:val="23"/>
          <w:szCs w:val="23"/>
        </w:rPr>
        <w:t xml:space="preserve">(Swazi), for integrating the bride into the groom’s family, had not been observed before the death of the husband. </w:t>
      </w:r>
      <w:proofErr w:type="spellStart"/>
      <w:r>
        <w:rPr>
          <w:sz w:val="23"/>
          <w:szCs w:val="23"/>
        </w:rPr>
        <w:t>Tshiqi</w:t>
      </w:r>
      <w:proofErr w:type="spellEnd"/>
      <w:r>
        <w:rPr>
          <w:sz w:val="23"/>
          <w:szCs w:val="23"/>
        </w:rPr>
        <w:t xml:space="preserve"> J examined the requirements for be a valid customary marriage as laid down in section 3 of the Recognition of Customary Marriages Act. </w:t>
      </w:r>
    </w:p>
    <w:p w:rsidR="001B55CE" w:rsidRDefault="001B55CE" w:rsidP="001B55CE">
      <w:pPr>
        <w:pStyle w:val="Default"/>
        <w:ind w:left="1440"/>
        <w:rPr>
          <w:sz w:val="23"/>
          <w:szCs w:val="23"/>
        </w:rPr>
      </w:pPr>
      <w:r>
        <w:rPr>
          <w:sz w:val="23"/>
          <w:szCs w:val="23"/>
        </w:rPr>
        <w:t xml:space="preserve">On the basis of these requirements the judge concluded that customary marriage has evolved over the years, and that this evolution has been accepted by the South African courts. The judge then rejected the pre-transformation “official” version of customary law which held that the </w:t>
      </w:r>
      <w:proofErr w:type="spellStart"/>
      <w:r>
        <w:rPr>
          <w:sz w:val="23"/>
          <w:szCs w:val="23"/>
        </w:rPr>
        <w:t>nonobservance</w:t>
      </w:r>
      <w:proofErr w:type="spellEnd"/>
      <w:r>
        <w:rPr>
          <w:sz w:val="23"/>
          <w:szCs w:val="23"/>
        </w:rPr>
        <w:t xml:space="preserve"> of the </w:t>
      </w:r>
      <w:proofErr w:type="spellStart"/>
      <w:r>
        <w:rPr>
          <w:i/>
          <w:iCs/>
          <w:sz w:val="23"/>
          <w:szCs w:val="23"/>
        </w:rPr>
        <w:t>imvume</w:t>
      </w:r>
      <w:proofErr w:type="spellEnd"/>
      <w:r>
        <w:rPr>
          <w:i/>
          <w:iCs/>
          <w:sz w:val="23"/>
          <w:szCs w:val="23"/>
        </w:rPr>
        <w:t xml:space="preserve"> </w:t>
      </w:r>
      <w:r>
        <w:rPr>
          <w:sz w:val="23"/>
          <w:szCs w:val="23"/>
        </w:rPr>
        <w:t xml:space="preserve">ritual was fatal to the validity of a customary marriage. The judge accordingly approved the validity of the customary </w:t>
      </w:r>
    </w:p>
    <w:p w:rsidR="001B55CE" w:rsidRDefault="001B55CE" w:rsidP="001B55CE">
      <w:pPr>
        <w:pStyle w:val="Default"/>
        <w:ind w:left="1440"/>
        <w:rPr>
          <w:sz w:val="23"/>
          <w:szCs w:val="23"/>
        </w:rPr>
      </w:pPr>
      <w:proofErr w:type="gramStart"/>
      <w:r>
        <w:rPr>
          <w:sz w:val="23"/>
          <w:szCs w:val="23"/>
        </w:rPr>
        <w:t>marriage</w:t>
      </w:r>
      <w:proofErr w:type="gramEnd"/>
      <w:r>
        <w:rPr>
          <w:sz w:val="23"/>
          <w:szCs w:val="23"/>
        </w:rPr>
        <w:t xml:space="preserve">, confirming the bride’s averment that the </w:t>
      </w:r>
      <w:proofErr w:type="spellStart"/>
      <w:r>
        <w:rPr>
          <w:i/>
          <w:iCs/>
          <w:sz w:val="23"/>
          <w:szCs w:val="23"/>
        </w:rPr>
        <w:t>imvume</w:t>
      </w:r>
      <w:proofErr w:type="spellEnd"/>
      <w:r>
        <w:rPr>
          <w:i/>
          <w:iCs/>
          <w:sz w:val="23"/>
          <w:szCs w:val="23"/>
        </w:rPr>
        <w:t xml:space="preserve"> </w:t>
      </w:r>
      <w:r>
        <w:rPr>
          <w:sz w:val="23"/>
          <w:szCs w:val="23"/>
        </w:rPr>
        <w:t xml:space="preserve">practice was not an essential requirement for the validity of her customary marriage. </w:t>
      </w:r>
    </w:p>
    <w:p w:rsidR="001B55CE" w:rsidRDefault="001B55CE" w:rsidP="001B55CE">
      <w:pPr>
        <w:pStyle w:val="Default"/>
        <w:ind w:left="1440"/>
        <w:rPr>
          <w:sz w:val="23"/>
          <w:szCs w:val="23"/>
        </w:rPr>
      </w:pPr>
      <w:r>
        <w:rPr>
          <w:sz w:val="23"/>
          <w:szCs w:val="23"/>
        </w:rPr>
        <w:t xml:space="preserve">The case of </w:t>
      </w:r>
      <w:proofErr w:type="spellStart"/>
      <w:r>
        <w:rPr>
          <w:i/>
          <w:iCs/>
          <w:sz w:val="23"/>
          <w:szCs w:val="23"/>
        </w:rPr>
        <w:t>Motsoatsoa</w:t>
      </w:r>
      <w:proofErr w:type="spellEnd"/>
      <w:r>
        <w:rPr>
          <w:i/>
          <w:iCs/>
          <w:sz w:val="23"/>
          <w:szCs w:val="23"/>
        </w:rPr>
        <w:t xml:space="preserve"> v Roro </w:t>
      </w:r>
      <w:r>
        <w:rPr>
          <w:sz w:val="23"/>
          <w:szCs w:val="23"/>
        </w:rPr>
        <w:t>All SA 324 (GSJ) is important for emphasising the value of integration of the bride to mark the transfer from one family to another. The case is important for understanding the meaning of 'entered into' or celebrated in section 3(1</w:t>
      </w:r>
      <w:proofErr w:type="gramStart"/>
      <w:r>
        <w:rPr>
          <w:sz w:val="23"/>
          <w:szCs w:val="23"/>
        </w:rPr>
        <w:t>)(</w:t>
      </w:r>
      <w:proofErr w:type="gramEnd"/>
      <w:r>
        <w:rPr>
          <w:sz w:val="23"/>
          <w:szCs w:val="23"/>
        </w:rPr>
        <w:t xml:space="preserve">b) of the Act. What was in issue here was lack of handing over of the bride. The question was: </w:t>
      </w:r>
    </w:p>
    <w:p w:rsidR="001B55CE" w:rsidRDefault="001B55CE" w:rsidP="001B55CE">
      <w:pPr>
        <w:pStyle w:val="Default"/>
        <w:ind w:left="1440"/>
        <w:rPr>
          <w:sz w:val="23"/>
          <w:szCs w:val="23"/>
        </w:rPr>
      </w:pPr>
      <w:proofErr w:type="gramStart"/>
      <w:r>
        <w:rPr>
          <w:sz w:val="23"/>
          <w:szCs w:val="23"/>
        </w:rPr>
        <w:t>can</w:t>
      </w:r>
      <w:proofErr w:type="gramEnd"/>
      <w:r>
        <w:rPr>
          <w:sz w:val="23"/>
          <w:szCs w:val="23"/>
        </w:rPr>
        <w:t xml:space="preserve"> the woman hand herself over? </w:t>
      </w:r>
      <w:r>
        <w:rPr>
          <w:i/>
          <w:iCs/>
          <w:sz w:val="23"/>
          <w:szCs w:val="23"/>
        </w:rPr>
        <w:t xml:space="preserve">Fanti v </w:t>
      </w:r>
      <w:proofErr w:type="spellStart"/>
      <w:r>
        <w:rPr>
          <w:i/>
          <w:iCs/>
          <w:sz w:val="23"/>
          <w:szCs w:val="23"/>
        </w:rPr>
        <w:t>Boto</w:t>
      </w:r>
      <w:proofErr w:type="spellEnd"/>
      <w:r>
        <w:rPr>
          <w:i/>
          <w:iCs/>
          <w:sz w:val="23"/>
          <w:szCs w:val="23"/>
        </w:rPr>
        <w:t xml:space="preserve"> and Others </w:t>
      </w:r>
      <w:r>
        <w:rPr>
          <w:sz w:val="23"/>
          <w:szCs w:val="23"/>
        </w:rPr>
        <w:t xml:space="preserve">2008 (5) SA 405 (C) also does the same thing but focuses on the importance of involvement of the two families in the formation of the customary marriage. P a g e 18 | 39 </w:t>
      </w:r>
    </w:p>
    <w:p w:rsidR="001B55CE" w:rsidRDefault="001B55CE" w:rsidP="001B55CE">
      <w:pPr>
        <w:pStyle w:val="Default"/>
        <w:ind w:left="1440"/>
        <w:rPr>
          <w:color w:val="auto"/>
        </w:rPr>
      </w:pPr>
    </w:p>
    <w:p w:rsidR="00A31355" w:rsidRDefault="001B55CE" w:rsidP="00A31355">
      <w:pPr>
        <w:pStyle w:val="Default"/>
        <w:rPr>
          <w:sz w:val="28"/>
          <w:szCs w:val="28"/>
        </w:rPr>
      </w:pPr>
      <w:r>
        <w:rPr>
          <w:color w:val="auto"/>
          <w:sz w:val="23"/>
          <w:szCs w:val="23"/>
        </w:rPr>
        <w:t xml:space="preserve">The question was: can the husband decide, without the involvement of his </w:t>
      </w:r>
      <w:r w:rsidRPr="004A5398">
        <w:rPr>
          <w:sz w:val="23"/>
          <w:szCs w:val="23"/>
        </w:rPr>
        <w:t>in-laws, that their daughter is now his wife?</w:t>
      </w:r>
      <w:r w:rsidR="00FF15E8">
        <w:rPr>
          <w:sz w:val="23"/>
          <w:szCs w:val="23"/>
        </w:rPr>
        <w:t xml:space="preserve"> </w:t>
      </w:r>
      <w:r w:rsidR="00FF15E8" w:rsidRPr="002F219E">
        <w:rPr>
          <w:color w:val="FF0000"/>
          <w:sz w:val="23"/>
          <w:szCs w:val="23"/>
        </w:rPr>
        <w:t>££££££££££££££££££££££££££</w:t>
      </w:r>
      <w:proofErr w:type="spellStart"/>
      <w:r w:rsidR="00FF15E8">
        <w:rPr>
          <w:i/>
          <w:iCs/>
          <w:sz w:val="28"/>
          <w:szCs w:val="28"/>
        </w:rPr>
        <w:t>Maluleke</w:t>
      </w:r>
      <w:proofErr w:type="spellEnd"/>
      <w:r w:rsidR="00FF15E8">
        <w:rPr>
          <w:i/>
          <w:iCs/>
          <w:sz w:val="28"/>
          <w:szCs w:val="28"/>
        </w:rPr>
        <w:t xml:space="preserve"> v Minister of Home Affairs </w:t>
      </w:r>
      <w:r w:rsidR="00FF15E8">
        <w:rPr>
          <w:sz w:val="28"/>
          <w:szCs w:val="28"/>
        </w:rPr>
        <w:t xml:space="preserve">Case no 02/24921 [2008] ZAGPHC 129 (9 April 2008) (unreported) </w:t>
      </w:r>
      <w:r w:rsidR="00FF15E8">
        <w:rPr>
          <w:sz w:val="28"/>
          <w:szCs w:val="28"/>
        </w:rPr>
        <w:lastRenderedPageBreak/>
        <w:t xml:space="preserve">where it was similarly held that no-observance of the </w:t>
      </w:r>
      <w:proofErr w:type="spellStart"/>
      <w:r w:rsidR="00FF15E8">
        <w:rPr>
          <w:i/>
          <w:iCs/>
          <w:sz w:val="28"/>
          <w:szCs w:val="28"/>
        </w:rPr>
        <w:t>imvume</w:t>
      </w:r>
      <w:proofErr w:type="spellEnd"/>
      <w:r w:rsidR="00FF15E8">
        <w:rPr>
          <w:i/>
          <w:iCs/>
          <w:sz w:val="28"/>
          <w:szCs w:val="28"/>
        </w:rPr>
        <w:t xml:space="preserve"> </w:t>
      </w:r>
      <w:r w:rsidR="00FF15E8">
        <w:rPr>
          <w:sz w:val="28"/>
          <w:szCs w:val="28"/>
        </w:rPr>
        <w:t xml:space="preserve">tradition is no longer essential. Transformation means that once the requirements of section 3(1) of the Act are observed the customary marriage will be valid. Thus the enjoyment of the relevant traditions has been reduced to the level of nice festivities to grace the wedding, but no longer essential requirements for a valid customary marriage. Yet proof of these festivities may still help the court in a difficult case where evidence is needed to define the occasion as a customary marriage. In such a case it would be difficult for a party who admits that </w:t>
      </w:r>
      <w:proofErr w:type="spellStart"/>
      <w:r w:rsidR="00FF15E8">
        <w:rPr>
          <w:i/>
          <w:iCs/>
          <w:sz w:val="28"/>
          <w:szCs w:val="28"/>
        </w:rPr>
        <w:t>imvume</w:t>
      </w:r>
      <w:proofErr w:type="spellEnd"/>
      <w:r w:rsidR="00FF15E8">
        <w:rPr>
          <w:i/>
          <w:iCs/>
          <w:sz w:val="28"/>
          <w:szCs w:val="28"/>
        </w:rPr>
        <w:t xml:space="preserve"> </w:t>
      </w:r>
      <w:r w:rsidR="00FF15E8">
        <w:rPr>
          <w:sz w:val="28"/>
          <w:szCs w:val="28"/>
        </w:rPr>
        <w:t xml:space="preserve">or </w:t>
      </w:r>
      <w:proofErr w:type="spellStart"/>
      <w:r w:rsidR="00FF15E8">
        <w:rPr>
          <w:i/>
          <w:iCs/>
          <w:sz w:val="28"/>
          <w:szCs w:val="28"/>
        </w:rPr>
        <w:t>ukumekeza</w:t>
      </w:r>
      <w:proofErr w:type="spellEnd"/>
      <w:r w:rsidR="00FF15E8">
        <w:rPr>
          <w:i/>
          <w:iCs/>
          <w:sz w:val="28"/>
          <w:szCs w:val="28"/>
        </w:rPr>
        <w:t xml:space="preserve"> </w:t>
      </w:r>
      <w:r w:rsidR="00FF15E8">
        <w:rPr>
          <w:sz w:val="28"/>
          <w:szCs w:val="28"/>
        </w:rPr>
        <w:t xml:space="preserve">were held, to then dispute that the occasion was a customary marriage wedding. This means that, whilst </w:t>
      </w:r>
      <w:proofErr w:type="spellStart"/>
      <w:r w:rsidR="00FF15E8">
        <w:rPr>
          <w:i/>
          <w:iCs/>
          <w:sz w:val="28"/>
          <w:szCs w:val="28"/>
        </w:rPr>
        <w:t>ukumekeza</w:t>
      </w:r>
      <w:proofErr w:type="spellEnd"/>
      <w:r w:rsidR="00FF15E8">
        <w:rPr>
          <w:i/>
          <w:iCs/>
          <w:sz w:val="28"/>
          <w:szCs w:val="28"/>
        </w:rPr>
        <w:t xml:space="preserve"> </w:t>
      </w:r>
      <w:r w:rsidR="00FF15E8">
        <w:rPr>
          <w:sz w:val="28"/>
          <w:szCs w:val="28"/>
        </w:rPr>
        <w:t xml:space="preserve">or </w:t>
      </w:r>
      <w:proofErr w:type="spellStart"/>
      <w:r w:rsidR="00FF15E8">
        <w:rPr>
          <w:i/>
          <w:iCs/>
          <w:sz w:val="28"/>
          <w:szCs w:val="28"/>
        </w:rPr>
        <w:t>imvume</w:t>
      </w:r>
      <w:proofErr w:type="spellEnd"/>
      <w:r w:rsidR="00FF15E8">
        <w:rPr>
          <w:i/>
          <w:iCs/>
          <w:sz w:val="28"/>
          <w:szCs w:val="28"/>
        </w:rPr>
        <w:t xml:space="preserve"> </w:t>
      </w:r>
      <w:r w:rsidR="00FF15E8">
        <w:rPr>
          <w:sz w:val="28"/>
          <w:szCs w:val="28"/>
        </w:rPr>
        <w:t>are not essential requirements for customary marriages, their performance is uniquely observed in those marriages.</w:t>
      </w:r>
      <w:r w:rsidR="005061FF">
        <w:rPr>
          <w:sz w:val="28"/>
          <w:szCs w:val="28"/>
        </w:rPr>
        <w:t xml:space="preserve"> </w:t>
      </w:r>
      <w:r w:rsidR="005061FF" w:rsidRPr="002F219E">
        <w:rPr>
          <w:color w:val="FF0000"/>
          <w:sz w:val="28"/>
          <w:szCs w:val="28"/>
        </w:rPr>
        <w:t xml:space="preserve">£££££££££££££££££ </w:t>
      </w:r>
      <w:proofErr w:type="spellStart"/>
      <w:r w:rsidR="005061FF">
        <w:rPr>
          <w:b/>
          <w:bCs/>
          <w:i/>
          <w:iCs/>
          <w:sz w:val="23"/>
          <w:szCs w:val="23"/>
        </w:rPr>
        <w:t>Maluleke</w:t>
      </w:r>
      <w:proofErr w:type="spellEnd"/>
      <w:r w:rsidR="005061FF">
        <w:rPr>
          <w:b/>
          <w:bCs/>
          <w:i/>
          <w:iCs/>
          <w:sz w:val="23"/>
          <w:szCs w:val="23"/>
        </w:rPr>
        <w:t xml:space="preserve"> v Minister of Home Affairs </w:t>
      </w:r>
      <w:r w:rsidR="005061FF">
        <w:rPr>
          <w:b/>
          <w:bCs/>
          <w:sz w:val="23"/>
          <w:szCs w:val="23"/>
        </w:rPr>
        <w:t xml:space="preserve">Case no 02/24921 [2008] ZAGPHC 129 (9 April 2008) (unreported) </w:t>
      </w:r>
      <w:r w:rsidR="005061FF">
        <w:rPr>
          <w:sz w:val="23"/>
          <w:szCs w:val="23"/>
        </w:rPr>
        <w:t>The court held that even though the integration of the bride might not have been observed, but the spouses themselves showed by the way they related to each other that they accepted that they were husband and wife. Therefore, in a difficult case, where, after the negotiations have been completed, the requirements of "entered into or celebrated" cannot be proved, the behaviour of the spouses towards each other becomes important.</w:t>
      </w:r>
      <w:r w:rsidR="00A31355" w:rsidRPr="002F219E">
        <w:rPr>
          <w:color w:val="FF0000"/>
          <w:sz w:val="23"/>
          <w:szCs w:val="23"/>
        </w:rPr>
        <w:t>$$$$$$$$$$$$$$$$$$$$$$$$$$$$$$$$$$$$$$$$$$$$$$$$$$$$</w:t>
      </w:r>
      <w:r w:rsidR="00A31355" w:rsidRPr="002F219E">
        <w:rPr>
          <w:color w:val="FF0000"/>
          <w:sz w:val="28"/>
          <w:szCs w:val="28"/>
        </w:rPr>
        <w:t xml:space="preserve"> </w:t>
      </w:r>
      <w:r w:rsidR="00A31355">
        <w:rPr>
          <w:sz w:val="28"/>
          <w:szCs w:val="28"/>
        </w:rPr>
        <w:t xml:space="preserve">See also </w:t>
      </w:r>
      <w:proofErr w:type="spellStart"/>
      <w:r w:rsidR="00A31355">
        <w:rPr>
          <w:i/>
          <w:iCs/>
          <w:sz w:val="28"/>
          <w:szCs w:val="28"/>
        </w:rPr>
        <w:t>Maluleke</w:t>
      </w:r>
      <w:proofErr w:type="spellEnd"/>
      <w:r w:rsidR="00A31355">
        <w:rPr>
          <w:i/>
          <w:iCs/>
          <w:sz w:val="28"/>
          <w:szCs w:val="28"/>
        </w:rPr>
        <w:t xml:space="preserve"> v Minister of Home Affairs </w:t>
      </w:r>
      <w:r w:rsidR="00A31355">
        <w:rPr>
          <w:sz w:val="28"/>
          <w:szCs w:val="28"/>
        </w:rPr>
        <w:t xml:space="preserve">Case no 02/24921 [2008] ZAGPHC 129 (9 April 2008) (unreported) where the court held that even though the integration </w:t>
      </w:r>
    </w:p>
    <w:p w:rsidR="003D74B7" w:rsidRDefault="00A31355" w:rsidP="00A31355">
      <w:pPr>
        <w:pStyle w:val="Default"/>
        <w:rPr>
          <w:sz w:val="28"/>
          <w:szCs w:val="28"/>
        </w:rPr>
      </w:pPr>
      <w:proofErr w:type="gramStart"/>
      <w:r>
        <w:rPr>
          <w:sz w:val="28"/>
          <w:szCs w:val="28"/>
        </w:rPr>
        <w:t>of</w:t>
      </w:r>
      <w:proofErr w:type="gramEnd"/>
      <w:r>
        <w:rPr>
          <w:sz w:val="28"/>
          <w:szCs w:val="28"/>
        </w:rPr>
        <w:t xml:space="preserve"> the bride might not have been observed, but the spouses themselves showed by the way they related to each other that they accepted that they were husband and wife. Therefore, in a difficult case, where, after the negotiations have been completed, the requirements of "entered into or celebrated" cannot be proved, the behaviour of the spouses towards each other becomes important.</w:t>
      </w:r>
    </w:p>
    <w:p w:rsidR="00455A20" w:rsidRPr="004A5398" w:rsidRDefault="00455A20" w:rsidP="00A31355">
      <w:pPr>
        <w:pStyle w:val="Default"/>
        <w:rPr>
          <w:color w:val="auto"/>
          <w:sz w:val="23"/>
          <w:szCs w:val="23"/>
        </w:rPr>
      </w:pPr>
    </w:p>
    <w:p w:rsidR="006B5491" w:rsidRDefault="006B5491" w:rsidP="004A5398">
      <w:pPr>
        <w:pStyle w:val="ListParagraph"/>
        <w:numPr>
          <w:ilvl w:val="0"/>
          <w:numId w:val="1"/>
        </w:numPr>
        <w:jc w:val="both"/>
        <w:outlineLvl w:val="1"/>
        <w:rPr>
          <w:rFonts w:ascii="Arial" w:hAnsi="Arial" w:cs="Arial"/>
          <w:sz w:val="24"/>
          <w:szCs w:val="24"/>
          <w:lang w:val="en-US"/>
        </w:rPr>
      </w:pPr>
    </w:p>
    <w:p w:rsidR="004A5398" w:rsidRDefault="00455A20" w:rsidP="00455A20">
      <w:pPr>
        <w:jc w:val="both"/>
        <w:rPr>
          <w:b/>
          <w:bCs/>
          <w:sz w:val="23"/>
          <w:szCs w:val="23"/>
        </w:rPr>
      </w:pPr>
      <w:proofErr w:type="spellStart"/>
      <w:r w:rsidRPr="00455A20">
        <w:rPr>
          <w:i/>
          <w:iCs/>
          <w:sz w:val="23"/>
          <w:szCs w:val="23"/>
        </w:rPr>
        <w:t>Bhe</w:t>
      </w:r>
      <w:proofErr w:type="spellEnd"/>
      <w:r w:rsidRPr="00455A20">
        <w:rPr>
          <w:i/>
          <w:iCs/>
          <w:sz w:val="23"/>
          <w:szCs w:val="23"/>
        </w:rPr>
        <w:t xml:space="preserve"> v The Magistrate </w:t>
      </w:r>
      <w:proofErr w:type="spellStart"/>
      <w:r w:rsidRPr="00455A20">
        <w:rPr>
          <w:i/>
          <w:iCs/>
          <w:sz w:val="23"/>
          <w:szCs w:val="23"/>
        </w:rPr>
        <w:t>Khayelitsha</w:t>
      </w:r>
      <w:proofErr w:type="spellEnd"/>
      <w:r w:rsidRPr="00455A20">
        <w:rPr>
          <w:sz w:val="23"/>
          <w:szCs w:val="23"/>
        </w:rPr>
        <w:t xml:space="preserve">; </w:t>
      </w:r>
      <w:proofErr w:type="spellStart"/>
      <w:r w:rsidRPr="00455A20">
        <w:rPr>
          <w:i/>
          <w:iCs/>
          <w:sz w:val="23"/>
          <w:szCs w:val="23"/>
        </w:rPr>
        <w:t>Shibi</w:t>
      </w:r>
      <w:proofErr w:type="spellEnd"/>
      <w:r w:rsidRPr="00455A20">
        <w:rPr>
          <w:i/>
          <w:iCs/>
          <w:sz w:val="23"/>
          <w:szCs w:val="23"/>
        </w:rPr>
        <w:t xml:space="preserve"> v </w:t>
      </w:r>
      <w:proofErr w:type="spellStart"/>
      <w:r w:rsidRPr="00455A20">
        <w:rPr>
          <w:i/>
          <w:iCs/>
          <w:sz w:val="23"/>
          <w:szCs w:val="23"/>
        </w:rPr>
        <w:t>Sithole</w:t>
      </w:r>
      <w:proofErr w:type="spellEnd"/>
      <w:r w:rsidRPr="00455A20">
        <w:rPr>
          <w:sz w:val="23"/>
          <w:szCs w:val="23"/>
        </w:rPr>
        <w:t xml:space="preserve">; </w:t>
      </w:r>
      <w:r w:rsidRPr="00455A20">
        <w:rPr>
          <w:i/>
          <w:iCs/>
          <w:sz w:val="23"/>
          <w:szCs w:val="23"/>
        </w:rPr>
        <w:t xml:space="preserve">Human Rights Commission v President of Republic of South Africa </w:t>
      </w:r>
      <w:r w:rsidRPr="00455A20">
        <w:rPr>
          <w:sz w:val="23"/>
          <w:szCs w:val="23"/>
        </w:rPr>
        <w:t xml:space="preserve">2005 (1) BCLR 580 (CC)) is authority for jettisoning the discredited apartheid rule entrenched in section 23 of the Black Administration Act (BAA), which preferred males to females in matters of succession. As a result, section 23 of the BAA, the principle of male primogeniture; the distinction between legitimate and illegitimate children were all declared unconstitutional and removed from customary law. The court went on to incorporate the provisions of the Intestate Succession Act, 81 of 1987, dealing with child portions. After making the necessary adjustments, all the children of the deceased, legitimate and illegitimate, together with all his widows/widowers must get child portions. </w:t>
      </w:r>
      <w:r w:rsidRPr="00455A20">
        <w:rPr>
          <w:b/>
          <w:bCs/>
          <w:sz w:val="23"/>
          <w:szCs w:val="23"/>
        </w:rPr>
        <w:t>Textbook pages 173-182</w:t>
      </w:r>
    </w:p>
    <w:p w:rsidR="00455A20" w:rsidRDefault="00455A20" w:rsidP="00455A20">
      <w:pPr>
        <w:jc w:val="both"/>
        <w:rPr>
          <w:b/>
          <w:bCs/>
          <w:sz w:val="23"/>
          <w:szCs w:val="23"/>
        </w:rPr>
      </w:pPr>
      <w:r>
        <w:rPr>
          <w:sz w:val="28"/>
          <w:szCs w:val="28"/>
        </w:rPr>
        <w:t xml:space="preserve">This is an extract from </w:t>
      </w:r>
      <w:proofErr w:type="spellStart"/>
      <w:r>
        <w:rPr>
          <w:i/>
          <w:iCs/>
          <w:sz w:val="28"/>
          <w:szCs w:val="28"/>
        </w:rPr>
        <w:t>Bhe</w:t>
      </w:r>
      <w:proofErr w:type="spellEnd"/>
      <w:r>
        <w:rPr>
          <w:i/>
          <w:iCs/>
          <w:sz w:val="28"/>
          <w:szCs w:val="28"/>
        </w:rPr>
        <w:t xml:space="preserve"> v The Magistrate </w:t>
      </w:r>
      <w:proofErr w:type="spellStart"/>
      <w:r>
        <w:rPr>
          <w:i/>
          <w:iCs/>
          <w:sz w:val="28"/>
          <w:szCs w:val="28"/>
        </w:rPr>
        <w:t>Khayelitsha</w:t>
      </w:r>
      <w:proofErr w:type="spellEnd"/>
      <w:r>
        <w:rPr>
          <w:sz w:val="28"/>
          <w:szCs w:val="28"/>
        </w:rPr>
        <w:t xml:space="preserve">; </w:t>
      </w:r>
      <w:proofErr w:type="spellStart"/>
      <w:r>
        <w:rPr>
          <w:i/>
          <w:iCs/>
          <w:sz w:val="28"/>
          <w:szCs w:val="28"/>
        </w:rPr>
        <w:t>Shibi</w:t>
      </w:r>
      <w:proofErr w:type="spellEnd"/>
      <w:r>
        <w:rPr>
          <w:i/>
          <w:iCs/>
          <w:sz w:val="28"/>
          <w:szCs w:val="28"/>
        </w:rPr>
        <w:t xml:space="preserve"> v </w:t>
      </w:r>
      <w:proofErr w:type="spellStart"/>
      <w:r>
        <w:rPr>
          <w:i/>
          <w:iCs/>
          <w:sz w:val="28"/>
          <w:szCs w:val="28"/>
        </w:rPr>
        <w:t>Sithole</w:t>
      </w:r>
      <w:proofErr w:type="spellEnd"/>
      <w:r>
        <w:rPr>
          <w:sz w:val="28"/>
          <w:szCs w:val="28"/>
        </w:rPr>
        <w:t xml:space="preserve">; </w:t>
      </w:r>
      <w:r>
        <w:rPr>
          <w:i/>
          <w:iCs/>
          <w:sz w:val="28"/>
          <w:szCs w:val="28"/>
        </w:rPr>
        <w:t xml:space="preserve">Human Rights Commission v President of Republic of South Africa </w:t>
      </w:r>
      <w:r>
        <w:rPr>
          <w:sz w:val="28"/>
          <w:szCs w:val="28"/>
        </w:rPr>
        <w:t xml:space="preserve">2005 (1) BCLR 580 (CC)….(10). Students must explain the purpose of indigenous </w:t>
      </w:r>
      <w:r>
        <w:rPr>
          <w:sz w:val="28"/>
          <w:szCs w:val="28"/>
        </w:rPr>
        <w:lastRenderedPageBreak/>
        <w:t>traditions of succession, taking into accounts the successor’s rights and responsibilities.</w:t>
      </w:r>
    </w:p>
    <w:p w:rsidR="009D6FE0" w:rsidRDefault="009D6FE0" w:rsidP="009D6FE0">
      <w:pPr>
        <w:pStyle w:val="Default"/>
        <w:rPr>
          <w:sz w:val="23"/>
          <w:szCs w:val="23"/>
        </w:rPr>
      </w:pPr>
      <w:r>
        <w:rPr>
          <w:sz w:val="23"/>
          <w:szCs w:val="23"/>
        </w:rPr>
        <w:t xml:space="preserve">The most important case in respect of the challenge to the principle of male primogeniture was </w:t>
      </w:r>
      <w:proofErr w:type="spellStart"/>
      <w:r>
        <w:rPr>
          <w:i/>
          <w:iCs/>
          <w:sz w:val="23"/>
          <w:szCs w:val="23"/>
        </w:rPr>
        <w:t>Bhe</w:t>
      </w:r>
      <w:proofErr w:type="spellEnd"/>
      <w:r>
        <w:rPr>
          <w:sz w:val="23"/>
          <w:szCs w:val="23"/>
        </w:rPr>
        <w:t xml:space="preserve">. At the time when the case was heard, the SALRC had already made certain proposals relating to the customary law of succession. A customary marriage at that time was recognised for all legal purposes as a valid marriage and the Commission had proposed that wives of these marriages be regarded as intestate heirs on the same basis as wives of civil marriages. The children of such marriages, irrespective of sex and age, also had to be recognized on the same footing as children of civil marriages for purposes of intestate succession. According to these proposals, the Intestate Succession Act had to be amended to include a spouse or spouses of a customary marriage and all children as intestate heirs. The Maintenance of Surviving Spouses Act also had to be amended to extend the meaning of the term ‘spouse’ to include a spouse or spouses of a customary marriage. </w:t>
      </w:r>
    </w:p>
    <w:p w:rsidR="009D6FE0" w:rsidRDefault="009D6FE0" w:rsidP="009D6FE0">
      <w:pPr>
        <w:pStyle w:val="Default"/>
        <w:rPr>
          <w:sz w:val="23"/>
          <w:szCs w:val="23"/>
        </w:rPr>
      </w:pPr>
      <w:proofErr w:type="spellStart"/>
      <w:r>
        <w:rPr>
          <w:i/>
          <w:iCs/>
          <w:sz w:val="23"/>
          <w:szCs w:val="23"/>
        </w:rPr>
        <w:t>Bhe</w:t>
      </w:r>
      <w:proofErr w:type="spellEnd"/>
      <w:r>
        <w:rPr>
          <w:i/>
          <w:iCs/>
          <w:sz w:val="23"/>
          <w:szCs w:val="23"/>
        </w:rPr>
        <w:t xml:space="preserve"> </w:t>
      </w:r>
      <w:r>
        <w:rPr>
          <w:sz w:val="23"/>
          <w:szCs w:val="23"/>
        </w:rPr>
        <w:t xml:space="preserve">followed a decision by the Magistrate of </w:t>
      </w:r>
      <w:proofErr w:type="spellStart"/>
      <w:r>
        <w:rPr>
          <w:sz w:val="23"/>
          <w:szCs w:val="23"/>
        </w:rPr>
        <w:t>Khayelitsha</w:t>
      </w:r>
      <w:proofErr w:type="spellEnd"/>
      <w:r>
        <w:rPr>
          <w:sz w:val="23"/>
          <w:szCs w:val="23"/>
        </w:rPr>
        <w:t xml:space="preserve"> and, on appeal, that of </w:t>
      </w:r>
    </w:p>
    <w:p w:rsidR="009D6FE0" w:rsidRDefault="009D6FE0" w:rsidP="009D6FE0">
      <w:pPr>
        <w:pStyle w:val="Default"/>
        <w:rPr>
          <w:sz w:val="23"/>
          <w:szCs w:val="23"/>
        </w:rPr>
      </w:pPr>
      <w:proofErr w:type="gramStart"/>
      <w:r>
        <w:rPr>
          <w:sz w:val="23"/>
          <w:szCs w:val="23"/>
        </w:rPr>
        <w:t>the</w:t>
      </w:r>
      <w:proofErr w:type="gramEnd"/>
      <w:r>
        <w:rPr>
          <w:sz w:val="23"/>
          <w:szCs w:val="23"/>
        </w:rPr>
        <w:t xml:space="preserve"> Cape High Court. The Cape High Court declared the provisions of the BAA which dealt with male primogeniture unconstitutional and invalid. The Court also declared P a g e 9 | 39 </w:t>
      </w:r>
    </w:p>
    <w:p w:rsidR="009D6FE0" w:rsidRDefault="009D6FE0" w:rsidP="009D6FE0">
      <w:pPr>
        <w:pStyle w:val="Default"/>
        <w:rPr>
          <w:color w:val="auto"/>
        </w:rPr>
      </w:pPr>
    </w:p>
    <w:p w:rsidR="009D6FE0" w:rsidRDefault="009D6FE0" w:rsidP="009D6FE0">
      <w:pPr>
        <w:pStyle w:val="Default"/>
        <w:pageBreakBefore/>
        <w:rPr>
          <w:color w:val="auto"/>
          <w:sz w:val="23"/>
          <w:szCs w:val="23"/>
        </w:rPr>
      </w:pPr>
      <w:proofErr w:type="gramStart"/>
      <w:r>
        <w:rPr>
          <w:color w:val="auto"/>
          <w:sz w:val="23"/>
          <w:szCs w:val="23"/>
        </w:rPr>
        <w:lastRenderedPageBreak/>
        <w:t>unconstitutional</w:t>
      </w:r>
      <w:proofErr w:type="gramEnd"/>
      <w:r>
        <w:rPr>
          <w:color w:val="auto"/>
          <w:sz w:val="23"/>
          <w:szCs w:val="23"/>
        </w:rPr>
        <w:t xml:space="preserve"> provisions of the Intestate Succession Act in so far as they excluded from their operation people whose estates devolved in terms of the BAA. </w:t>
      </w:r>
    </w:p>
    <w:p w:rsidR="009D6FE0" w:rsidRDefault="009D6FE0" w:rsidP="009D6FE0">
      <w:pPr>
        <w:pStyle w:val="Default"/>
        <w:rPr>
          <w:color w:val="auto"/>
          <w:sz w:val="23"/>
          <w:szCs w:val="23"/>
        </w:rPr>
      </w:pPr>
      <w:r>
        <w:rPr>
          <w:color w:val="auto"/>
          <w:sz w:val="23"/>
          <w:szCs w:val="23"/>
        </w:rPr>
        <w:t xml:space="preserve">Another case which declared male primogeniture unconstitutional was </w:t>
      </w:r>
      <w:proofErr w:type="spellStart"/>
      <w:r>
        <w:rPr>
          <w:i/>
          <w:iCs/>
          <w:color w:val="auto"/>
          <w:sz w:val="23"/>
          <w:szCs w:val="23"/>
        </w:rPr>
        <w:t>Shibi</w:t>
      </w:r>
      <w:proofErr w:type="spellEnd"/>
      <w:r>
        <w:rPr>
          <w:i/>
          <w:iCs/>
          <w:color w:val="auto"/>
          <w:sz w:val="23"/>
          <w:szCs w:val="23"/>
        </w:rPr>
        <w:t xml:space="preserve"> v </w:t>
      </w:r>
    </w:p>
    <w:p w:rsidR="009D6FE0" w:rsidRDefault="009D6FE0" w:rsidP="009D6FE0">
      <w:pPr>
        <w:pStyle w:val="Default"/>
        <w:rPr>
          <w:color w:val="auto"/>
          <w:sz w:val="23"/>
          <w:szCs w:val="23"/>
        </w:rPr>
      </w:pPr>
      <w:proofErr w:type="spellStart"/>
      <w:r>
        <w:rPr>
          <w:i/>
          <w:iCs/>
          <w:color w:val="auto"/>
          <w:sz w:val="23"/>
          <w:szCs w:val="23"/>
        </w:rPr>
        <w:t>Sithole</w:t>
      </w:r>
      <w:proofErr w:type="spellEnd"/>
      <w:r>
        <w:rPr>
          <w:color w:val="auto"/>
          <w:sz w:val="23"/>
          <w:szCs w:val="23"/>
        </w:rPr>
        <w:t>. Here also section 23 of the BAA and regulation 2(</w:t>
      </w:r>
      <w:r>
        <w:rPr>
          <w:i/>
          <w:iCs/>
          <w:color w:val="auto"/>
          <w:sz w:val="23"/>
          <w:szCs w:val="23"/>
        </w:rPr>
        <w:t>c</w:t>
      </w:r>
      <w:r>
        <w:rPr>
          <w:color w:val="auto"/>
          <w:sz w:val="23"/>
          <w:szCs w:val="23"/>
        </w:rPr>
        <w:t xml:space="preserve">) of the Regulations for </w:t>
      </w:r>
    </w:p>
    <w:p w:rsidR="009D6FE0" w:rsidRDefault="009D6FE0" w:rsidP="009D6FE0">
      <w:pPr>
        <w:pStyle w:val="Default"/>
        <w:rPr>
          <w:color w:val="auto"/>
          <w:sz w:val="23"/>
          <w:szCs w:val="23"/>
        </w:rPr>
      </w:pPr>
      <w:proofErr w:type="gramStart"/>
      <w:r>
        <w:rPr>
          <w:color w:val="auto"/>
          <w:sz w:val="23"/>
          <w:szCs w:val="23"/>
        </w:rPr>
        <w:t>the</w:t>
      </w:r>
      <w:proofErr w:type="gramEnd"/>
      <w:r>
        <w:rPr>
          <w:color w:val="auto"/>
          <w:sz w:val="23"/>
          <w:szCs w:val="23"/>
        </w:rPr>
        <w:t xml:space="preserve"> Administration and Distribution of Intestate Estates of Blacks were declared </w:t>
      </w:r>
    </w:p>
    <w:p w:rsidR="009D6FE0" w:rsidRDefault="009D6FE0" w:rsidP="009D6FE0">
      <w:pPr>
        <w:pStyle w:val="Default"/>
        <w:rPr>
          <w:color w:val="auto"/>
          <w:sz w:val="23"/>
          <w:szCs w:val="23"/>
        </w:rPr>
      </w:pPr>
      <w:proofErr w:type="gramStart"/>
      <w:r>
        <w:rPr>
          <w:color w:val="auto"/>
          <w:sz w:val="23"/>
          <w:szCs w:val="23"/>
        </w:rPr>
        <w:t>unconstitutional</w:t>
      </w:r>
      <w:proofErr w:type="gramEnd"/>
      <w:r>
        <w:rPr>
          <w:color w:val="auto"/>
          <w:sz w:val="23"/>
          <w:szCs w:val="23"/>
        </w:rPr>
        <w:t xml:space="preserve">. In both cases, the Courts ordered that the distribution of intestate </w:t>
      </w:r>
    </w:p>
    <w:p w:rsidR="009D6FE0" w:rsidRDefault="009D6FE0" w:rsidP="009D6FE0">
      <w:pPr>
        <w:pStyle w:val="Default"/>
        <w:rPr>
          <w:color w:val="auto"/>
          <w:sz w:val="23"/>
          <w:szCs w:val="23"/>
        </w:rPr>
      </w:pPr>
      <w:proofErr w:type="gramStart"/>
      <w:r>
        <w:rPr>
          <w:color w:val="auto"/>
          <w:sz w:val="23"/>
          <w:szCs w:val="23"/>
        </w:rPr>
        <w:t>estates</w:t>
      </w:r>
      <w:proofErr w:type="gramEnd"/>
      <w:r>
        <w:rPr>
          <w:color w:val="auto"/>
          <w:sz w:val="23"/>
          <w:szCs w:val="23"/>
        </w:rPr>
        <w:t xml:space="preserve"> of black people had to be governed by the Intestate Succession Act. </w:t>
      </w:r>
    </w:p>
    <w:p w:rsidR="009D6FE0" w:rsidRDefault="009D6FE0" w:rsidP="009D6FE0">
      <w:pPr>
        <w:pStyle w:val="Default"/>
        <w:rPr>
          <w:color w:val="auto"/>
          <w:sz w:val="23"/>
          <w:szCs w:val="23"/>
        </w:rPr>
      </w:pPr>
      <w:r>
        <w:rPr>
          <w:color w:val="auto"/>
          <w:sz w:val="23"/>
          <w:szCs w:val="23"/>
        </w:rPr>
        <w:t xml:space="preserve">The judgments in </w:t>
      </w:r>
      <w:proofErr w:type="spellStart"/>
      <w:r>
        <w:rPr>
          <w:i/>
          <w:iCs/>
          <w:color w:val="auto"/>
          <w:sz w:val="23"/>
          <w:szCs w:val="23"/>
        </w:rPr>
        <w:t>Bhe</w:t>
      </w:r>
      <w:proofErr w:type="spellEnd"/>
      <w:r>
        <w:rPr>
          <w:i/>
          <w:iCs/>
          <w:color w:val="auto"/>
          <w:sz w:val="23"/>
          <w:szCs w:val="23"/>
        </w:rPr>
        <w:t xml:space="preserve"> </w:t>
      </w:r>
      <w:r>
        <w:rPr>
          <w:color w:val="auto"/>
          <w:sz w:val="23"/>
          <w:szCs w:val="23"/>
        </w:rPr>
        <w:t xml:space="preserve">and </w:t>
      </w:r>
      <w:proofErr w:type="spellStart"/>
      <w:r>
        <w:rPr>
          <w:i/>
          <w:iCs/>
          <w:color w:val="auto"/>
          <w:sz w:val="23"/>
          <w:szCs w:val="23"/>
        </w:rPr>
        <w:t>Shibi</w:t>
      </w:r>
      <w:proofErr w:type="spellEnd"/>
      <w:r>
        <w:rPr>
          <w:i/>
          <w:iCs/>
          <w:color w:val="auto"/>
          <w:sz w:val="23"/>
          <w:szCs w:val="23"/>
        </w:rPr>
        <w:t xml:space="preserve"> </w:t>
      </w:r>
      <w:r>
        <w:rPr>
          <w:color w:val="auto"/>
          <w:sz w:val="23"/>
          <w:szCs w:val="23"/>
        </w:rPr>
        <w:t xml:space="preserve">were placed before the Constitutional Court for confirmation. The Constitutional Court heard these cases at the same time because they concerned the application of the rule of male primogeniture in the customary law of succession. The case of </w:t>
      </w:r>
      <w:proofErr w:type="spellStart"/>
      <w:r>
        <w:rPr>
          <w:i/>
          <w:iCs/>
          <w:color w:val="auto"/>
          <w:sz w:val="23"/>
          <w:szCs w:val="23"/>
        </w:rPr>
        <w:t>Bhe</w:t>
      </w:r>
      <w:proofErr w:type="spellEnd"/>
      <w:r>
        <w:rPr>
          <w:i/>
          <w:iCs/>
          <w:color w:val="auto"/>
          <w:sz w:val="23"/>
          <w:szCs w:val="23"/>
        </w:rPr>
        <w:t xml:space="preserve"> </w:t>
      </w:r>
      <w:r>
        <w:rPr>
          <w:color w:val="auto"/>
          <w:sz w:val="23"/>
          <w:szCs w:val="23"/>
        </w:rPr>
        <w:t xml:space="preserve">therefore concerned an application for the confirmation of an order of the constitutional invalidity relating to the application of the rule of male primogeniture and the relevant provisions of the BAA as well as those of the Intestate Succession Act. </w:t>
      </w:r>
    </w:p>
    <w:p w:rsidR="009D6FE0" w:rsidRDefault="009D6FE0" w:rsidP="009D6FE0">
      <w:pPr>
        <w:pStyle w:val="Default"/>
        <w:rPr>
          <w:color w:val="auto"/>
          <w:sz w:val="23"/>
          <w:szCs w:val="23"/>
        </w:rPr>
      </w:pPr>
      <w:r>
        <w:rPr>
          <w:color w:val="auto"/>
          <w:sz w:val="23"/>
          <w:szCs w:val="23"/>
        </w:rPr>
        <w:t xml:space="preserve">The Constitutional Court held that section 23 of the BAA and its regulations were </w:t>
      </w:r>
    </w:p>
    <w:p w:rsidR="009D6FE0" w:rsidRDefault="009D6FE0" w:rsidP="009D6FE0">
      <w:pPr>
        <w:pStyle w:val="Default"/>
        <w:rPr>
          <w:color w:val="auto"/>
          <w:sz w:val="23"/>
          <w:szCs w:val="23"/>
        </w:rPr>
      </w:pPr>
      <w:proofErr w:type="gramStart"/>
      <w:r>
        <w:rPr>
          <w:color w:val="auto"/>
          <w:sz w:val="23"/>
          <w:szCs w:val="23"/>
        </w:rPr>
        <w:t>manifestly</w:t>
      </w:r>
      <w:proofErr w:type="gramEnd"/>
      <w:r>
        <w:rPr>
          <w:color w:val="auto"/>
          <w:sz w:val="23"/>
          <w:szCs w:val="23"/>
        </w:rPr>
        <w:t xml:space="preserve"> discriminatory in that they violated the right to equality, the right to dignity and children’s rights. </w:t>
      </w:r>
    </w:p>
    <w:p w:rsidR="009D6FE0" w:rsidRDefault="009D6FE0" w:rsidP="009D6FE0">
      <w:pPr>
        <w:pStyle w:val="Default"/>
        <w:rPr>
          <w:color w:val="auto"/>
          <w:sz w:val="23"/>
          <w:szCs w:val="23"/>
        </w:rPr>
      </w:pPr>
      <w:r>
        <w:rPr>
          <w:color w:val="auto"/>
          <w:sz w:val="23"/>
          <w:szCs w:val="23"/>
        </w:rPr>
        <w:t>The Court held that the customary law rule of male primogeniture was unfairly discriminatory against women, children of the deceased as well as extramarital children and declared the rule unconstitutional. The Court thus found that the discrimination brought about by the application of this rule could not be justified in terms of section 36 of the Constitution. Consequently, the Court ordered that intestate estates that had previously devolved in accordance with customary law had now to devolve in terms of the rules provided for in the Intestate Succession Act (as amended by the Court). In this regard, the wife or wives in a customary marriage as well as all their children, irrespective of age and sex, would all be intestate heirs. The Court thus declared section 23 of the BAA, regulation 2 of the Regulations for the Administration and Distribution of Estates of Deceased Blacks as well as section 1(4)(</w:t>
      </w:r>
      <w:r>
        <w:rPr>
          <w:i/>
          <w:iCs/>
          <w:color w:val="auto"/>
          <w:sz w:val="23"/>
          <w:szCs w:val="23"/>
        </w:rPr>
        <w:t>b</w:t>
      </w:r>
      <w:r>
        <w:rPr>
          <w:color w:val="auto"/>
          <w:sz w:val="23"/>
          <w:szCs w:val="23"/>
        </w:rPr>
        <w:t xml:space="preserve">) of the Intestate Succession Act, in as so far as it excluded from its application any estate or part thereof which is governed by customary law, unconstitutional. The order was in force until the matter was corrected by appropriate legislation. </w:t>
      </w:r>
    </w:p>
    <w:p w:rsidR="009D6FE0" w:rsidRDefault="009D6FE0" w:rsidP="009D6FE0">
      <w:pPr>
        <w:pStyle w:val="Default"/>
        <w:rPr>
          <w:color w:val="auto"/>
          <w:sz w:val="23"/>
          <w:szCs w:val="23"/>
        </w:rPr>
      </w:pPr>
      <w:r>
        <w:rPr>
          <w:color w:val="auto"/>
          <w:sz w:val="23"/>
          <w:szCs w:val="23"/>
        </w:rPr>
        <w:t xml:space="preserve">The order of the Constitutional Court was made retrospective to 27 April 1994, that </w:t>
      </w:r>
    </w:p>
    <w:p w:rsidR="009D6FE0" w:rsidRDefault="009D6FE0" w:rsidP="009D6FE0">
      <w:pPr>
        <w:pStyle w:val="Default"/>
        <w:rPr>
          <w:color w:val="auto"/>
          <w:sz w:val="23"/>
          <w:szCs w:val="23"/>
        </w:rPr>
      </w:pPr>
      <w:proofErr w:type="gramStart"/>
      <w:r>
        <w:rPr>
          <w:color w:val="auto"/>
          <w:sz w:val="23"/>
          <w:szCs w:val="23"/>
        </w:rPr>
        <w:t>is</w:t>
      </w:r>
      <w:proofErr w:type="gramEnd"/>
      <w:r>
        <w:rPr>
          <w:color w:val="auto"/>
          <w:sz w:val="23"/>
          <w:szCs w:val="23"/>
        </w:rPr>
        <w:t xml:space="preserve">, the date of the coming into operation of the interim Constitution with two exceptions. First, the declaration of invalidity did not apply to any completed transfer of ownership to an heir who had had no notice of the challenge to the validity of section 23 of the BAA and the rule of male primogeniture. Second, the order did not apply to ‘anything done pursuant to the winding-up of an estate in terms of the [BAA], other than the identification of heirs in a manner inconsistent with this judgment.’ </w:t>
      </w:r>
    </w:p>
    <w:p w:rsidR="009D6FE0" w:rsidRDefault="009D6FE0" w:rsidP="009D6FE0">
      <w:pPr>
        <w:pStyle w:val="Default"/>
        <w:rPr>
          <w:color w:val="auto"/>
          <w:sz w:val="23"/>
          <w:szCs w:val="23"/>
        </w:rPr>
      </w:pPr>
      <w:r>
        <w:rPr>
          <w:b/>
          <w:bCs/>
          <w:color w:val="auto"/>
          <w:sz w:val="23"/>
          <w:szCs w:val="23"/>
        </w:rPr>
        <w:t xml:space="preserve">PAUSE FOR REFLECTION </w:t>
      </w:r>
    </w:p>
    <w:p w:rsidR="009D6FE0" w:rsidRDefault="009D6FE0" w:rsidP="009D6FE0">
      <w:pPr>
        <w:pStyle w:val="Default"/>
        <w:rPr>
          <w:color w:val="auto"/>
          <w:sz w:val="23"/>
          <w:szCs w:val="23"/>
        </w:rPr>
      </w:pPr>
      <w:proofErr w:type="spellStart"/>
      <w:r>
        <w:rPr>
          <w:b/>
          <w:bCs/>
          <w:i/>
          <w:iCs/>
          <w:color w:val="auto"/>
          <w:sz w:val="23"/>
          <w:szCs w:val="23"/>
        </w:rPr>
        <w:t>Bhe</w:t>
      </w:r>
      <w:proofErr w:type="spellEnd"/>
      <w:r>
        <w:rPr>
          <w:b/>
          <w:bCs/>
          <w:i/>
          <w:iCs/>
          <w:color w:val="auto"/>
          <w:sz w:val="23"/>
          <w:szCs w:val="23"/>
        </w:rPr>
        <w:t xml:space="preserve">: </w:t>
      </w:r>
      <w:r>
        <w:rPr>
          <w:b/>
          <w:bCs/>
          <w:color w:val="auto"/>
          <w:sz w:val="23"/>
          <w:szCs w:val="23"/>
        </w:rPr>
        <w:t xml:space="preserve">opens the space for the development of living customary law </w:t>
      </w:r>
    </w:p>
    <w:p w:rsidR="009D6FE0" w:rsidRDefault="009D6FE0" w:rsidP="009D6FE0">
      <w:pPr>
        <w:pStyle w:val="Default"/>
        <w:rPr>
          <w:color w:val="auto"/>
          <w:sz w:val="23"/>
          <w:szCs w:val="23"/>
        </w:rPr>
      </w:pPr>
      <w:r>
        <w:rPr>
          <w:color w:val="auto"/>
          <w:sz w:val="23"/>
          <w:szCs w:val="23"/>
        </w:rPr>
        <w:t xml:space="preserve">In addition to invalidating the principle of male primogeniture, the Constitutional Court in </w:t>
      </w:r>
      <w:proofErr w:type="spellStart"/>
      <w:r>
        <w:rPr>
          <w:i/>
          <w:iCs/>
          <w:color w:val="auto"/>
          <w:sz w:val="23"/>
          <w:szCs w:val="23"/>
        </w:rPr>
        <w:t>Bhe</w:t>
      </w:r>
      <w:proofErr w:type="spellEnd"/>
      <w:r>
        <w:rPr>
          <w:i/>
          <w:iCs/>
          <w:color w:val="auto"/>
          <w:sz w:val="23"/>
          <w:szCs w:val="23"/>
        </w:rPr>
        <w:t xml:space="preserve"> </w:t>
      </w:r>
      <w:r>
        <w:rPr>
          <w:color w:val="auto"/>
          <w:sz w:val="23"/>
          <w:szCs w:val="23"/>
        </w:rPr>
        <w:t xml:space="preserve">ruled that its order to apply the Intestate Succession Act to estates previously governed by customary law did not mean that the relevant provisions of the Intestate P a g e 10 | 39 </w:t>
      </w:r>
    </w:p>
    <w:p w:rsidR="009D6FE0" w:rsidRDefault="009D6FE0" w:rsidP="009D6FE0">
      <w:pPr>
        <w:pStyle w:val="Default"/>
        <w:rPr>
          <w:color w:val="auto"/>
        </w:rPr>
      </w:pPr>
    </w:p>
    <w:p w:rsidR="009D6FE0" w:rsidRDefault="009D6FE0" w:rsidP="009D6FE0">
      <w:pPr>
        <w:pStyle w:val="Default"/>
        <w:pageBreakBefore/>
        <w:rPr>
          <w:color w:val="auto"/>
          <w:sz w:val="23"/>
          <w:szCs w:val="23"/>
        </w:rPr>
      </w:pPr>
      <w:r>
        <w:rPr>
          <w:color w:val="auto"/>
          <w:sz w:val="23"/>
          <w:szCs w:val="23"/>
        </w:rPr>
        <w:lastRenderedPageBreak/>
        <w:t xml:space="preserve">Succession Act were fixed rules that must be applied regardless of any agreement by all interested parties that the estate should devolve in a different way. </w:t>
      </w:r>
    </w:p>
    <w:p w:rsidR="009D6FE0" w:rsidRDefault="009D6FE0" w:rsidP="009D6FE0">
      <w:pPr>
        <w:pStyle w:val="Default"/>
        <w:rPr>
          <w:color w:val="auto"/>
          <w:sz w:val="23"/>
          <w:szCs w:val="23"/>
        </w:rPr>
      </w:pPr>
      <w:r>
        <w:rPr>
          <w:color w:val="auto"/>
          <w:sz w:val="23"/>
          <w:szCs w:val="23"/>
        </w:rPr>
        <w:t xml:space="preserve">In other words, the Intestate Succession Act did not preclude the possibility of interested parties reaching an agreement requiring the estate to devolve in a different way provided that the agreement was consistent with the provisions of the Act. Presumably, the Court envisaged the agreements complying with the provisions of the Intestate Succession Act in broad terms only as opposed to strictly within the letter of the provisions. </w:t>
      </w:r>
    </w:p>
    <w:p w:rsidR="009D6FE0" w:rsidRDefault="009D6FE0" w:rsidP="009D6FE0">
      <w:pPr>
        <w:pStyle w:val="Default"/>
        <w:rPr>
          <w:color w:val="auto"/>
          <w:sz w:val="23"/>
          <w:szCs w:val="23"/>
        </w:rPr>
      </w:pPr>
      <w:r>
        <w:rPr>
          <w:color w:val="auto"/>
          <w:sz w:val="23"/>
          <w:szCs w:val="23"/>
        </w:rPr>
        <w:t xml:space="preserve">The Court adopted this approach to ensure that, through the agreements, customary law would continue to develop spontaneously. We submit that one of the ways this development could happen would be through agreements of members of local communities, especially members of the deceased person’s family. This would undoubtedly promote the development of the living customary law of succession, </w:t>
      </w:r>
    </w:p>
    <w:p w:rsidR="00455A20" w:rsidRDefault="009D6FE0" w:rsidP="009D6FE0">
      <w:pPr>
        <w:jc w:val="both"/>
        <w:rPr>
          <w:sz w:val="23"/>
          <w:szCs w:val="23"/>
        </w:rPr>
      </w:pPr>
      <w:proofErr w:type="gramStart"/>
      <w:r>
        <w:rPr>
          <w:sz w:val="23"/>
          <w:szCs w:val="23"/>
        </w:rPr>
        <w:t>albeit</w:t>
      </w:r>
      <w:proofErr w:type="gramEnd"/>
      <w:r>
        <w:rPr>
          <w:sz w:val="23"/>
          <w:szCs w:val="23"/>
        </w:rPr>
        <w:t xml:space="preserve"> within the broad framework of the Intestate Succession Act. As a result of the judgment in </w:t>
      </w:r>
      <w:proofErr w:type="spellStart"/>
      <w:r>
        <w:rPr>
          <w:i/>
          <w:iCs/>
          <w:sz w:val="23"/>
          <w:szCs w:val="23"/>
        </w:rPr>
        <w:t>Bhe</w:t>
      </w:r>
      <w:proofErr w:type="spellEnd"/>
      <w:r>
        <w:rPr>
          <w:i/>
          <w:iCs/>
          <w:sz w:val="23"/>
          <w:szCs w:val="23"/>
        </w:rPr>
        <w:t xml:space="preserve"> </w:t>
      </w:r>
      <w:r>
        <w:rPr>
          <w:sz w:val="23"/>
          <w:szCs w:val="23"/>
        </w:rPr>
        <w:t>and the recommendations of the SALRC, the legislature enacted the RCLSA.</w:t>
      </w:r>
    </w:p>
    <w:p w:rsidR="0081628D" w:rsidRDefault="0081628D" w:rsidP="009D6FE0">
      <w:pPr>
        <w:jc w:val="both"/>
        <w:rPr>
          <w:sz w:val="23"/>
          <w:szCs w:val="23"/>
        </w:rPr>
      </w:pPr>
    </w:p>
    <w:p w:rsidR="0081628D" w:rsidRDefault="0081628D" w:rsidP="0081628D">
      <w:pPr>
        <w:pStyle w:val="Default"/>
      </w:pPr>
    </w:p>
    <w:p w:rsidR="0081628D" w:rsidRDefault="0081628D" w:rsidP="0081628D">
      <w:pPr>
        <w:pStyle w:val="Default"/>
        <w:rPr>
          <w:sz w:val="23"/>
          <w:szCs w:val="23"/>
        </w:rPr>
      </w:pPr>
      <w:proofErr w:type="spellStart"/>
      <w:r>
        <w:rPr>
          <w:b/>
          <w:bCs/>
          <w:i/>
          <w:iCs/>
          <w:sz w:val="23"/>
          <w:szCs w:val="23"/>
        </w:rPr>
        <w:t>Bhe</w:t>
      </w:r>
      <w:proofErr w:type="spellEnd"/>
      <w:r>
        <w:rPr>
          <w:b/>
          <w:bCs/>
          <w:i/>
          <w:iCs/>
          <w:sz w:val="23"/>
          <w:szCs w:val="23"/>
        </w:rPr>
        <w:t xml:space="preserve"> </w:t>
      </w:r>
      <w:r>
        <w:rPr>
          <w:b/>
          <w:bCs/>
          <w:sz w:val="23"/>
          <w:szCs w:val="23"/>
        </w:rPr>
        <w:t>cases (</w:t>
      </w:r>
      <w:proofErr w:type="spellStart"/>
      <w:r>
        <w:rPr>
          <w:b/>
          <w:bCs/>
          <w:i/>
          <w:iCs/>
          <w:sz w:val="23"/>
          <w:szCs w:val="23"/>
        </w:rPr>
        <w:t>Bhe</w:t>
      </w:r>
      <w:proofErr w:type="spellEnd"/>
      <w:r>
        <w:rPr>
          <w:b/>
          <w:bCs/>
          <w:i/>
          <w:iCs/>
          <w:sz w:val="23"/>
          <w:szCs w:val="23"/>
        </w:rPr>
        <w:t xml:space="preserve"> v The Magistrate </w:t>
      </w:r>
      <w:proofErr w:type="spellStart"/>
      <w:r>
        <w:rPr>
          <w:b/>
          <w:bCs/>
          <w:i/>
          <w:iCs/>
          <w:sz w:val="23"/>
          <w:szCs w:val="23"/>
        </w:rPr>
        <w:t>Khayelitsha</w:t>
      </w:r>
      <w:proofErr w:type="spellEnd"/>
      <w:r>
        <w:rPr>
          <w:b/>
          <w:bCs/>
          <w:i/>
          <w:iCs/>
          <w:sz w:val="23"/>
          <w:szCs w:val="23"/>
        </w:rPr>
        <w:t xml:space="preserve"> </w:t>
      </w:r>
      <w:r>
        <w:rPr>
          <w:b/>
          <w:bCs/>
          <w:sz w:val="23"/>
          <w:szCs w:val="23"/>
        </w:rPr>
        <w:t xml:space="preserve">1998 (3) 2004 (1) BCLR 27 (C), </w:t>
      </w:r>
      <w:proofErr w:type="spellStart"/>
      <w:r>
        <w:rPr>
          <w:b/>
          <w:bCs/>
          <w:i/>
          <w:iCs/>
          <w:sz w:val="23"/>
          <w:szCs w:val="23"/>
        </w:rPr>
        <w:t>Bhe</w:t>
      </w:r>
      <w:proofErr w:type="spellEnd"/>
      <w:r>
        <w:rPr>
          <w:b/>
          <w:bCs/>
          <w:i/>
          <w:iCs/>
          <w:sz w:val="23"/>
          <w:szCs w:val="23"/>
        </w:rPr>
        <w:t xml:space="preserve"> v The Magistrate </w:t>
      </w:r>
      <w:proofErr w:type="spellStart"/>
      <w:r>
        <w:rPr>
          <w:b/>
          <w:bCs/>
          <w:i/>
          <w:iCs/>
          <w:sz w:val="23"/>
          <w:szCs w:val="23"/>
        </w:rPr>
        <w:t>Khayelitsha</w:t>
      </w:r>
      <w:proofErr w:type="spellEnd"/>
      <w:r>
        <w:rPr>
          <w:b/>
          <w:bCs/>
          <w:sz w:val="23"/>
          <w:szCs w:val="23"/>
        </w:rPr>
        <w:t xml:space="preserve">; </w:t>
      </w:r>
      <w:proofErr w:type="spellStart"/>
      <w:r>
        <w:rPr>
          <w:b/>
          <w:bCs/>
          <w:i/>
          <w:iCs/>
          <w:sz w:val="23"/>
          <w:szCs w:val="23"/>
        </w:rPr>
        <w:t>Shibi</w:t>
      </w:r>
      <w:proofErr w:type="spellEnd"/>
      <w:r>
        <w:rPr>
          <w:b/>
          <w:bCs/>
          <w:i/>
          <w:iCs/>
          <w:sz w:val="23"/>
          <w:szCs w:val="23"/>
        </w:rPr>
        <w:t xml:space="preserve"> v </w:t>
      </w:r>
      <w:proofErr w:type="spellStart"/>
      <w:r>
        <w:rPr>
          <w:b/>
          <w:bCs/>
          <w:i/>
          <w:iCs/>
          <w:sz w:val="23"/>
          <w:szCs w:val="23"/>
        </w:rPr>
        <w:t>Sithole</w:t>
      </w:r>
      <w:proofErr w:type="spellEnd"/>
      <w:r>
        <w:rPr>
          <w:b/>
          <w:bCs/>
          <w:sz w:val="23"/>
          <w:szCs w:val="23"/>
        </w:rPr>
        <w:t xml:space="preserve">; </w:t>
      </w:r>
      <w:r>
        <w:rPr>
          <w:b/>
          <w:bCs/>
          <w:i/>
          <w:iCs/>
          <w:sz w:val="23"/>
          <w:szCs w:val="23"/>
        </w:rPr>
        <w:t xml:space="preserve">Human Rights Commission v President of Republic of South Africa </w:t>
      </w:r>
      <w:r>
        <w:rPr>
          <w:b/>
          <w:bCs/>
          <w:sz w:val="23"/>
          <w:szCs w:val="23"/>
        </w:rPr>
        <w:t xml:space="preserve">2005 (1) BCLR 580 (CC)), </w:t>
      </w:r>
    </w:p>
    <w:p w:rsidR="0081628D" w:rsidRDefault="0081628D" w:rsidP="0081628D">
      <w:pPr>
        <w:pStyle w:val="Default"/>
        <w:rPr>
          <w:sz w:val="23"/>
          <w:szCs w:val="23"/>
        </w:rPr>
      </w:pPr>
      <w:r>
        <w:rPr>
          <w:b/>
          <w:bCs/>
          <w:sz w:val="23"/>
          <w:szCs w:val="23"/>
        </w:rPr>
        <w:t xml:space="preserve">Facts </w:t>
      </w:r>
    </w:p>
    <w:p w:rsidR="0081628D" w:rsidRDefault="0081628D" w:rsidP="0081628D">
      <w:pPr>
        <w:pStyle w:val="Default"/>
        <w:rPr>
          <w:sz w:val="23"/>
          <w:szCs w:val="23"/>
        </w:rPr>
      </w:pPr>
      <w:r>
        <w:rPr>
          <w:sz w:val="23"/>
          <w:szCs w:val="23"/>
        </w:rPr>
        <w:t xml:space="preserve">The cases concerned a constitutional challenge to the rule of male primogeniture as it applies in the African customary law of succession, as well as constitutional challenges P a g e 31 | 39 </w:t>
      </w:r>
    </w:p>
    <w:p w:rsidR="0081628D" w:rsidRDefault="0081628D" w:rsidP="0081628D">
      <w:pPr>
        <w:pStyle w:val="Default"/>
        <w:rPr>
          <w:color w:val="auto"/>
        </w:rPr>
      </w:pPr>
    </w:p>
    <w:p w:rsidR="0081628D" w:rsidRDefault="0081628D" w:rsidP="0081628D">
      <w:pPr>
        <w:pStyle w:val="Default"/>
        <w:pageBreakBefore/>
        <w:rPr>
          <w:color w:val="auto"/>
          <w:sz w:val="23"/>
          <w:szCs w:val="23"/>
        </w:rPr>
      </w:pPr>
      <w:proofErr w:type="gramStart"/>
      <w:r>
        <w:rPr>
          <w:color w:val="auto"/>
          <w:sz w:val="23"/>
          <w:szCs w:val="23"/>
        </w:rPr>
        <w:lastRenderedPageBreak/>
        <w:t>to</w:t>
      </w:r>
      <w:proofErr w:type="gramEnd"/>
      <w:r>
        <w:rPr>
          <w:color w:val="auto"/>
          <w:sz w:val="23"/>
          <w:szCs w:val="23"/>
        </w:rPr>
        <w:t xml:space="preserve"> section 23 of the Black Administration Act, 38 of 1927, regulations promulgated in terms of that section and s. 1(4)(b) of the Intestate Succession Act, 81 of 1987. </w:t>
      </w:r>
    </w:p>
    <w:p w:rsidR="0081628D" w:rsidRDefault="0081628D" w:rsidP="0081628D">
      <w:pPr>
        <w:pStyle w:val="Default"/>
        <w:rPr>
          <w:color w:val="auto"/>
          <w:sz w:val="23"/>
          <w:szCs w:val="23"/>
        </w:rPr>
      </w:pPr>
      <w:r>
        <w:rPr>
          <w:color w:val="auto"/>
          <w:sz w:val="23"/>
          <w:szCs w:val="23"/>
        </w:rPr>
        <w:t xml:space="preserve">The application in </w:t>
      </w:r>
      <w:proofErr w:type="spellStart"/>
      <w:r>
        <w:rPr>
          <w:color w:val="auto"/>
          <w:sz w:val="23"/>
          <w:szCs w:val="23"/>
        </w:rPr>
        <w:t>Bhe</w:t>
      </w:r>
      <w:proofErr w:type="spellEnd"/>
      <w:r>
        <w:rPr>
          <w:color w:val="auto"/>
          <w:sz w:val="23"/>
          <w:szCs w:val="23"/>
        </w:rPr>
        <w:t xml:space="preserve"> was made on behalf of the two minor daughters of Ms </w:t>
      </w:r>
      <w:proofErr w:type="spellStart"/>
      <w:r>
        <w:rPr>
          <w:color w:val="auto"/>
          <w:sz w:val="23"/>
          <w:szCs w:val="23"/>
        </w:rPr>
        <w:t>Nontupheko</w:t>
      </w:r>
      <w:proofErr w:type="spellEnd"/>
      <w:r>
        <w:rPr>
          <w:color w:val="auto"/>
          <w:sz w:val="23"/>
          <w:szCs w:val="23"/>
        </w:rPr>
        <w:t xml:space="preserve"> </w:t>
      </w:r>
      <w:proofErr w:type="spellStart"/>
      <w:r>
        <w:rPr>
          <w:color w:val="auto"/>
          <w:sz w:val="23"/>
          <w:szCs w:val="23"/>
        </w:rPr>
        <w:t>Bhe</w:t>
      </w:r>
      <w:proofErr w:type="spellEnd"/>
      <w:r>
        <w:rPr>
          <w:color w:val="auto"/>
          <w:sz w:val="23"/>
          <w:szCs w:val="23"/>
        </w:rPr>
        <w:t xml:space="preserve"> and her deceased partner. The applicants submitted that the impugned provisions and the customary law rule of male primogeniture unfairly discriminated against the two children in that they prevented the children from inheriting the estate of their late father. </w:t>
      </w:r>
    </w:p>
    <w:p w:rsidR="0081628D" w:rsidRDefault="0081628D" w:rsidP="0081628D">
      <w:pPr>
        <w:pStyle w:val="Default"/>
        <w:rPr>
          <w:color w:val="auto"/>
          <w:sz w:val="23"/>
          <w:szCs w:val="23"/>
        </w:rPr>
      </w:pPr>
      <w:r>
        <w:rPr>
          <w:color w:val="auto"/>
          <w:sz w:val="23"/>
          <w:szCs w:val="23"/>
        </w:rPr>
        <w:t xml:space="preserve">In the </w:t>
      </w:r>
      <w:proofErr w:type="spellStart"/>
      <w:r>
        <w:rPr>
          <w:color w:val="auto"/>
          <w:sz w:val="23"/>
          <w:szCs w:val="23"/>
        </w:rPr>
        <w:t>Shibi</w:t>
      </w:r>
      <w:proofErr w:type="spellEnd"/>
      <w:r>
        <w:rPr>
          <w:color w:val="auto"/>
          <w:sz w:val="23"/>
          <w:szCs w:val="23"/>
        </w:rPr>
        <w:t xml:space="preserve"> case for similar reasons, Ms </w:t>
      </w:r>
      <w:proofErr w:type="spellStart"/>
      <w:r>
        <w:rPr>
          <w:color w:val="auto"/>
          <w:sz w:val="23"/>
          <w:szCs w:val="23"/>
        </w:rPr>
        <w:t>Shibi</w:t>
      </w:r>
      <w:proofErr w:type="spellEnd"/>
      <w:r>
        <w:rPr>
          <w:color w:val="auto"/>
          <w:sz w:val="23"/>
          <w:szCs w:val="23"/>
        </w:rPr>
        <w:t xml:space="preserve"> was prevented from inheriting the estate of her deceased brother. </w:t>
      </w:r>
    </w:p>
    <w:p w:rsidR="0081628D" w:rsidRDefault="0081628D" w:rsidP="0081628D">
      <w:pPr>
        <w:pStyle w:val="Default"/>
        <w:rPr>
          <w:color w:val="auto"/>
          <w:sz w:val="23"/>
          <w:szCs w:val="23"/>
        </w:rPr>
      </w:pPr>
      <w:r>
        <w:rPr>
          <w:color w:val="auto"/>
          <w:sz w:val="23"/>
          <w:szCs w:val="23"/>
        </w:rPr>
        <w:t xml:space="preserve">The South African Human Rights Commission and the Women’s Legal Trust intervened in South African Human Rights Commission and another v President of the Republic of South Africa and another which was brought in the public interest as a class action on behalf of all women and children prevented from inheriting by reason of the impugned provisions and the rule of male primogeniture. </w:t>
      </w:r>
    </w:p>
    <w:p w:rsidR="0081628D" w:rsidRDefault="0081628D" w:rsidP="0081628D">
      <w:pPr>
        <w:pStyle w:val="Default"/>
        <w:rPr>
          <w:color w:val="auto"/>
          <w:sz w:val="23"/>
          <w:szCs w:val="23"/>
        </w:rPr>
      </w:pPr>
      <w:r>
        <w:rPr>
          <w:b/>
          <w:bCs/>
          <w:color w:val="auto"/>
          <w:sz w:val="23"/>
          <w:szCs w:val="23"/>
        </w:rPr>
        <w:t xml:space="preserve">Issues for Determination by the Court </w:t>
      </w:r>
    </w:p>
    <w:p w:rsidR="0081628D" w:rsidRDefault="0081628D" w:rsidP="0081628D">
      <w:pPr>
        <w:pStyle w:val="Default"/>
        <w:rPr>
          <w:color w:val="auto"/>
          <w:sz w:val="23"/>
          <w:szCs w:val="23"/>
        </w:rPr>
      </w:pPr>
      <w:r>
        <w:rPr>
          <w:color w:val="auto"/>
          <w:sz w:val="23"/>
          <w:szCs w:val="23"/>
        </w:rPr>
        <w:t>• Section 23 of the Black Administration Act, 38 of 1927, regulations promulgated in terms of that section and s. 1(4</w:t>
      </w:r>
      <w:proofErr w:type="gramStart"/>
      <w:r>
        <w:rPr>
          <w:color w:val="auto"/>
          <w:sz w:val="23"/>
          <w:szCs w:val="23"/>
        </w:rPr>
        <w:t>)(</w:t>
      </w:r>
      <w:proofErr w:type="gramEnd"/>
      <w:r>
        <w:rPr>
          <w:color w:val="auto"/>
          <w:sz w:val="23"/>
          <w:szCs w:val="23"/>
        </w:rPr>
        <w:t xml:space="preserve">b) of the Intestate Succession Act, 81 of 1987. </w:t>
      </w:r>
    </w:p>
    <w:p w:rsidR="0081628D" w:rsidRDefault="0081628D" w:rsidP="0081628D">
      <w:pPr>
        <w:pStyle w:val="Default"/>
        <w:rPr>
          <w:color w:val="auto"/>
          <w:sz w:val="23"/>
          <w:szCs w:val="23"/>
        </w:rPr>
      </w:pPr>
      <w:r>
        <w:rPr>
          <w:color w:val="auto"/>
          <w:sz w:val="23"/>
          <w:szCs w:val="23"/>
        </w:rPr>
        <w:t xml:space="preserve">• Section 9(3) and dignity in s. 10 of our Constitution. Administration of Estates Act, 66 of 1965 </w:t>
      </w:r>
    </w:p>
    <w:p w:rsidR="0081628D" w:rsidRDefault="0081628D" w:rsidP="0081628D">
      <w:pPr>
        <w:pStyle w:val="Default"/>
        <w:rPr>
          <w:color w:val="auto"/>
          <w:sz w:val="23"/>
          <w:szCs w:val="23"/>
        </w:rPr>
      </w:pPr>
      <w:r>
        <w:rPr>
          <w:color w:val="auto"/>
          <w:sz w:val="23"/>
          <w:szCs w:val="23"/>
        </w:rPr>
        <w:t xml:space="preserve">• Section 9 (3) of the South African Constitution (right to equality) </w:t>
      </w:r>
    </w:p>
    <w:p w:rsidR="0081628D" w:rsidRDefault="0081628D" w:rsidP="0081628D">
      <w:pPr>
        <w:pStyle w:val="Default"/>
        <w:rPr>
          <w:color w:val="auto"/>
          <w:sz w:val="23"/>
          <w:szCs w:val="23"/>
        </w:rPr>
      </w:pPr>
      <w:r>
        <w:rPr>
          <w:color w:val="auto"/>
          <w:sz w:val="23"/>
          <w:szCs w:val="23"/>
        </w:rPr>
        <w:t xml:space="preserve">• Section 10 of the South African Constitution (dignity) </w:t>
      </w:r>
    </w:p>
    <w:p w:rsidR="0081628D" w:rsidRDefault="0081628D" w:rsidP="0081628D">
      <w:pPr>
        <w:pStyle w:val="Default"/>
        <w:rPr>
          <w:color w:val="auto"/>
          <w:sz w:val="23"/>
          <w:szCs w:val="23"/>
        </w:rPr>
      </w:pPr>
      <w:r>
        <w:rPr>
          <w:color w:val="auto"/>
          <w:sz w:val="23"/>
          <w:szCs w:val="23"/>
        </w:rPr>
        <w:t>The court was asked for confirmation of the orders of constitutional invalidity made by the Cape High Court and the Pretoria High Court respectively. The applications were for confirmation of orders of constitutional invalidity made by the Cape High Court and the Pretoria High Court respectively. Both Courts found s. 23(10</w:t>
      </w:r>
      <w:proofErr w:type="gramStart"/>
      <w:r>
        <w:rPr>
          <w:color w:val="auto"/>
          <w:sz w:val="23"/>
          <w:szCs w:val="23"/>
        </w:rPr>
        <w:t>)(</w:t>
      </w:r>
      <w:proofErr w:type="gramEnd"/>
      <w:r>
        <w:rPr>
          <w:color w:val="auto"/>
          <w:sz w:val="23"/>
          <w:szCs w:val="23"/>
        </w:rPr>
        <w:t>a),(c) and (e) of the Black Administration Act and regulation 2(e) of the Regulations for the Administration and Distribution of the Estates of Deceased Blacks to be unconstitutional and invalid. Section 1(4</w:t>
      </w:r>
      <w:proofErr w:type="gramStart"/>
      <w:r>
        <w:rPr>
          <w:color w:val="auto"/>
          <w:sz w:val="23"/>
          <w:szCs w:val="23"/>
        </w:rPr>
        <w:t>)(</w:t>
      </w:r>
      <w:proofErr w:type="gramEnd"/>
      <w:r>
        <w:rPr>
          <w:color w:val="auto"/>
          <w:sz w:val="23"/>
          <w:szCs w:val="23"/>
        </w:rPr>
        <w:t xml:space="preserve">b) of the Intestate Succession Act was also declared to be unconstitutional insofar as it excluded from the application of s. 1 of that Act any estate or part of any estate in respect of which s. 23 of the Black Administration Act applied. </w:t>
      </w:r>
    </w:p>
    <w:p w:rsidR="0081628D" w:rsidRDefault="0081628D" w:rsidP="0081628D">
      <w:pPr>
        <w:pStyle w:val="Default"/>
        <w:rPr>
          <w:color w:val="auto"/>
          <w:sz w:val="23"/>
          <w:szCs w:val="23"/>
        </w:rPr>
      </w:pPr>
      <w:r>
        <w:rPr>
          <w:b/>
          <w:bCs/>
          <w:color w:val="auto"/>
          <w:sz w:val="23"/>
          <w:szCs w:val="23"/>
        </w:rPr>
        <w:t xml:space="preserve">Decision </w:t>
      </w:r>
    </w:p>
    <w:p w:rsidR="0081628D" w:rsidRDefault="0081628D" w:rsidP="0081628D">
      <w:pPr>
        <w:pStyle w:val="Default"/>
        <w:rPr>
          <w:color w:val="auto"/>
          <w:sz w:val="23"/>
          <w:szCs w:val="23"/>
        </w:rPr>
      </w:pPr>
      <w:r>
        <w:rPr>
          <w:color w:val="auto"/>
          <w:sz w:val="23"/>
          <w:szCs w:val="23"/>
        </w:rPr>
        <w:t xml:space="preserve">The Constitutional Court upheld the challenges, struck down the impugned statutory provisions and regulations, and put in place a new interim regime to govern intestate succession for black estates. </w:t>
      </w:r>
    </w:p>
    <w:p w:rsidR="0081628D" w:rsidRDefault="0081628D" w:rsidP="0081628D">
      <w:pPr>
        <w:pStyle w:val="Default"/>
        <w:rPr>
          <w:color w:val="auto"/>
          <w:sz w:val="23"/>
          <w:szCs w:val="23"/>
        </w:rPr>
      </w:pPr>
      <w:r>
        <w:rPr>
          <w:i/>
          <w:iCs/>
          <w:color w:val="auto"/>
          <w:sz w:val="23"/>
          <w:szCs w:val="23"/>
        </w:rPr>
        <w:t xml:space="preserve">The Majority </w:t>
      </w:r>
    </w:p>
    <w:p w:rsidR="0081628D" w:rsidRDefault="0081628D" w:rsidP="0081628D">
      <w:pPr>
        <w:pStyle w:val="Default"/>
        <w:rPr>
          <w:color w:val="auto"/>
          <w:sz w:val="23"/>
          <w:szCs w:val="23"/>
        </w:rPr>
      </w:pPr>
      <w:r>
        <w:rPr>
          <w:color w:val="auto"/>
          <w:sz w:val="23"/>
          <w:szCs w:val="23"/>
        </w:rPr>
        <w:t xml:space="preserve">Deputy Chief Justice </w:t>
      </w:r>
      <w:proofErr w:type="spellStart"/>
      <w:r>
        <w:rPr>
          <w:color w:val="auto"/>
          <w:sz w:val="23"/>
          <w:szCs w:val="23"/>
        </w:rPr>
        <w:t>Langa</w:t>
      </w:r>
      <w:proofErr w:type="spellEnd"/>
      <w:r>
        <w:rPr>
          <w:color w:val="auto"/>
          <w:sz w:val="23"/>
          <w:szCs w:val="23"/>
        </w:rPr>
        <w:t xml:space="preserve">, wrote the majority opinion of the Court. He held that, construed in the light of its history and context, s. 23 of the Black Administration Act is an anachronistic piece of legislation which solidified “official” customary law and caused egregious violations of the rights of black African persons. The section created a parallel P a g e 32 | 39 </w:t>
      </w:r>
    </w:p>
    <w:p w:rsidR="0081628D" w:rsidRDefault="0081628D" w:rsidP="0081628D">
      <w:pPr>
        <w:pStyle w:val="Default"/>
        <w:rPr>
          <w:color w:val="auto"/>
        </w:rPr>
      </w:pPr>
    </w:p>
    <w:p w:rsidR="0081628D" w:rsidRDefault="0081628D" w:rsidP="0081628D">
      <w:pPr>
        <w:pStyle w:val="Default"/>
        <w:pageBreakBefore/>
        <w:rPr>
          <w:color w:val="auto"/>
          <w:sz w:val="23"/>
          <w:szCs w:val="23"/>
        </w:rPr>
      </w:pPr>
      <w:proofErr w:type="gramStart"/>
      <w:r>
        <w:rPr>
          <w:color w:val="auto"/>
          <w:sz w:val="23"/>
          <w:szCs w:val="23"/>
        </w:rPr>
        <w:lastRenderedPageBreak/>
        <w:t>system</w:t>
      </w:r>
      <w:proofErr w:type="gramEnd"/>
      <w:r>
        <w:rPr>
          <w:color w:val="auto"/>
          <w:sz w:val="23"/>
          <w:szCs w:val="23"/>
        </w:rPr>
        <w:t xml:space="preserve"> of succession for black Africans, without sensitivity to their wishes and circumstances. He concluded that s. 23 and its regulations are manifestly discriminatory and in breach of the rights to equality in s. 9(3) and dignity in s. 10 of the South African Constitution, and therefore must be struck down. The effect of this order is that not only are the substantive rules governing inheritance provided in the section held to be inconsistent with the Constitution, but also the procedures whereby the estates of black people are treated differently from the estates of white people are held to be inconsistent with the Constitution. </w:t>
      </w:r>
    </w:p>
    <w:p w:rsidR="0081628D" w:rsidRDefault="0081628D" w:rsidP="0081628D">
      <w:pPr>
        <w:pStyle w:val="Default"/>
        <w:rPr>
          <w:color w:val="auto"/>
          <w:sz w:val="23"/>
          <w:szCs w:val="23"/>
        </w:rPr>
      </w:pPr>
      <w:r>
        <w:rPr>
          <w:color w:val="auto"/>
          <w:sz w:val="23"/>
          <w:szCs w:val="23"/>
        </w:rPr>
        <w:t xml:space="preserve">He then considered the African customary law rule of male primogeniture, in the form that it had come to be applied in relation to the inheritance of property. He held that it discriminates unfairly against women and illegitimate children. He accordingly declared it unconstitutional and invalid. </w:t>
      </w:r>
    </w:p>
    <w:p w:rsidR="0081628D" w:rsidRDefault="0081628D" w:rsidP="0081628D">
      <w:pPr>
        <w:pStyle w:val="Default"/>
        <w:rPr>
          <w:color w:val="auto"/>
          <w:sz w:val="23"/>
          <w:szCs w:val="23"/>
        </w:rPr>
      </w:pPr>
      <w:r>
        <w:rPr>
          <w:color w:val="auto"/>
          <w:sz w:val="23"/>
          <w:szCs w:val="23"/>
        </w:rPr>
        <w:t xml:space="preserve">The court held that while it would ordinarily be desirable for courts to develop new rules of African customary law to reflect the living customary law and bring customary law in line with the Constitution, that remedy was not feasible in this matter, given the fact that the rule of male primogeniture is fundamental to customary law and not replicable on a case-by-case basis. </w:t>
      </w:r>
    </w:p>
    <w:p w:rsidR="0081628D" w:rsidRDefault="0081628D" w:rsidP="0081628D">
      <w:pPr>
        <w:pStyle w:val="Default"/>
        <w:rPr>
          <w:color w:val="auto"/>
          <w:sz w:val="23"/>
          <w:szCs w:val="23"/>
        </w:rPr>
      </w:pPr>
      <w:r>
        <w:rPr>
          <w:i/>
          <w:iCs/>
          <w:color w:val="auto"/>
          <w:sz w:val="23"/>
          <w:szCs w:val="23"/>
        </w:rPr>
        <w:t xml:space="preserve">Dissenting opinion </w:t>
      </w:r>
    </w:p>
    <w:p w:rsidR="0081628D" w:rsidRPr="00455A20" w:rsidRDefault="0081628D" w:rsidP="0081628D">
      <w:pPr>
        <w:jc w:val="both"/>
        <w:rPr>
          <w:rFonts w:ascii="Arial" w:hAnsi="Arial" w:cs="Arial"/>
          <w:sz w:val="24"/>
          <w:szCs w:val="24"/>
        </w:rPr>
      </w:pPr>
      <w:r>
        <w:rPr>
          <w:sz w:val="23"/>
          <w:szCs w:val="23"/>
        </w:rPr>
        <w:t xml:space="preserve">Justice </w:t>
      </w:r>
      <w:proofErr w:type="spellStart"/>
      <w:r>
        <w:rPr>
          <w:sz w:val="23"/>
          <w:szCs w:val="23"/>
        </w:rPr>
        <w:t>Ngcobo</w:t>
      </w:r>
      <w:proofErr w:type="spellEnd"/>
      <w:r>
        <w:rPr>
          <w:sz w:val="23"/>
          <w:szCs w:val="23"/>
        </w:rPr>
        <w:t xml:space="preserve"> agreed with the majority that s. 23 of the Black Administration Act together with the regulations made under that Act, and s. 1(4</w:t>
      </w:r>
      <w:proofErr w:type="gramStart"/>
      <w:r>
        <w:rPr>
          <w:sz w:val="23"/>
          <w:szCs w:val="23"/>
        </w:rPr>
        <w:t>)(</w:t>
      </w:r>
      <w:proofErr w:type="gramEnd"/>
      <w:r>
        <w:rPr>
          <w:sz w:val="23"/>
          <w:szCs w:val="23"/>
        </w:rPr>
        <w:t xml:space="preserve">b) of the Intestate Successions Act violated the right to equality and the right to dignity and are therefore unconstitutional. He also agreed that the principle of male primogeniture discriminated unfairly against women. However, stresses the fact that one of the primary purposes of the rule is to determine someone who will take over the responsibilities of the deceased head of the family, he held that the principle of primogeniture does not unfairly discriminate against younger children. Furthermore </w:t>
      </w:r>
      <w:proofErr w:type="spellStart"/>
      <w:r>
        <w:rPr>
          <w:sz w:val="23"/>
          <w:szCs w:val="23"/>
        </w:rPr>
        <w:t>Ngcobo</w:t>
      </w:r>
      <w:proofErr w:type="spellEnd"/>
      <w:r>
        <w:rPr>
          <w:sz w:val="23"/>
          <w:szCs w:val="23"/>
        </w:rPr>
        <w:t xml:space="preserve"> J. submitted that courts have an obligation under the Constitution to develop indigenous law so as to bring it in line with the rights in the Bill of Rights, in particular, the right to equality. He held that the principle of primogeniture should not be struck down but instead should be developed so as to be brought in line with the right to equality, by allowing women to succeed to the deceased as well.</w:t>
      </w:r>
    </w:p>
    <w:p w:rsidR="00547D42" w:rsidRPr="00632CC2" w:rsidRDefault="00547D42" w:rsidP="00094C7B">
      <w:pPr>
        <w:pStyle w:val="Heading1"/>
        <w:ind w:left="720"/>
        <w:jc w:val="both"/>
        <w:rPr>
          <w:rFonts w:ascii="Arial" w:hAnsi="Arial" w:cs="Arial"/>
          <w:b/>
          <w:color w:val="auto"/>
          <w:sz w:val="24"/>
          <w:szCs w:val="24"/>
          <w:lang w:val="en-US"/>
        </w:rPr>
      </w:pPr>
      <w:bookmarkStart w:id="3" w:name="_Toc57128487"/>
      <w:r w:rsidRPr="00632CC2">
        <w:rPr>
          <w:rFonts w:ascii="Arial" w:hAnsi="Arial" w:cs="Arial"/>
          <w:b/>
          <w:color w:val="auto"/>
          <w:sz w:val="24"/>
          <w:szCs w:val="24"/>
          <w:lang w:val="en-US"/>
        </w:rPr>
        <w:t>Question 2</w:t>
      </w:r>
      <w:bookmarkEnd w:id="3"/>
    </w:p>
    <w:p w:rsidR="00547D42" w:rsidRDefault="00547D42" w:rsidP="00094C7B">
      <w:pPr>
        <w:ind w:left="720"/>
        <w:jc w:val="both"/>
        <w:rPr>
          <w:rFonts w:ascii="Arial" w:hAnsi="Arial" w:cs="Arial"/>
          <w:sz w:val="24"/>
          <w:szCs w:val="24"/>
          <w:lang w:val="en-US"/>
        </w:rPr>
      </w:pPr>
    </w:p>
    <w:p w:rsidR="006520EA" w:rsidRDefault="006520EA" w:rsidP="006520EA">
      <w:pPr>
        <w:pStyle w:val="Default"/>
        <w:rPr>
          <w:sz w:val="23"/>
          <w:szCs w:val="23"/>
        </w:rPr>
      </w:pPr>
      <w:proofErr w:type="spellStart"/>
      <w:r>
        <w:rPr>
          <w:b/>
          <w:bCs/>
          <w:i/>
          <w:iCs/>
          <w:sz w:val="23"/>
          <w:szCs w:val="23"/>
        </w:rPr>
        <w:t>Alexkor</w:t>
      </w:r>
      <w:proofErr w:type="spellEnd"/>
      <w:r>
        <w:rPr>
          <w:b/>
          <w:bCs/>
          <w:i/>
          <w:iCs/>
          <w:sz w:val="23"/>
          <w:szCs w:val="23"/>
        </w:rPr>
        <w:t xml:space="preserve"> Ltd and Another v </w:t>
      </w:r>
      <w:proofErr w:type="spellStart"/>
      <w:r>
        <w:rPr>
          <w:b/>
          <w:bCs/>
          <w:i/>
          <w:iCs/>
          <w:sz w:val="23"/>
          <w:szCs w:val="23"/>
        </w:rPr>
        <w:t>Richtersveld</w:t>
      </w:r>
      <w:proofErr w:type="spellEnd"/>
      <w:r>
        <w:rPr>
          <w:b/>
          <w:bCs/>
          <w:i/>
          <w:iCs/>
          <w:sz w:val="23"/>
          <w:szCs w:val="23"/>
        </w:rPr>
        <w:t xml:space="preserve"> Community and Others </w:t>
      </w:r>
      <w:r>
        <w:rPr>
          <w:b/>
          <w:bCs/>
          <w:sz w:val="23"/>
          <w:szCs w:val="23"/>
        </w:rPr>
        <w:t xml:space="preserve">2003 (12) BCLR 1301 (CC) </w:t>
      </w:r>
    </w:p>
    <w:p w:rsidR="006520EA" w:rsidRPr="00632CC2" w:rsidRDefault="006520EA" w:rsidP="006520EA">
      <w:pPr>
        <w:ind w:left="720"/>
        <w:jc w:val="both"/>
        <w:rPr>
          <w:rFonts w:ascii="Arial" w:hAnsi="Arial" w:cs="Arial"/>
          <w:sz w:val="24"/>
          <w:szCs w:val="24"/>
          <w:lang w:val="en-US"/>
        </w:rPr>
      </w:pPr>
      <w:proofErr w:type="gramStart"/>
      <w:r>
        <w:rPr>
          <w:sz w:val="23"/>
          <w:szCs w:val="23"/>
        </w:rPr>
        <w:t>is</w:t>
      </w:r>
      <w:proofErr w:type="gramEnd"/>
      <w:r>
        <w:rPr>
          <w:sz w:val="23"/>
          <w:szCs w:val="23"/>
        </w:rPr>
        <w:t xml:space="preserve"> proof that customary law and common law are equal components of South African law and the time when customary law was viewed with reference to common law was over. The current status of customary law is that of an original and independent system that has its own values and norms.</w:t>
      </w:r>
    </w:p>
    <w:p w:rsidR="006520EA" w:rsidRDefault="006520EA" w:rsidP="006520EA">
      <w:pPr>
        <w:pStyle w:val="Default"/>
        <w:rPr>
          <w:sz w:val="23"/>
          <w:szCs w:val="23"/>
        </w:rPr>
      </w:pPr>
      <w:bookmarkStart w:id="4" w:name="_Toc57128488"/>
      <w:r>
        <w:rPr>
          <w:sz w:val="23"/>
          <w:szCs w:val="23"/>
        </w:rPr>
        <w:t xml:space="preserve">Names of the parties: </w:t>
      </w:r>
      <w:proofErr w:type="spellStart"/>
      <w:r>
        <w:rPr>
          <w:i/>
          <w:iCs/>
          <w:sz w:val="23"/>
          <w:szCs w:val="23"/>
        </w:rPr>
        <w:t>Alexkor</w:t>
      </w:r>
      <w:proofErr w:type="spellEnd"/>
      <w:r>
        <w:rPr>
          <w:i/>
          <w:iCs/>
          <w:sz w:val="23"/>
          <w:szCs w:val="23"/>
        </w:rPr>
        <w:t xml:space="preserve"> v </w:t>
      </w:r>
      <w:proofErr w:type="spellStart"/>
      <w:r>
        <w:rPr>
          <w:i/>
          <w:iCs/>
          <w:sz w:val="23"/>
          <w:szCs w:val="23"/>
        </w:rPr>
        <w:t>Richersveld</w:t>
      </w:r>
      <w:proofErr w:type="spellEnd"/>
      <w:r>
        <w:rPr>
          <w:i/>
          <w:iCs/>
          <w:sz w:val="23"/>
          <w:szCs w:val="23"/>
        </w:rPr>
        <w:t xml:space="preserve"> Community </w:t>
      </w:r>
    </w:p>
    <w:p w:rsidR="006520EA" w:rsidRDefault="006520EA" w:rsidP="006520EA">
      <w:pPr>
        <w:pStyle w:val="Default"/>
        <w:rPr>
          <w:sz w:val="23"/>
          <w:szCs w:val="23"/>
        </w:rPr>
      </w:pPr>
      <w:r>
        <w:rPr>
          <w:sz w:val="23"/>
          <w:szCs w:val="23"/>
        </w:rPr>
        <w:t xml:space="preserve">Legal question: The </w:t>
      </w:r>
      <w:proofErr w:type="spellStart"/>
      <w:r>
        <w:rPr>
          <w:sz w:val="23"/>
          <w:szCs w:val="23"/>
        </w:rPr>
        <w:t>ConCourt</w:t>
      </w:r>
      <w:proofErr w:type="spellEnd"/>
      <w:r>
        <w:rPr>
          <w:sz w:val="23"/>
          <w:szCs w:val="23"/>
        </w:rPr>
        <w:t xml:space="preserve"> was asked whether the claim of indigenous people to their title on indigenous land endures and remains valid after the land had been placed under corporate ownership by a colonial statute; and whether indigenous law should continue being viewed through the lens of the common law. </w:t>
      </w:r>
    </w:p>
    <w:p w:rsidR="006520EA" w:rsidRDefault="006520EA" w:rsidP="006C69C3">
      <w:pPr>
        <w:pStyle w:val="Default"/>
        <w:rPr>
          <w:color w:val="auto"/>
          <w:sz w:val="23"/>
          <w:szCs w:val="23"/>
        </w:rPr>
      </w:pPr>
      <w:r>
        <w:rPr>
          <w:sz w:val="28"/>
          <w:szCs w:val="28"/>
        </w:rPr>
        <w:t xml:space="preserve">Reasons for judgment: Indigenous people retain their indigenous title over indigenous land and colonial legislation cannot extinguish that title. The </w:t>
      </w:r>
      <w:r>
        <w:rPr>
          <w:sz w:val="23"/>
          <w:szCs w:val="23"/>
        </w:rPr>
        <w:t xml:space="preserve">rights of indigenous people over their land must be determined with reference to indigenous law; </w:t>
      </w:r>
      <w:r>
        <w:rPr>
          <w:sz w:val="23"/>
          <w:szCs w:val="23"/>
        </w:rPr>
        <w:lastRenderedPageBreak/>
        <w:t xml:space="preserve">not common law. Indigenous law is recognised by the Constitution as LCP4804/201/2/2018 </w:t>
      </w:r>
      <w:r w:rsidR="006C69C3">
        <w:rPr>
          <w:sz w:val="23"/>
          <w:szCs w:val="23"/>
        </w:rPr>
        <w:t xml:space="preserve"> </w:t>
      </w:r>
      <w:r>
        <w:rPr>
          <w:color w:val="auto"/>
          <w:sz w:val="23"/>
          <w:szCs w:val="23"/>
        </w:rPr>
        <w:t xml:space="preserve"> distinct legal system which should be viewed with its own lens, not that of the common law. </w:t>
      </w:r>
    </w:p>
    <w:p w:rsidR="006520EA" w:rsidRDefault="006520EA" w:rsidP="006520EA">
      <w:pPr>
        <w:pStyle w:val="Heading1"/>
        <w:ind w:left="720"/>
        <w:jc w:val="both"/>
        <w:rPr>
          <w:color w:val="auto"/>
          <w:sz w:val="23"/>
          <w:szCs w:val="23"/>
        </w:rPr>
      </w:pPr>
      <w:r>
        <w:rPr>
          <w:color w:val="auto"/>
          <w:sz w:val="23"/>
          <w:szCs w:val="23"/>
        </w:rPr>
        <w:t xml:space="preserve">Decision of the court: The indigenous title of the </w:t>
      </w:r>
      <w:proofErr w:type="spellStart"/>
      <w:r>
        <w:rPr>
          <w:color w:val="auto"/>
          <w:sz w:val="23"/>
          <w:szCs w:val="23"/>
        </w:rPr>
        <w:t>Richersveld</w:t>
      </w:r>
      <w:proofErr w:type="spellEnd"/>
      <w:r>
        <w:rPr>
          <w:color w:val="auto"/>
          <w:sz w:val="23"/>
          <w:szCs w:val="23"/>
        </w:rPr>
        <w:t xml:space="preserve"> Community over their indigenous land was confirmed and the appeal by </w:t>
      </w:r>
      <w:proofErr w:type="spellStart"/>
      <w:r>
        <w:rPr>
          <w:color w:val="auto"/>
          <w:sz w:val="23"/>
          <w:szCs w:val="23"/>
        </w:rPr>
        <w:t>Alexkor</w:t>
      </w:r>
      <w:proofErr w:type="spellEnd"/>
      <w:r>
        <w:rPr>
          <w:color w:val="auto"/>
          <w:sz w:val="23"/>
          <w:szCs w:val="23"/>
        </w:rPr>
        <w:t xml:space="preserve"> was dismissed.</w:t>
      </w:r>
    </w:p>
    <w:p w:rsidR="00307981" w:rsidRPr="00307981" w:rsidRDefault="00307981" w:rsidP="00307981">
      <w:pPr>
        <w:autoSpaceDE w:val="0"/>
        <w:autoSpaceDN w:val="0"/>
        <w:adjustRightInd w:val="0"/>
        <w:spacing w:after="0" w:line="240" w:lineRule="auto"/>
        <w:rPr>
          <w:rFonts w:ascii="Arial" w:hAnsi="Arial" w:cs="Arial"/>
          <w:color w:val="000000"/>
          <w:sz w:val="24"/>
          <w:szCs w:val="24"/>
        </w:rPr>
      </w:pPr>
    </w:p>
    <w:p w:rsidR="00307981" w:rsidRPr="00307981" w:rsidRDefault="00307981" w:rsidP="00307981">
      <w:pPr>
        <w:numPr>
          <w:ilvl w:val="0"/>
          <w:numId w:val="9"/>
        </w:numPr>
        <w:autoSpaceDE w:val="0"/>
        <w:autoSpaceDN w:val="0"/>
        <w:adjustRightInd w:val="0"/>
        <w:spacing w:after="0" w:line="240" w:lineRule="auto"/>
        <w:rPr>
          <w:rFonts w:ascii="Arial" w:hAnsi="Arial" w:cs="Arial"/>
          <w:color w:val="000000"/>
          <w:sz w:val="28"/>
          <w:szCs w:val="28"/>
        </w:rPr>
      </w:pPr>
      <w:r w:rsidRPr="00307981">
        <w:rPr>
          <w:rFonts w:ascii="Arial" w:hAnsi="Arial" w:cs="Arial"/>
          <w:color w:val="000000"/>
          <w:sz w:val="28"/>
          <w:szCs w:val="28"/>
        </w:rPr>
        <w:t xml:space="preserve">In </w:t>
      </w:r>
      <w:proofErr w:type="spellStart"/>
      <w:r w:rsidRPr="00307981">
        <w:rPr>
          <w:rFonts w:ascii="Arial" w:hAnsi="Arial" w:cs="Arial"/>
          <w:i/>
          <w:iCs/>
          <w:color w:val="000000"/>
          <w:sz w:val="28"/>
          <w:szCs w:val="28"/>
        </w:rPr>
        <w:t>Alexkor</w:t>
      </w:r>
      <w:proofErr w:type="spellEnd"/>
      <w:r w:rsidRPr="00307981">
        <w:rPr>
          <w:rFonts w:ascii="Arial" w:hAnsi="Arial" w:cs="Arial"/>
          <w:i/>
          <w:iCs/>
          <w:color w:val="000000"/>
          <w:sz w:val="28"/>
          <w:szCs w:val="28"/>
        </w:rPr>
        <w:t xml:space="preserve"> Ltd and Another v </w:t>
      </w:r>
      <w:proofErr w:type="spellStart"/>
      <w:r w:rsidRPr="00307981">
        <w:rPr>
          <w:rFonts w:ascii="Arial" w:hAnsi="Arial" w:cs="Arial"/>
          <w:i/>
          <w:iCs/>
          <w:color w:val="000000"/>
          <w:sz w:val="28"/>
          <w:szCs w:val="28"/>
        </w:rPr>
        <w:t>Richtersveld</w:t>
      </w:r>
      <w:proofErr w:type="spellEnd"/>
      <w:r w:rsidRPr="00307981">
        <w:rPr>
          <w:rFonts w:ascii="Arial" w:hAnsi="Arial" w:cs="Arial"/>
          <w:i/>
          <w:iCs/>
          <w:color w:val="000000"/>
          <w:sz w:val="28"/>
          <w:szCs w:val="28"/>
        </w:rPr>
        <w:t xml:space="preserve"> Community and Others </w:t>
      </w:r>
      <w:r w:rsidRPr="00307981">
        <w:rPr>
          <w:rFonts w:ascii="Arial" w:hAnsi="Arial" w:cs="Arial"/>
          <w:color w:val="000000"/>
          <w:sz w:val="28"/>
          <w:szCs w:val="28"/>
        </w:rPr>
        <w:t>2003 (12) BCLR 1301 (CC) issued a landmark definition of the customary law of the 21</w:t>
      </w:r>
      <w:r w:rsidRPr="00307981">
        <w:rPr>
          <w:rFonts w:ascii="Arial" w:hAnsi="Arial" w:cs="Arial"/>
          <w:color w:val="000000"/>
          <w:sz w:val="18"/>
          <w:szCs w:val="18"/>
        </w:rPr>
        <w:t xml:space="preserve">st </w:t>
      </w:r>
      <w:r w:rsidRPr="00307981">
        <w:rPr>
          <w:rFonts w:ascii="Arial" w:hAnsi="Arial" w:cs="Arial"/>
          <w:color w:val="000000"/>
          <w:sz w:val="28"/>
          <w:szCs w:val="28"/>
        </w:rPr>
        <w:t xml:space="preserve">century when it unequivocally stated the jurisprudential equality of customary law and common law and finally jettisoned the repugnancy clause by decrying the previous practice of viewing the former through the lens of the latter. Hence customary </w:t>
      </w:r>
    </w:p>
    <w:p w:rsidR="00307981" w:rsidRPr="00307981" w:rsidRDefault="00307981" w:rsidP="00307981">
      <w:pPr>
        <w:autoSpaceDE w:val="0"/>
        <w:autoSpaceDN w:val="0"/>
        <w:adjustRightInd w:val="0"/>
        <w:spacing w:after="0" w:line="240" w:lineRule="auto"/>
        <w:rPr>
          <w:rFonts w:ascii="Arial" w:hAnsi="Arial" w:cs="Arial"/>
          <w:color w:val="000000"/>
          <w:sz w:val="28"/>
          <w:szCs w:val="28"/>
        </w:rPr>
      </w:pPr>
    </w:p>
    <w:p w:rsidR="00307981" w:rsidRPr="00307981" w:rsidRDefault="00307981" w:rsidP="00307981">
      <w:pPr>
        <w:pageBreakBefore/>
        <w:autoSpaceDE w:val="0"/>
        <w:autoSpaceDN w:val="0"/>
        <w:adjustRightInd w:val="0"/>
        <w:spacing w:after="0" w:line="240" w:lineRule="auto"/>
        <w:rPr>
          <w:rFonts w:ascii="Arial" w:hAnsi="Arial" w:cs="Arial"/>
          <w:color w:val="000000"/>
          <w:sz w:val="28"/>
          <w:szCs w:val="28"/>
        </w:rPr>
      </w:pPr>
    </w:p>
    <w:p w:rsidR="00307981" w:rsidRPr="00307981" w:rsidRDefault="00307981" w:rsidP="00307981">
      <w:pPr>
        <w:numPr>
          <w:ilvl w:val="0"/>
          <w:numId w:val="10"/>
        </w:numPr>
        <w:autoSpaceDE w:val="0"/>
        <w:autoSpaceDN w:val="0"/>
        <w:adjustRightInd w:val="0"/>
        <w:spacing w:after="0" w:line="240" w:lineRule="auto"/>
        <w:rPr>
          <w:rFonts w:ascii="Arial" w:hAnsi="Arial" w:cs="Arial"/>
          <w:color w:val="000000"/>
          <w:sz w:val="28"/>
          <w:szCs w:val="28"/>
        </w:rPr>
      </w:pPr>
      <w:r w:rsidRPr="00307981">
        <w:rPr>
          <w:rFonts w:ascii="Arial" w:hAnsi="Arial" w:cs="Arial"/>
          <w:color w:val="000000"/>
          <w:sz w:val="28"/>
          <w:szCs w:val="28"/>
        </w:rPr>
        <w:t xml:space="preserve">law must now be conceptualised through its own normative values and epistemological underpinnings, as opposed to previous practice of having to be consistent with Western standards of propriety…………………………………………(5) </w:t>
      </w:r>
    </w:p>
    <w:p w:rsidR="00307981" w:rsidRDefault="00307981" w:rsidP="00307981"/>
    <w:p w:rsidR="009D3B5C" w:rsidRDefault="009D3B5C" w:rsidP="009D3B5C">
      <w:pPr>
        <w:pStyle w:val="Default"/>
        <w:rPr>
          <w:sz w:val="23"/>
          <w:szCs w:val="23"/>
        </w:rPr>
      </w:pPr>
      <w:r>
        <w:rPr>
          <w:sz w:val="23"/>
          <w:szCs w:val="23"/>
        </w:rPr>
        <w:t xml:space="preserve">If customary law is applied in terms of the principle developed in </w:t>
      </w:r>
      <w:proofErr w:type="spellStart"/>
      <w:r>
        <w:rPr>
          <w:i/>
          <w:iCs/>
          <w:sz w:val="23"/>
          <w:szCs w:val="23"/>
        </w:rPr>
        <w:t>Alexkor</w:t>
      </w:r>
      <w:proofErr w:type="spellEnd"/>
      <w:r>
        <w:rPr>
          <w:i/>
          <w:iCs/>
          <w:sz w:val="23"/>
          <w:szCs w:val="23"/>
        </w:rPr>
        <w:t xml:space="preserve"> Ltd and Another v </w:t>
      </w:r>
      <w:proofErr w:type="spellStart"/>
      <w:r>
        <w:rPr>
          <w:i/>
          <w:iCs/>
          <w:sz w:val="23"/>
          <w:szCs w:val="23"/>
        </w:rPr>
        <w:t>Richtersveld</w:t>
      </w:r>
      <w:proofErr w:type="spellEnd"/>
      <w:r>
        <w:rPr>
          <w:i/>
          <w:iCs/>
          <w:sz w:val="23"/>
          <w:szCs w:val="23"/>
        </w:rPr>
        <w:t xml:space="preserve"> Community and Others </w:t>
      </w:r>
      <w:r>
        <w:rPr>
          <w:sz w:val="23"/>
          <w:szCs w:val="23"/>
        </w:rPr>
        <w:t xml:space="preserve">2003 (12) BCLR 1301 (CC) (the application of customary LCP4804/201 </w:t>
      </w:r>
    </w:p>
    <w:p w:rsidR="009D3B5C" w:rsidRDefault="009D3B5C" w:rsidP="009D3B5C">
      <w:pPr>
        <w:pStyle w:val="Default"/>
        <w:rPr>
          <w:color w:val="auto"/>
          <w:sz w:val="23"/>
          <w:szCs w:val="23"/>
        </w:rPr>
      </w:pPr>
      <w:r>
        <w:rPr>
          <w:color w:val="auto"/>
          <w:sz w:val="23"/>
          <w:szCs w:val="23"/>
        </w:rPr>
        <w:t xml:space="preserve">5 </w:t>
      </w:r>
    </w:p>
    <w:p w:rsidR="009D3B5C" w:rsidRDefault="009D3B5C" w:rsidP="009D3B5C">
      <w:pPr>
        <w:pStyle w:val="Default"/>
        <w:rPr>
          <w:color w:val="auto"/>
        </w:rPr>
      </w:pPr>
    </w:p>
    <w:p w:rsidR="009D3B5C" w:rsidRPr="00307981" w:rsidRDefault="009D3B5C" w:rsidP="009D3B5C">
      <w:proofErr w:type="gramStart"/>
      <w:r>
        <w:rPr>
          <w:sz w:val="23"/>
          <w:szCs w:val="23"/>
        </w:rPr>
        <w:t>law</w:t>
      </w:r>
      <w:proofErr w:type="gramEnd"/>
      <w:r>
        <w:rPr>
          <w:sz w:val="23"/>
          <w:szCs w:val="23"/>
        </w:rPr>
        <w:t xml:space="preserve"> freely from common law lens). According to this case customary law as recognised by the Constitution no longer has to be viewed with the lens of the common law. So, customary law must be viewed from the perspective of its own value system, which requires the maintenance of the lineage of the previous traditional leader in the appointment process. Hence the Act places the responsibility to identify the successor on the shoulders of the royal family. As the royal family has acted, X will most likely succeed.</w:t>
      </w:r>
    </w:p>
    <w:p w:rsidR="00547D42" w:rsidRPr="00632CC2" w:rsidRDefault="00547D42" w:rsidP="00094C7B">
      <w:pPr>
        <w:pStyle w:val="Heading1"/>
        <w:ind w:left="720"/>
        <w:jc w:val="both"/>
        <w:rPr>
          <w:rFonts w:ascii="Arial" w:hAnsi="Arial" w:cs="Arial"/>
          <w:b/>
          <w:color w:val="auto"/>
          <w:sz w:val="24"/>
          <w:szCs w:val="24"/>
          <w:lang w:val="en-US"/>
        </w:rPr>
      </w:pPr>
      <w:bookmarkStart w:id="5" w:name="_GoBack"/>
      <w:bookmarkEnd w:id="5"/>
      <w:r w:rsidRPr="00632CC2">
        <w:rPr>
          <w:rFonts w:ascii="Arial" w:hAnsi="Arial" w:cs="Arial"/>
          <w:b/>
          <w:color w:val="auto"/>
          <w:sz w:val="24"/>
          <w:szCs w:val="24"/>
          <w:lang w:val="en-US"/>
        </w:rPr>
        <w:t>Question 3</w:t>
      </w:r>
      <w:bookmarkEnd w:id="4"/>
    </w:p>
    <w:p w:rsidR="00547D42" w:rsidRPr="00632CC2" w:rsidRDefault="00547D42" w:rsidP="00094C7B">
      <w:pPr>
        <w:ind w:left="720"/>
        <w:jc w:val="both"/>
        <w:rPr>
          <w:rFonts w:ascii="Arial" w:hAnsi="Arial" w:cs="Arial"/>
          <w:sz w:val="24"/>
          <w:szCs w:val="24"/>
          <w:lang w:val="en-US"/>
        </w:rPr>
      </w:pPr>
    </w:p>
    <w:p w:rsidR="00F26B0F" w:rsidRPr="00632CC2" w:rsidRDefault="00F26B0F" w:rsidP="00094C7B">
      <w:pPr>
        <w:pStyle w:val="ListParagraph"/>
        <w:numPr>
          <w:ilvl w:val="0"/>
          <w:numId w:val="3"/>
        </w:numPr>
        <w:ind w:left="1440"/>
        <w:jc w:val="both"/>
        <w:outlineLvl w:val="1"/>
        <w:rPr>
          <w:rFonts w:ascii="Arial" w:hAnsi="Arial" w:cs="Arial"/>
          <w:sz w:val="24"/>
          <w:szCs w:val="24"/>
          <w:lang w:val="en-US"/>
        </w:rPr>
      </w:pPr>
      <w:bookmarkStart w:id="6" w:name="_Toc57128489"/>
      <w:bookmarkEnd w:id="6"/>
    </w:p>
    <w:p w:rsidR="004F7548" w:rsidRDefault="004F7548" w:rsidP="00094C7B">
      <w:pPr>
        <w:pStyle w:val="ListParagraph"/>
        <w:ind w:left="1440"/>
        <w:jc w:val="both"/>
        <w:rPr>
          <w:rFonts w:ascii="Arial" w:hAnsi="Arial" w:cs="Arial"/>
          <w:sz w:val="24"/>
          <w:szCs w:val="24"/>
          <w:lang w:val="en-US"/>
        </w:rPr>
      </w:pPr>
      <w:r>
        <w:rPr>
          <w:rFonts w:ascii="Arial" w:hAnsi="Arial" w:cs="Arial"/>
          <w:sz w:val="24"/>
          <w:szCs w:val="24"/>
          <w:lang w:val="en-US"/>
        </w:rPr>
        <w:t>A brief look</w:t>
      </w:r>
      <w:r w:rsidR="00113F50">
        <w:rPr>
          <w:rFonts w:ascii="Arial" w:hAnsi="Arial" w:cs="Arial"/>
          <w:sz w:val="24"/>
          <w:szCs w:val="24"/>
          <w:lang w:val="en-US"/>
        </w:rPr>
        <w:t xml:space="preserve"> into history will gives context to the benefit that woman received</w:t>
      </w:r>
      <w:r w:rsidR="00750159">
        <w:rPr>
          <w:rFonts w:ascii="Arial" w:hAnsi="Arial" w:cs="Arial"/>
          <w:sz w:val="24"/>
          <w:szCs w:val="24"/>
          <w:lang w:val="en-US"/>
        </w:rPr>
        <w:t xml:space="preserve">. </w:t>
      </w:r>
      <w:r w:rsidR="00302DD1">
        <w:rPr>
          <w:rFonts w:ascii="Arial" w:hAnsi="Arial" w:cs="Arial"/>
          <w:sz w:val="24"/>
          <w:szCs w:val="24"/>
          <w:lang w:val="en-US"/>
        </w:rPr>
        <w:t xml:space="preserve">Section 22(6) </w:t>
      </w:r>
      <w:r w:rsidR="00B40D39">
        <w:rPr>
          <w:rFonts w:ascii="Arial" w:hAnsi="Arial" w:cs="Arial"/>
          <w:sz w:val="24"/>
          <w:szCs w:val="24"/>
          <w:lang w:val="en-US"/>
        </w:rPr>
        <w:t xml:space="preserve">of the </w:t>
      </w:r>
      <w:r w:rsidR="00B40D39">
        <w:rPr>
          <w:rFonts w:ascii="Arial" w:hAnsi="Arial" w:cs="Arial"/>
          <w:color w:val="040404"/>
          <w:sz w:val="20"/>
          <w:szCs w:val="20"/>
          <w:shd w:val="clear" w:color="auto" w:fill="FFFFFF"/>
        </w:rPr>
        <w:t>Black Administration Act 38 of 1927</w:t>
      </w:r>
    </w:p>
    <w:p w:rsidR="00750159" w:rsidRDefault="00750159" w:rsidP="00094C7B">
      <w:pPr>
        <w:pStyle w:val="ListParagraph"/>
        <w:ind w:left="1440"/>
        <w:jc w:val="both"/>
        <w:rPr>
          <w:rFonts w:ascii="Arial" w:hAnsi="Arial" w:cs="Arial"/>
          <w:sz w:val="24"/>
          <w:szCs w:val="24"/>
          <w:lang w:val="en-US"/>
        </w:rPr>
      </w:pPr>
    </w:p>
    <w:p w:rsidR="00750159" w:rsidRPr="00A063EF" w:rsidRDefault="00750159" w:rsidP="00094C7B">
      <w:pPr>
        <w:pStyle w:val="ListParagraph"/>
        <w:ind w:left="1440"/>
        <w:jc w:val="both"/>
        <w:rPr>
          <w:rFonts w:ascii="Arial" w:hAnsi="Arial" w:cs="Arial"/>
          <w:color w:val="FF0000"/>
          <w:sz w:val="24"/>
          <w:szCs w:val="24"/>
          <w:lang w:val="en-US"/>
        </w:rPr>
      </w:pPr>
      <w:r w:rsidRPr="00A063EF">
        <w:rPr>
          <w:rFonts w:ascii="Arial" w:hAnsi="Arial" w:cs="Arial"/>
          <w:color w:val="FF0000"/>
          <w:sz w:val="20"/>
          <w:szCs w:val="20"/>
          <w:shd w:val="clear" w:color="auto" w:fill="FFFFFF"/>
        </w:rPr>
        <w:t>Before 1988, civil marriages by black persons were governed by Section 22(6) of the Black Administration Act 38 of 1927. In terms of the Act, black marriages that took place before 1988 were automatically out of Community of Property (i.e. with the exclusion of profit and loss). If a couple wished to be married in Community of Property, they were required to declare this, jointly, before a magistrate, Bantu affairs commissioner or marriage officer. Such declaration had to be made at least one month prior to the marriage ceremony. This was, however, only possible where a husband was not already a party to a customary union with another woman. Section 22(6) was repealed in 1988 by the amendment of the Act, bringing black marriages in line with civil marriages recognised under the Marriages Act of 1961; i.e. black marriages are now automatically in Community of Property.</w:t>
      </w:r>
    </w:p>
    <w:p w:rsidR="00750159" w:rsidRDefault="00750159" w:rsidP="00094C7B">
      <w:pPr>
        <w:pStyle w:val="ListParagraph"/>
        <w:ind w:left="1440"/>
        <w:jc w:val="both"/>
        <w:rPr>
          <w:rFonts w:ascii="Arial" w:hAnsi="Arial" w:cs="Arial"/>
          <w:sz w:val="24"/>
          <w:szCs w:val="24"/>
          <w:lang w:val="en-US"/>
        </w:rPr>
      </w:pPr>
    </w:p>
    <w:p w:rsidR="00113F50" w:rsidRDefault="00113F50" w:rsidP="00094C7B">
      <w:pPr>
        <w:pStyle w:val="ListParagraph"/>
        <w:ind w:left="1440"/>
        <w:jc w:val="both"/>
        <w:rPr>
          <w:rFonts w:ascii="Arial" w:hAnsi="Arial" w:cs="Arial"/>
          <w:sz w:val="24"/>
          <w:szCs w:val="24"/>
          <w:lang w:val="en-US"/>
        </w:rPr>
      </w:pPr>
    </w:p>
    <w:p w:rsidR="003D74B7" w:rsidRDefault="00495773" w:rsidP="00094C7B">
      <w:pPr>
        <w:pStyle w:val="ListParagraph"/>
        <w:ind w:left="1440"/>
        <w:jc w:val="both"/>
        <w:rPr>
          <w:rFonts w:ascii="Arial" w:hAnsi="Arial" w:cs="Arial"/>
          <w:sz w:val="24"/>
          <w:szCs w:val="24"/>
          <w:lang w:val="en-US"/>
        </w:rPr>
      </w:pPr>
      <w:r w:rsidRPr="00632CC2">
        <w:rPr>
          <w:rFonts w:ascii="Arial" w:hAnsi="Arial" w:cs="Arial"/>
          <w:sz w:val="24"/>
          <w:szCs w:val="24"/>
          <w:lang w:val="en-US"/>
        </w:rPr>
        <w:t xml:space="preserve">The </w:t>
      </w:r>
      <w:r w:rsidR="00BB7AF9" w:rsidRPr="00632CC2">
        <w:rPr>
          <w:rFonts w:ascii="Arial" w:hAnsi="Arial" w:cs="Arial"/>
          <w:sz w:val="24"/>
          <w:szCs w:val="24"/>
          <w:lang w:val="en-US"/>
        </w:rPr>
        <w:t xml:space="preserve">Question before the court was whether Section 7(6) </w:t>
      </w:r>
      <w:r w:rsidR="00E04BA2">
        <w:rPr>
          <w:rFonts w:ascii="Arial" w:hAnsi="Arial" w:cs="Arial"/>
          <w:sz w:val="24"/>
          <w:szCs w:val="24"/>
          <w:lang w:val="en-US"/>
        </w:rPr>
        <w:t xml:space="preserve">of </w:t>
      </w:r>
      <w:r w:rsidR="00E04BA2" w:rsidRPr="00E04BA2">
        <w:rPr>
          <w:rFonts w:ascii="Arial" w:hAnsi="Arial" w:cs="Arial"/>
          <w:b/>
          <w:sz w:val="24"/>
          <w:szCs w:val="24"/>
          <w:lang w:val="en-US"/>
        </w:rPr>
        <w:t>RCMA</w:t>
      </w:r>
      <w:r w:rsidR="00E04BA2">
        <w:rPr>
          <w:rFonts w:ascii="Arial" w:hAnsi="Arial" w:cs="Arial"/>
          <w:sz w:val="24"/>
          <w:szCs w:val="24"/>
          <w:lang w:val="en-US"/>
        </w:rPr>
        <w:t xml:space="preserve"> </w:t>
      </w:r>
      <w:r w:rsidR="00BB7AF9" w:rsidRPr="00632CC2">
        <w:rPr>
          <w:rFonts w:ascii="Arial" w:hAnsi="Arial" w:cs="Arial"/>
          <w:sz w:val="24"/>
          <w:szCs w:val="24"/>
          <w:lang w:val="en-US"/>
        </w:rPr>
        <w:t>imposed on the husband the requirement of the 1</w:t>
      </w:r>
      <w:r w:rsidR="00BB7AF9" w:rsidRPr="00632CC2">
        <w:rPr>
          <w:rFonts w:ascii="Arial" w:hAnsi="Arial" w:cs="Arial"/>
          <w:sz w:val="24"/>
          <w:szCs w:val="24"/>
          <w:vertAlign w:val="superscript"/>
          <w:lang w:val="en-US"/>
        </w:rPr>
        <w:t>st</w:t>
      </w:r>
      <w:r w:rsidR="00BB7AF9" w:rsidRPr="00632CC2">
        <w:rPr>
          <w:rFonts w:ascii="Arial" w:hAnsi="Arial" w:cs="Arial"/>
          <w:sz w:val="24"/>
          <w:szCs w:val="24"/>
          <w:lang w:val="en-US"/>
        </w:rPr>
        <w:t xml:space="preserve"> wife </w:t>
      </w:r>
      <w:r w:rsidR="008C1B1C" w:rsidRPr="00632CC2">
        <w:rPr>
          <w:rFonts w:ascii="Arial" w:hAnsi="Arial" w:cs="Arial"/>
          <w:sz w:val="24"/>
          <w:szCs w:val="24"/>
          <w:lang w:val="en-US"/>
        </w:rPr>
        <w:t>to enter into a valid 2</w:t>
      </w:r>
      <w:r w:rsidR="008C1B1C" w:rsidRPr="00632CC2">
        <w:rPr>
          <w:rFonts w:ascii="Arial" w:hAnsi="Arial" w:cs="Arial"/>
          <w:sz w:val="24"/>
          <w:szCs w:val="24"/>
          <w:vertAlign w:val="superscript"/>
          <w:lang w:val="en-US"/>
        </w:rPr>
        <w:t>nd</w:t>
      </w:r>
      <w:r w:rsidR="008C1B1C" w:rsidRPr="00632CC2">
        <w:rPr>
          <w:rFonts w:ascii="Arial" w:hAnsi="Arial" w:cs="Arial"/>
          <w:sz w:val="24"/>
          <w:szCs w:val="24"/>
          <w:lang w:val="en-US"/>
        </w:rPr>
        <w:t xml:space="preserve"> marriage</w:t>
      </w:r>
      <w:r w:rsidR="001C572E" w:rsidRPr="00632CC2">
        <w:rPr>
          <w:rFonts w:ascii="Arial" w:hAnsi="Arial" w:cs="Arial"/>
          <w:sz w:val="24"/>
          <w:szCs w:val="24"/>
          <w:lang w:val="en-US"/>
        </w:rPr>
        <w:t xml:space="preserve">, even though this section only deals with the matrimonial </w:t>
      </w:r>
      <w:r w:rsidR="00BA1AA7" w:rsidRPr="00632CC2">
        <w:rPr>
          <w:rFonts w:ascii="Arial" w:hAnsi="Arial" w:cs="Arial"/>
          <w:sz w:val="24"/>
          <w:szCs w:val="24"/>
          <w:lang w:val="en-US"/>
        </w:rPr>
        <w:t>syst</w:t>
      </w:r>
      <w:r w:rsidR="002E2D4C">
        <w:rPr>
          <w:rFonts w:ascii="Arial" w:hAnsi="Arial" w:cs="Arial"/>
          <w:sz w:val="24"/>
          <w:szCs w:val="24"/>
          <w:lang w:val="en-US"/>
        </w:rPr>
        <w:t>em used in a customary marriage.</w:t>
      </w:r>
      <w:r w:rsidR="002E2D4C">
        <w:rPr>
          <w:rStyle w:val="FootnoteReference"/>
          <w:rFonts w:ascii="Arial" w:hAnsi="Arial" w:cs="Arial"/>
          <w:sz w:val="24"/>
          <w:szCs w:val="24"/>
          <w:lang w:val="en-US"/>
        </w:rPr>
        <w:footnoteReference w:id="1"/>
      </w:r>
      <w:r w:rsidR="00907794">
        <w:rPr>
          <w:rFonts w:ascii="Arial" w:hAnsi="Arial" w:cs="Arial"/>
          <w:sz w:val="24"/>
          <w:szCs w:val="24"/>
          <w:lang w:val="en-US"/>
        </w:rPr>
        <w:t xml:space="preserve"> The </w:t>
      </w:r>
      <w:r w:rsidR="00B22E21">
        <w:rPr>
          <w:rFonts w:ascii="Arial" w:hAnsi="Arial" w:cs="Arial"/>
          <w:sz w:val="24"/>
          <w:szCs w:val="24"/>
          <w:lang w:val="en-US"/>
        </w:rPr>
        <w:t>court decided that</w:t>
      </w:r>
      <w:r w:rsidR="007225CE">
        <w:rPr>
          <w:rFonts w:ascii="Arial" w:hAnsi="Arial" w:cs="Arial"/>
          <w:sz w:val="24"/>
          <w:szCs w:val="24"/>
          <w:lang w:val="en-US"/>
        </w:rPr>
        <w:t xml:space="preserve"> the marriage is indeed a valid marriage </w:t>
      </w:r>
      <w:r w:rsidR="00E04BA2">
        <w:rPr>
          <w:rFonts w:ascii="Arial" w:hAnsi="Arial" w:cs="Arial"/>
          <w:sz w:val="24"/>
          <w:szCs w:val="24"/>
          <w:lang w:val="en-US"/>
        </w:rPr>
        <w:t xml:space="preserve">although the matrimonial system that will be used is a </w:t>
      </w:r>
      <w:r w:rsidR="00094C7B">
        <w:rPr>
          <w:rFonts w:ascii="Arial" w:hAnsi="Arial" w:cs="Arial"/>
          <w:sz w:val="24"/>
          <w:szCs w:val="24"/>
          <w:lang w:val="en-US"/>
        </w:rPr>
        <w:t>marriage out of community of p</w:t>
      </w:r>
      <w:r w:rsidR="00B22E21">
        <w:rPr>
          <w:rFonts w:ascii="Arial" w:hAnsi="Arial" w:cs="Arial"/>
          <w:sz w:val="24"/>
          <w:szCs w:val="24"/>
          <w:lang w:val="en-US"/>
        </w:rPr>
        <w:t>roperty as consent was not sort.</w:t>
      </w:r>
      <w:r w:rsidR="00B22E21">
        <w:rPr>
          <w:rStyle w:val="FootnoteReference"/>
          <w:rFonts w:ascii="Arial" w:hAnsi="Arial" w:cs="Arial"/>
          <w:sz w:val="24"/>
          <w:szCs w:val="24"/>
          <w:lang w:val="en-US"/>
        </w:rPr>
        <w:footnoteReference w:id="2"/>
      </w:r>
      <w:r w:rsidR="00E87962">
        <w:rPr>
          <w:rFonts w:ascii="Arial" w:hAnsi="Arial" w:cs="Arial"/>
          <w:sz w:val="24"/>
          <w:szCs w:val="24"/>
          <w:lang w:val="en-US"/>
        </w:rPr>
        <w:t xml:space="preserve"> </w:t>
      </w:r>
    </w:p>
    <w:p w:rsidR="00CA2C61" w:rsidRDefault="00E87962" w:rsidP="00B84DDC">
      <w:pPr>
        <w:pStyle w:val="ListParagraph"/>
        <w:ind w:left="1440"/>
        <w:jc w:val="both"/>
        <w:rPr>
          <w:rFonts w:ascii="Arial" w:hAnsi="Arial" w:cs="Arial"/>
          <w:sz w:val="24"/>
          <w:szCs w:val="24"/>
          <w:lang w:val="en-US"/>
        </w:rPr>
      </w:pPr>
      <w:r>
        <w:rPr>
          <w:rFonts w:ascii="Arial" w:hAnsi="Arial" w:cs="Arial"/>
          <w:sz w:val="24"/>
          <w:szCs w:val="24"/>
          <w:lang w:val="en-US"/>
        </w:rPr>
        <w:lastRenderedPageBreak/>
        <w:t xml:space="preserve">The appellant’s marriage complies with section 3 of </w:t>
      </w:r>
      <w:r w:rsidRPr="00E87962">
        <w:rPr>
          <w:rFonts w:ascii="Arial" w:hAnsi="Arial" w:cs="Arial"/>
          <w:b/>
          <w:sz w:val="24"/>
          <w:szCs w:val="24"/>
          <w:lang w:val="en-US"/>
        </w:rPr>
        <w:t>RCMA</w:t>
      </w:r>
      <w:r>
        <w:rPr>
          <w:rFonts w:ascii="Arial" w:hAnsi="Arial" w:cs="Arial"/>
          <w:b/>
          <w:sz w:val="24"/>
          <w:szCs w:val="24"/>
          <w:lang w:val="en-US"/>
        </w:rPr>
        <w:t xml:space="preserve"> </w:t>
      </w:r>
      <w:r w:rsidR="00417321">
        <w:rPr>
          <w:rFonts w:ascii="Arial" w:hAnsi="Arial" w:cs="Arial"/>
          <w:sz w:val="24"/>
          <w:szCs w:val="24"/>
          <w:lang w:val="en-US"/>
        </w:rPr>
        <w:t>which</w:t>
      </w:r>
      <w:r>
        <w:rPr>
          <w:rFonts w:ascii="Arial" w:hAnsi="Arial" w:cs="Arial"/>
          <w:sz w:val="24"/>
          <w:szCs w:val="24"/>
          <w:lang w:val="en-US"/>
        </w:rPr>
        <w:t xml:space="preserve"> are:</w:t>
      </w:r>
      <w:r w:rsidR="00B84DDC">
        <w:rPr>
          <w:rFonts w:ascii="Arial" w:hAnsi="Arial" w:cs="Arial"/>
          <w:sz w:val="24"/>
          <w:szCs w:val="24"/>
          <w:lang w:val="en-US"/>
        </w:rPr>
        <w:t xml:space="preserve"> both </w:t>
      </w:r>
      <w:r w:rsidR="00500383">
        <w:rPr>
          <w:rFonts w:ascii="Arial" w:hAnsi="Arial" w:cs="Arial"/>
          <w:sz w:val="24"/>
          <w:szCs w:val="24"/>
          <w:lang w:val="en-US"/>
        </w:rPr>
        <w:t xml:space="preserve">parties </w:t>
      </w:r>
      <w:r w:rsidR="00B84DDC">
        <w:rPr>
          <w:rFonts w:ascii="Arial" w:hAnsi="Arial" w:cs="Arial"/>
          <w:sz w:val="24"/>
          <w:szCs w:val="24"/>
          <w:lang w:val="en-US"/>
        </w:rPr>
        <w:t>are above the age of 18,</w:t>
      </w:r>
      <w:r w:rsidR="00B84DDC">
        <w:rPr>
          <w:rStyle w:val="FootnoteReference"/>
          <w:rFonts w:ascii="Arial" w:hAnsi="Arial" w:cs="Arial"/>
          <w:sz w:val="24"/>
          <w:szCs w:val="24"/>
          <w:lang w:val="en-US"/>
        </w:rPr>
        <w:footnoteReference w:id="3"/>
      </w:r>
      <w:r w:rsidR="00417321">
        <w:rPr>
          <w:rFonts w:ascii="Arial" w:hAnsi="Arial" w:cs="Arial"/>
          <w:sz w:val="24"/>
          <w:szCs w:val="24"/>
          <w:lang w:val="en-US"/>
        </w:rPr>
        <w:t xml:space="preserve"> </w:t>
      </w:r>
      <w:r w:rsidR="00B84DDC">
        <w:rPr>
          <w:rFonts w:ascii="Arial" w:hAnsi="Arial" w:cs="Arial"/>
          <w:sz w:val="24"/>
          <w:szCs w:val="24"/>
          <w:lang w:val="en-US"/>
        </w:rPr>
        <w:t xml:space="preserve"> </w:t>
      </w:r>
      <w:r w:rsidR="00500383">
        <w:rPr>
          <w:rFonts w:ascii="Arial" w:hAnsi="Arial" w:cs="Arial"/>
          <w:sz w:val="24"/>
          <w:szCs w:val="24"/>
          <w:lang w:val="en-US"/>
        </w:rPr>
        <w:t>they must consent to the marriage being a customary marriage,</w:t>
      </w:r>
      <w:r w:rsidR="00500383">
        <w:rPr>
          <w:rStyle w:val="FootnoteReference"/>
          <w:rFonts w:ascii="Arial" w:hAnsi="Arial" w:cs="Arial"/>
          <w:sz w:val="24"/>
          <w:szCs w:val="24"/>
          <w:lang w:val="en-US"/>
        </w:rPr>
        <w:footnoteReference w:id="4"/>
      </w:r>
      <w:r w:rsidR="001E1037">
        <w:rPr>
          <w:rFonts w:ascii="Arial" w:hAnsi="Arial" w:cs="Arial"/>
          <w:sz w:val="24"/>
          <w:szCs w:val="24"/>
          <w:lang w:val="en-US"/>
        </w:rPr>
        <w:t xml:space="preserve"> and the marriage must be negotiated and entered into or celebrated according to customary law.</w:t>
      </w:r>
      <w:r w:rsidR="001E1037">
        <w:rPr>
          <w:rStyle w:val="FootnoteReference"/>
          <w:rFonts w:ascii="Arial" w:hAnsi="Arial" w:cs="Arial"/>
          <w:sz w:val="24"/>
          <w:szCs w:val="24"/>
          <w:lang w:val="en-US"/>
        </w:rPr>
        <w:footnoteReference w:id="5"/>
      </w:r>
      <w:r w:rsidR="00216F98">
        <w:rPr>
          <w:rFonts w:ascii="Arial" w:hAnsi="Arial" w:cs="Arial"/>
          <w:sz w:val="24"/>
          <w:szCs w:val="24"/>
          <w:lang w:val="en-US"/>
        </w:rPr>
        <w:t xml:space="preserve"> </w:t>
      </w:r>
    </w:p>
    <w:p w:rsidR="00870B09" w:rsidRDefault="00216F98" w:rsidP="00B84DDC">
      <w:pPr>
        <w:pStyle w:val="ListParagraph"/>
        <w:ind w:left="1440"/>
        <w:jc w:val="both"/>
        <w:rPr>
          <w:rFonts w:ascii="Arial" w:hAnsi="Arial" w:cs="Arial"/>
          <w:sz w:val="24"/>
          <w:szCs w:val="24"/>
          <w:lang w:val="en-US"/>
        </w:rPr>
      </w:pPr>
      <w:r>
        <w:rPr>
          <w:rFonts w:ascii="Arial" w:hAnsi="Arial" w:cs="Arial"/>
          <w:sz w:val="24"/>
          <w:szCs w:val="24"/>
          <w:lang w:val="en-US"/>
        </w:rPr>
        <w:t xml:space="preserve">The court </w:t>
      </w:r>
      <w:r w:rsidR="00CA2C61">
        <w:rPr>
          <w:rFonts w:ascii="Arial" w:hAnsi="Arial" w:cs="Arial"/>
          <w:sz w:val="24"/>
          <w:szCs w:val="24"/>
          <w:lang w:val="en-US"/>
        </w:rPr>
        <w:t>correctly found that S7</w:t>
      </w:r>
      <w:r w:rsidR="00BF121C">
        <w:rPr>
          <w:rFonts w:ascii="Arial" w:hAnsi="Arial" w:cs="Arial"/>
          <w:sz w:val="24"/>
          <w:szCs w:val="24"/>
          <w:lang w:val="en-US"/>
        </w:rPr>
        <w:t xml:space="preserve"> </w:t>
      </w:r>
      <w:r w:rsidR="00CA2C61">
        <w:rPr>
          <w:rFonts w:ascii="Arial" w:hAnsi="Arial" w:cs="Arial"/>
          <w:sz w:val="24"/>
          <w:szCs w:val="24"/>
          <w:lang w:val="en-US"/>
        </w:rPr>
        <w:t xml:space="preserve">(6) and S3 </w:t>
      </w:r>
      <w:r w:rsidR="00FE136E">
        <w:rPr>
          <w:rFonts w:ascii="Arial" w:hAnsi="Arial" w:cs="Arial"/>
          <w:sz w:val="24"/>
          <w:szCs w:val="24"/>
          <w:lang w:val="en-US"/>
        </w:rPr>
        <w:t xml:space="preserve">are not related or linked </w:t>
      </w:r>
      <w:r w:rsidR="00D46EDC">
        <w:rPr>
          <w:rFonts w:ascii="Arial" w:hAnsi="Arial" w:cs="Arial"/>
          <w:sz w:val="24"/>
          <w:szCs w:val="24"/>
          <w:lang w:val="en-US"/>
        </w:rPr>
        <w:t>and the context of the act leads to the conclusion that S7</w:t>
      </w:r>
      <w:r w:rsidR="00C076DB">
        <w:rPr>
          <w:rFonts w:ascii="Arial" w:hAnsi="Arial" w:cs="Arial"/>
          <w:sz w:val="24"/>
          <w:szCs w:val="24"/>
          <w:lang w:val="en-US"/>
        </w:rPr>
        <w:t xml:space="preserve"> </w:t>
      </w:r>
      <w:r w:rsidR="00D46EDC">
        <w:rPr>
          <w:rFonts w:ascii="Arial" w:hAnsi="Arial" w:cs="Arial"/>
          <w:sz w:val="24"/>
          <w:szCs w:val="24"/>
          <w:lang w:val="en-US"/>
        </w:rPr>
        <w:t xml:space="preserve">(6) was not meant to invalidate a marriage </w:t>
      </w:r>
      <w:r w:rsidR="00951B9F">
        <w:rPr>
          <w:rFonts w:ascii="Arial" w:hAnsi="Arial" w:cs="Arial"/>
          <w:sz w:val="24"/>
          <w:szCs w:val="24"/>
          <w:lang w:val="en-US"/>
        </w:rPr>
        <w:t>which</w:t>
      </w:r>
      <w:r w:rsidR="00D46EDC">
        <w:rPr>
          <w:rFonts w:ascii="Arial" w:hAnsi="Arial" w:cs="Arial"/>
          <w:sz w:val="24"/>
          <w:szCs w:val="24"/>
          <w:lang w:val="en-US"/>
        </w:rPr>
        <w:t xml:space="preserve"> complies with S</w:t>
      </w:r>
      <w:r w:rsidR="000D130D">
        <w:rPr>
          <w:rFonts w:ascii="Arial" w:hAnsi="Arial" w:cs="Arial"/>
          <w:sz w:val="24"/>
          <w:szCs w:val="24"/>
          <w:lang w:val="en-US"/>
        </w:rPr>
        <w:t>3.</w:t>
      </w:r>
      <w:r w:rsidR="000D130D">
        <w:rPr>
          <w:rStyle w:val="FootnoteReference"/>
          <w:rFonts w:ascii="Arial" w:hAnsi="Arial" w:cs="Arial"/>
          <w:sz w:val="24"/>
          <w:szCs w:val="24"/>
          <w:lang w:val="en-US"/>
        </w:rPr>
        <w:footnoteReference w:id="6"/>
      </w:r>
      <w:r w:rsidR="00994C7A">
        <w:rPr>
          <w:rFonts w:ascii="Arial" w:hAnsi="Arial" w:cs="Arial"/>
          <w:sz w:val="24"/>
          <w:szCs w:val="24"/>
          <w:lang w:val="en-US"/>
        </w:rPr>
        <w:t xml:space="preserve"> </w:t>
      </w:r>
      <w:r w:rsidR="004E5C30">
        <w:rPr>
          <w:rFonts w:ascii="Arial" w:hAnsi="Arial" w:cs="Arial"/>
          <w:sz w:val="24"/>
          <w:szCs w:val="24"/>
          <w:lang w:val="en-US"/>
        </w:rPr>
        <w:t xml:space="preserve">The court </w:t>
      </w:r>
      <w:r w:rsidR="00EA374E">
        <w:rPr>
          <w:rFonts w:ascii="Arial" w:hAnsi="Arial" w:cs="Arial"/>
          <w:sz w:val="24"/>
          <w:szCs w:val="24"/>
          <w:lang w:val="en-US"/>
        </w:rPr>
        <w:t>mentions</w:t>
      </w:r>
      <w:r w:rsidR="00782431">
        <w:rPr>
          <w:rFonts w:ascii="Arial" w:hAnsi="Arial" w:cs="Arial"/>
          <w:sz w:val="24"/>
          <w:szCs w:val="24"/>
          <w:lang w:val="en-US"/>
        </w:rPr>
        <w:t xml:space="preserve"> that the act is intended to protect all women in a </w:t>
      </w:r>
      <w:r w:rsidR="00622234" w:rsidRPr="00622234">
        <w:rPr>
          <w:rFonts w:ascii="Arial" w:hAnsi="Arial" w:cs="Arial"/>
          <w:sz w:val="24"/>
          <w:szCs w:val="24"/>
          <w:lang w:val="en-US"/>
        </w:rPr>
        <w:t>polygynous </w:t>
      </w:r>
      <w:r w:rsidR="00782431">
        <w:rPr>
          <w:rFonts w:ascii="Arial" w:hAnsi="Arial" w:cs="Arial"/>
          <w:sz w:val="24"/>
          <w:szCs w:val="24"/>
          <w:lang w:val="en-US"/>
        </w:rPr>
        <w:t>marriage and not only the 1</w:t>
      </w:r>
      <w:r w:rsidR="00782431" w:rsidRPr="00782431">
        <w:rPr>
          <w:rFonts w:ascii="Arial" w:hAnsi="Arial" w:cs="Arial"/>
          <w:sz w:val="24"/>
          <w:szCs w:val="24"/>
          <w:vertAlign w:val="superscript"/>
          <w:lang w:val="en-US"/>
        </w:rPr>
        <w:t>st</w:t>
      </w:r>
      <w:r w:rsidR="00782431">
        <w:rPr>
          <w:rFonts w:ascii="Arial" w:hAnsi="Arial" w:cs="Arial"/>
          <w:sz w:val="24"/>
          <w:szCs w:val="24"/>
          <w:lang w:val="en-US"/>
        </w:rPr>
        <w:t xml:space="preserve"> wife</w:t>
      </w:r>
      <w:r w:rsidR="00DA3295">
        <w:rPr>
          <w:rFonts w:ascii="Arial" w:hAnsi="Arial" w:cs="Arial"/>
          <w:sz w:val="24"/>
          <w:szCs w:val="24"/>
          <w:lang w:val="en-US"/>
        </w:rPr>
        <w:t>,</w:t>
      </w:r>
      <w:r w:rsidR="00D2119B">
        <w:rPr>
          <w:rStyle w:val="FootnoteReference"/>
          <w:rFonts w:ascii="Arial" w:hAnsi="Arial" w:cs="Arial"/>
          <w:sz w:val="24"/>
          <w:szCs w:val="24"/>
          <w:lang w:val="en-US"/>
        </w:rPr>
        <w:footnoteReference w:id="7"/>
      </w:r>
      <w:r w:rsidR="00DA3295">
        <w:rPr>
          <w:rFonts w:ascii="Arial" w:hAnsi="Arial" w:cs="Arial"/>
          <w:sz w:val="24"/>
          <w:szCs w:val="24"/>
          <w:lang w:val="en-US"/>
        </w:rPr>
        <w:t xml:space="preserve"> </w:t>
      </w:r>
      <w:r w:rsidR="00870B09">
        <w:rPr>
          <w:rFonts w:ascii="Arial" w:hAnsi="Arial" w:cs="Arial"/>
          <w:sz w:val="24"/>
          <w:szCs w:val="24"/>
          <w:lang w:val="en-US"/>
        </w:rPr>
        <w:t xml:space="preserve">this complies with the </w:t>
      </w:r>
      <w:r w:rsidR="00E05FC0">
        <w:rPr>
          <w:rFonts w:ascii="Arial" w:hAnsi="Arial" w:cs="Arial"/>
          <w:sz w:val="24"/>
          <w:szCs w:val="24"/>
          <w:lang w:val="en-US"/>
        </w:rPr>
        <w:t xml:space="preserve">constitutional requirement that all legislation be interpreted in accordance with the spirit and purports of the constitution as well as the </w:t>
      </w:r>
      <w:r w:rsidR="006F70A1">
        <w:rPr>
          <w:rFonts w:ascii="Arial" w:hAnsi="Arial" w:cs="Arial"/>
          <w:sz w:val="24"/>
          <w:szCs w:val="24"/>
          <w:lang w:val="en-US"/>
        </w:rPr>
        <w:t>bill of rights</w:t>
      </w:r>
      <w:r w:rsidR="00DA3295">
        <w:rPr>
          <w:rFonts w:ascii="Arial" w:hAnsi="Arial" w:cs="Arial"/>
          <w:sz w:val="24"/>
          <w:szCs w:val="24"/>
          <w:lang w:val="en-US"/>
        </w:rPr>
        <w:t xml:space="preserve"> which prescribes equality and dignity for all</w:t>
      </w:r>
      <w:r w:rsidR="00782431">
        <w:rPr>
          <w:rFonts w:ascii="Arial" w:hAnsi="Arial" w:cs="Arial"/>
          <w:sz w:val="24"/>
          <w:szCs w:val="24"/>
          <w:lang w:val="en-US"/>
        </w:rPr>
        <w:t>.</w:t>
      </w:r>
      <w:r w:rsidR="00DA3295">
        <w:rPr>
          <w:rFonts w:ascii="Arial" w:hAnsi="Arial" w:cs="Arial"/>
          <w:sz w:val="24"/>
          <w:szCs w:val="24"/>
          <w:lang w:val="en-US"/>
        </w:rPr>
        <w:t xml:space="preserve"> </w:t>
      </w:r>
      <w:r w:rsidR="00D46744">
        <w:rPr>
          <w:rFonts w:ascii="Arial" w:hAnsi="Arial" w:cs="Arial"/>
          <w:sz w:val="24"/>
          <w:szCs w:val="24"/>
          <w:lang w:val="en-US"/>
        </w:rPr>
        <w:t>R</w:t>
      </w:r>
      <w:r w:rsidR="00D1736F">
        <w:rPr>
          <w:rFonts w:ascii="Arial" w:hAnsi="Arial" w:cs="Arial"/>
          <w:sz w:val="24"/>
          <w:szCs w:val="24"/>
          <w:lang w:val="en-US"/>
        </w:rPr>
        <w:t>eading non-compliance to S 7(6)</w:t>
      </w:r>
      <w:r w:rsidR="00D46744">
        <w:rPr>
          <w:rFonts w:ascii="Arial" w:hAnsi="Arial" w:cs="Arial"/>
          <w:sz w:val="24"/>
          <w:szCs w:val="24"/>
          <w:lang w:val="en-US"/>
        </w:rPr>
        <w:t xml:space="preserve"> </w:t>
      </w:r>
      <w:r w:rsidR="00632F40">
        <w:rPr>
          <w:rFonts w:ascii="Arial" w:hAnsi="Arial" w:cs="Arial"/>
          <w:sz w:val="24"/>
          <w:szCs w:val="24"/>
          <w:lang w:val="en-US"/>
        </w:rPr>
        <w:t xml:space="preserve">as </w:t>
      </w:r>
      <w:r w:rsidR="00D46744">
        <w:rPr>
          <w:rFonts w:ascii="Arial" w:hAnsi="Arial" w:cs="Arial"/>
          <w:sz w:val="24"/>
          <w:szCs w:val="24"/>
          <w:lang w:val="en-US"/>
        </w:rPr>
        <w:t xml:space="preserve">nullifying a marriage that was concluded in accordance with the provisions of S3 because the husband failed to apply to court </w:t>
      </w:r>
      <w:r w:rsidR="00632F40">
        <w:rPr>
          <w:rFonts w:ascii="Arial" w:hAnsi="Arial" w:cs="Arial"/>
          <w:sz w:val="24"/>
          <w:szCs w:val="24"/>
          <w:lang w:val="en-US"/>
        </w:rPr>
        <w:t xml:space="preserve">(be it </w:t>
      </w:r>
      <w:r w:rsidR="00FF25AD">
        <w:rPr>
          <w:rFonts w:ascii="Arial" w:hAnsi="Arial" w:cs="Arial"/>
          <w:sz w:val="24"/>
          <w:szCs w:val="24"/>
          <w:lang w:val="en-US"/>
        </w:rPr>
        <w:t>due to</w:t>
      </w:r>
      <w:r w:rsidR="00632F40">
        <w:rPr>
          <w:rFonts w:ascii="Arial" w:hAnsi="Arial" w:cs="Arial"/>
          <w:sz w:val="24"/>
          <w:szCs w:val="24"/>
          <w:lang w:val="en-US"/>
        </w:rPr>
        <w:t xml:space="preserve"> ignorance or deliberately) </w:t>
      </w:r>
      <w:r w:rsidR="00D46744">
        <w:rPr>
          <w:rFonts w:ascii="Arial" w:hAnsi="Arial" w:cs="Arial"/>
          <w:sz w:val="24"/>
          <w:szCs w:val="24"/>
          <w:lang w:val="en-US"/>
        </w:rPr>
        <w:t xml:space="preserve">in accordance with S 7(6) would violate </w:t>
      </w:r>
      <w:r w:rsidR="005167E0">
        <w:rPr>
          <w:rFonts w:ascii="Arial" w:hAnsi="Arial" w:cs="Arial"/>
          <w:sz w:val="24"/>
          <w:szCs w:val="24"/>
          <w:lang w:val="en-US"/>
        </w:rPr>
        <w:t>good faith</w:t>
      </w:r>
      <w:r w:rsidR="00D46744">
        <w:rPr>
          <w:rFonts w:ascii="Arial" w:hAnsi="Arial" w:cs="Arial"/>
          <w:sz w:val="24"/>
          <w:szCs w:val="24"/>
          <w:lang w:val="en-US"/>
        </w:rPr>
        <w:t xml:space="preserve"> second and subsequent wife’</w:t>
      </w:r>
      <w:r w:rsidR="00F55DA7">
        <w:rPr>
          <w:rFonts w:ascii="Arial" w:hAnsi="Arial" w:cs="Arial"/>
          <w:sz w:val="24"/>
          <w:szCs w:val="24"/>
          <w:lang w:val="en-US"/>
        </w:rPr>
        <w:t>s right to dignity, fairness,</w:t>
      </w:r>
      <w:r w:rsidR="00632F40">
        <w:rPr>
          <w:rFonts w:ascii="Arial" w:hAnsi="Arial" w:cs="Arial"/>
          <w:sz w:val="24"/>
          <w:szCs w:val="24"/>
          <w:lang w:val="en-US"/>
        </w:rPr>
        <w:t xml:space="preserve"> equality </w:t>
      </w:r>
      <w:r w:rsidR="00FF25AD">
        <w:rPr>
          <w:rFonts w:ascii="Arial" w:hAnsi="Arial" w:cs="Arial"/>
          <w:sz w:val="24"/>
          <w:szCs w:val="24"/>
          <w:lang w:val="en-US"/>
        </w:rPr>
        <w:t>and protection afforded by the constitution.</w:t>
      </w:r>
      <w:r w:rsidR="00FF25AD">
        <w:rPr>
          <w:rStyle w:val="FootnoteReference"/>
          <w:rFonts w:ascii="Arial" w:hAnsi="Arial" w:cs="Arial"/>
          <w:sz w:val="24"/>
          <w:szCs w:val="24"/>
          <w:lang w:val="en-US"/>
        </w:rPr>
        <w:footnoteReference w:id="8"/>
      </w:r>
      <w:r w:rsidR="00F55DA7">
        <w:rPr>
          <w:rFonts w:ascii="Arial" w:hAnsi="Arial" w:cs="Arial"/>
          <w:sz w:val="24"/>
          <w:szCs w:val="24"/>
          <w:lang w:val="en-US"/>
        </w:rPr>
        <w:t xml:space="preserve"> </w:t>
      </w:r>
      <w:r w:rsidR="00D91539">
        <w:rPr>
          <w:rFonts w:ascii="Arial" w:hAnsi="Arial" w:cs="Arial"/>
          <w:sz w:val="24"/>
          <w:szCs w:val="24"/>
          <w:lang w:val="en-US"/>
        </w:rPr>
        <w:t xml:space="preserve">The </w:t>
      </w:r>
      <w:r w:rsidR="00C05007">
        <w:rPr>
          <w:rFonts w:ascii="Arial" w:hAnsi="Arial" w:cs="Arial"/>
          <w:sz w:val="24"/>
          <w:szCs w:val="24"/>
          <w:lang w:val="en-US"/>
        </w:rPr>
        <w:t xml:space="preserve">court </w:t>
      </w:r>
      <w:r w:rsidR="00E23C1C">
        <w:rPr>
          <w:rFonts w:ascii="Arial" w:hAnsi="Arial" w:cs="Arial"/>
          <w:sz w:val="24"/>
          <w:szCs w:val="24"/>
          <w:lang w:val="en-US"/>
        </w:rPr>
        <w:t>had</w:t>
      </w:r>
      <w:r w:rsidR="00C05007">
        <w:rPr>
          <w:rFonts w:ascii="Arial" w:hAnsi="Arial" w:cs="Arial"/>
          <w:sz w:val="24"/>
          <w:szCs w:val="24"/>
          <w:lang w:val="en-US"/>
        </w:rPr>
        <w:t xml:space="preserve"> sight of the class of woman this interpretation </w:t>
      </w:r>
      <w:r w:rsidR="00887AF9">
        <w:rPr>
          <w:rFonts w:ascii="Arial" w:hAnsi="Arial" w:cs="Arial"/>
          <w:sz w:val="24"/>
          <w:szCs w:val="24"/>
          <w:lang w:val="en-US"/>
        </w:rPr>
        <w:t>could affect, “they least likely to have knowledge and resources”</w:t>
      </w:r>
      <w:r w:rsidR="00EF0DAD">
        <w:rPr>
          <w:rFonts w:ascii="Arial" w:hAnsi="Arial" w:cs="Arial"/>
          <w:sz w:val="24"/>
          <w:szCs w:val="24"/>
          <w:lang w:val="en-US"/>
        </w:rPr>
        <w:t xml:space="preserve"> </w:t>
      </w:r>
      <w:r w:rsidR="003B0641">
        <w:rPr>
          <w:rFonts w:ascii="Arial" w:hAnsi="Arial" w:cs="Arial"/>
          <w:sz w:val="24"/>
          <w:szCs w:val="24"/>
          <w:lang w:val="en-US"/>
        </w:rPr>
        <w:t xml:space="preserve">to comply with S7 (6). So the courts finding will afford these female spouses protection in a </w:t>
      </w:r>
      <w:r w:rsidR="003E132B">
        <w:rPr>
          <w:rFonts w:ascii="Arial" w:hAnsi="Arial" w:cs="Arial"/>
          <w:sz w:val="24"/>
          <w:szCs w:val="24"/>
          <w:lang w:val="en-US"/>
        </w:rPr>
        <w:t>polygynous</w:t>
      </w:r>
      <w:r w:rsidR="003B0641">
        <w:rPr>
          <w:rFonts w:ascii="Arial" w:hAnsi="Arial" w:cs="Arial"/>
          <w:sz w:val="24"/>
          <w:szCs w:val="24"/>
          <w:lang w:val="en-US"/>
        </w:rPr>
        <w:t xml:space="preserve"> marriage</w:t>
      </w:r>
      <w:r w:rsidR="006F3400">
        <w:rPr>
          <w:rFonts w:ascii="Arial" w:hAnsi="Arial" w:cs="Arial"/>
          <w:sz w:val="24"/>
          <w:szCs w:val="24"/>
          <w:lang w:val="en-US"/>
        </w:rPr>
        <w:t>.</w:t>
      </w:r>
      <w:r w:rsidR="006F3400">
        <w:rPr>
          <w:rStyle w:val="FootnoteReference"/>
          <w:rFonts w:ascii="Arial" w:hAnsi="Arial" w:cs="Arial"/>
          <w:sz w:val="24"/>
          <w:szCs w:val="24"/>
          <w:lang w:val="en-US"/>
        </w:rPr>
        <w:footnoteReference w:id="9"/>
      </w:r>
    </w:p>
    <w:p w:rsidR="00FF1236" w:rsidRDefault="00FF1236" w:rsidP="00B84DDC">
      <w:pPr>
        <w:pStyle w:val="ListParagraph"/>
        <w:ind w:left="1440"/>
        <w:jc w:val="both"/>
        <w:rPr>
          <w:rFonts w:ascii="Arial" w:hAnsi="Arial" w:cs="Arial"/>
          <w:sz w:val="24"/>
          <w:szCs w:val="24"/>
          <w:lang w:val="en-US"/>
        </w:rPr>
      </w:pPr>
    </w:p>
    <w:p w:rsidR="00EA374E" w:rsidRDefault="00782431" w:rsidP="00B84DDC">
      <w:pPr>
        <w:pStyle w:val="ListParagraph"/>
        <w:ind w:left="1440"/>
        <w:jc w:val="both"/>
        <w:rPr>
          <w:rFonts w:ascii="Arial" w:hAnsi="Arial" w:cs="Arial"/>
          <w:sz w:val="24"/>
          <w:szCs w:val="24"/>
          <w:lang w:val="en-US"/>
        </w:rPr>
      </w:pPr>
      <w:r>
        <w:rPr>
          <w:rFonts w:ascii="Arial" w:hAnsi="Arial" w:cs="Arial"/>
          <w:sz w:val="24"/>
          <w:szCs w:val="24"/>
          <w:lang w:val="en-US"/>
        </w:rPr>
        <w:t xml:space="preserve">The right to dignity </w:t>
      </w:r>
      <w:r w:rsidR="0037314E">
        <w:rPr>
          <w:rFonts w:ascii="Arial" w:hAnsi="Arial" w:cs="Arial"/>
          <w:sz w:val="24"/>
          <w:szCs w:val="24"/>
          <w:lang w:val="en-US"/>
        </w:rPr>
        <w:t xml:space="preserve">of the </w:t>
      </w:r>
      <w:r w:rsidR="006570F0">
        <w:rPr>
          <w:rFonts w:ascii="Arial" w:hAnsi="Arial" w:cs="Arial"/>
          <w:sz w:val="24"/>
          <w:szCs w:val="24"/>
          <w:lang w:val="en-US"/>
        </w:rPr>
        <w:t>2</w:t>
      </w:r>
      <w:r w:rsidR="006570F0" w:rsidRPr="006570F0">
        <w:rPr>
          <w:rFonts w:ascii="Arial" w:hAnsi="Arial" w:cs="Arial"/>
          <w:sz w:val="24"/>
          <w:szCs w:val="24"/>
          <w:vertAlign w:val="superscript"/>
          <w:lang w:val="en-US"/>
        </w:rPr>
        <w:t>nd</w:t>
      </w:r>
      <w:r w:rsidR="006570F0">
        <w:rPr>
          <w:rFonts w:ascii="Arial" w:hAnsi="Arial" w:cs="Arial"/>
          <w:sz w:val="24"/>
          <w:szCs w:val="24"/>
          <w:lang w:val="en-US"/>
        </w:rPr>
        <w:t xml:space="preserve"> and subsequent </w:t>
      </w:r>
      <w:r w:rsidR="0037314E">
        <w:rPr>
          <w:rFonts w:ascii="Arial" w:hAnsi="Arial" w:cs="Arial"/>
          <w:sz w:val="24"/>
          <w:szCs w:val="24"/>
          <w:lang w:val="en-US"/>
        </w:rPr>
        <w:t>wife</w:t>
      </w:r>
      <w:r w:rsidR="006570F0">
        <w:rPr>
          <w:rFonts w:ascii="Arial" w:hAnsi="Arial" w:cs="Arial"/>
          <w:sz w:val="24"/>
          <w:szCs w:val="24"/>
          <w:lang w:val="en-US"/>
        </w:rPr>
        <w:t>/s</w:t>
      </w:r>
      <w:r w:rsidR="0037314E">
        <w:rPr>
          <w:rFonts w:ascii="Arial" w:hAnsi="Arial" w:cs="Arial"/>
          <w:sz w:val="24"/>
          <w:szCs w:val="24"/>
          <w:lang w:val="en-US"/>
        </w:rPr>
        <w:t xml:space="preserve"> would be prejudiced </w:t>
      </w:r>
    </w:p>
    <w:p w:rsidR="006570F0" w:rsidRDefault="006570F0" w:rsidP="00B84DDC">
      <w:pPr>
        <w:pStyle w:val="ListParagraph"/>
        <w:ind w:left="1440"/>
        <w:jc w:val="both"/>
        <w:rPr>
          <w:rFonts w:ascii="Arial" w:hAnsi="Arial" w:cs="Arial"/>
          <w:sz w:val="24"/>
          <w:szCs w:val="24"/>
          <w:lang w:val="en-US"/>
        </w:rPr>
      </w:pPr>
    </w:p>
    <w:p w:rsidR="00E87962" w:rsidRPr="00D46EDC" w:rsidRDefault="00994C7A" w:rsidP="00B84DDC">
      <w:pPr>
        <w:pStyle w:val="ListParagraph"/>
        <w:ind w:left="1440"/>
        <w:jc w:val="both"/>
        <w:rPr>
          <w:rFonts w:ascii="Arial" w:hAnsi="Arial" w:cs="Arial"/>
          <w:sz w:val="24"/>
          <w:szCs w:val="24"/>
          <w:lang w:val="en-US"/>
        </w:rPr>
      </w:pPr>
      <w:r>
        <w:rPr>
          <w:rFonts w:ascii="Arial" w:hAnsi="Arial" w:cs="Arial"/>
          <w:sz w:val="24"/>
          <w:szCs w:val="24"/>
          <w:lang w:val="en-US"/>
        </w:rPr>
        <w:t xml:space="preserve">The interpretation </w:t>
      </w:r>
      <w:r w:rsidR="00695583">
        <w:rPr>
          <w:rFonts w:ascii="Arial" w:hAnsi="Arial" w:cs="Arial"/>
          <w:sz w:val="24"/>
          <w:szCs w:val="24"/>
          <w:lang w:val="en-US"/>
        </w:rPr>
        <w:t xml:space="preserve">that nullifies a marriage if </w:t>
      </w:r>
      <w:proofErr w:type="gramStart"/>
      <w:r>
        <w:rPr>
          <w:rFonts w:ascii="Arial" w:hAnsi="Arial" w:cs="Arial"/>
          <w:sz w:val="24"/>
          <w:szCs w:val="24"/>
          <w:lang w:val="en-US"/>
        </w:rPr>
        <w:t>S7(</w:t>
      </w:r>
      <w:proofErr w:type="gramEnd"/>
      <w:r>
        <w:rPr>
          <w:rFonts w:ascii="Arial" w:hAnsi="Arial" w:cs="Arial"/>
          <w:sz w:val="24"/>
          <w:szCs w:val="24"/>
          <w:lang w:val="en-US"/>
        </w:rPr>
        <w:t>6)</w:t>
      </w:r>
      <w:r w:rsidR="00695583">
        <w:rPr>
          <w:rFonts w:ascii="Arial" w:hAnsi="Arial" w:cs="Arial"/>
          <w:sz w:val="24"/>
          <w:szCs w:val="24"/>
          <w:lang w:val="en-US"/>
        </w:rPr>
        <w:t xml:space="preserve"> is not complied with will </w:t>
      </w:r>
      <w:r w:rsidR="00F2017D">
        <w:rPr>
          <w:rFonts w:ascii="Arial" w:hAnsi="Arial" w:cs="Arial"/>
          <w:sz w:val="24"/>
          <w:szCs w:val="24"/>
          <w:lang w:val="en-US"/>
        </w:rPr>
        <w:t>perpetuates</w:t>
      </w:r>
      <w:r w:rsidR="00695583">
        <w:rPr>
          <w:rFonts w:ascii="Arial" w:hAnsi="Arial" w:cs="Arial"/>
          <w:sz w:val="24"/>
          <w:szCs w:val="24"/>
          <w:lang w:val="en-US"/>
        </w:rPr>
        <w:t xml:space="preserve"> inequality and disadvantage </w:t>
      </w:r>
      <w:r>
        <w:rPr>
          <w:rFonts w:ascii="Arial" w:hAnsi="Arial" w:cs="Arial"/>
          <w:sz w:val="24"/>
          <w:szCs w:val="24"/>
          <w:lang w:val="en-US"/>
        </w:rPr>
        <w:t xml:space="preserve"> </w:t>
      </w:r>
      <w:r w:rsidR="00695583">
        <w:rPr>
          <w:rFonts w:ascii="Arial" w:hAnsi="Arial" w:cs="Arial"/>
          <w:sz w:val="24"/>
          <w:szCs w:val="24"/>
          <w:lang w:val="en-US"/>
        </w:rPr>
        <w:t>to mean non</w:t>
      </w:r>
    </w:p>
    <w:p w:rsidR="006B5491" w:rsidRPr="00632CC2" w:rsidRDefault="006B5491" w:rsidP="00094C7B">
      <w:pPr>
        <w:pStyle w:val="ListParagraph"/>
        <w:numPr>
          <w:ilvl w:val="0"/>
          <w:numId w:val="3"/>
        </w:numPr>
        <w:ind w:left="1440"/>
        <w:jc w:val="both"/>
        <w:outlineLvl w:val="1"/>
        <w:rPr>
          <w:rFonts w:ascii="Arial" w:hAnsi="Arial" w:cs="Arial"/>
          <w:sz w:val="24"/>
          <w:szCs w:val="24"/>
          <w:lang w:val="en-US"/>
        </w:rPr>
      </w:pPr>
      <w:bookmarkStart w:id="7" w:name="_Toc57128490"/>
      <w:bookmarkEnd w:id="7"/>
    </w:p>
    <w:p w:rsidR="00F26B0F" w:rsidRPr="00632CC2" w:rsidRDefault="00F26B0F" w:rsidP="00094C7B">
      <w:pPr>
        <w:pStyle w:val="ListParagraph"/>
        <w:ind w:left="1440"/>
        <w:jc w:val="both"/>
        <w:rPr>
          <w:rFonts w:ascii="Arial" w:hAnsi="Arial" w:cs="Arial"/>
          <w:sz w:val="24"/>
          <w:szCs w:val="24"/>
          <w:lang w:val="en-US"/>
        </w:rPr>
      </w:pPr>
      <w:r w:rsidRPr="00632CC2">
        <w:rPr>
          <w:rFonts w:ascii="Arial" w:hAnsi="Arial" w:cs="Arial"/>
          <w:sz w:val="24"/>
          <w:szCs w:val="24"/>
          <w:lang w:val="en-US"/>
        </w:rPr>
        <w:t>Text</w:t>
      </w:r>
    </w:p>
    <w:p w:rsidR="006B5491" w:rsidRPr="00632CC2" w:rsidRDefault="006B5491" w:rsidP="00094C7B">
      <w:pPr>
        <w:pStyle w:val="ListParagraph"/>
        <w:numPr>
          <w:ilvl w:val="0"/>
          <w:numId w:val="3"/>
        </w:numPr>
        <w:ind w:left="1440"/>
        <w:jc w:val="both"/>
        <w:outlineLvl w:val="1"/>
        <w:rPr>
          <w:rFonts w:ascii="Arial" w:hAnsi="Arial" w:cs="Arial"/>
          <w:sz w:val="24"/>
          <w:szCs w:val="24"/>
          <w:lang w:val="en-US"/>
        </w:rPr>
      </w:pPr>
      <w:bookmarkStart w:id="8" w:name="_Toc57128491"/>
      <w:bookmarkEnd w:id="8"/>
    </w:p>
    <w:p w:rsidR="00FE7462" w:rsidRPr="00A01F85" w:rsidRDefault="00FE7462" w:rsidP="00094C7B">
      <w:pPr>
        <w:pStyle w:val="ListParagraph"/>
        <w:ind w:left="1440"/>
        <w:jc w:val="both"/>
        <w:rPr>
          <w:rFonts w:ascii="Arial" w:hAnsi="Arial" w:cs="Arial"/>
          <w:color w:val="FF0000"/>
          <w:sz w:val="24"/>
          <w:szCs w:val="24"/>
          <w:lang w:val="en-US"/>
        </w:rPr>
      </w:pPr>
      <w:r w:rsidRPr="00A01F85">
        <w:rPr>
          <w:rFonts w:ascii="Arial" w:hAnsi="Arial" w:cs="Arial"/>
          <w:color w:val="FF0000"/>
          <w:sz w:val="24"/>
          <w:szCs w:val="24"/>
          <w:lang w:val="en-US"/>
        </w:rPr>
        <w:t>The potential marriage would be governed by S23 of the Black Administrative act 38 of 1927</w:t>
      </w:r>
    </w:p>
    <w:p w:rsidR="00D77270" w:rsidRDefault="009074A6" w:rsidP="00094C7B">
      <w:pPr>
        <w:pStyle w:val="ListParagraph"/>
        <w:ind w:left="1440"/>
        <w:jc w:val="both"/>
        <w:rPr>
          <w:rFonts w:ascii="Arial" w:hAnsi="Arial" w:cs="Arial"/>
          <w:sz w:val="24"/>
          <w:szCs w:val="24"/>
          <w:lang w:val="en-US"/>
        </w:rPr>
      </w:pPr>
      <w:r>
        <w:rPr>
          <w:rFonts w:ascii="Arial" w:hAnsi="Arial" w:cs="Arial"/>
          <w:sz w:val="24"/>
          <w:szCs w:val="24"/>
          <w:lang w:val="en-US"/>
        </w:rPr>
        <w:t xml:space="preserve">One of </w:t>
      </w:r>
      <w:r w:rsidR="009740C3">
        <w:rPr>
          <w:rFonts w:ascii="Arial" w:hAnsi="Arial" w:cs="Arial"/>
          <w:sz w:val="24"/>
          <w:szCs w:val="24"/>
          <w:lang w:val="en-US"/>
        </w:rPr>
        <w:t xml:space="preserve">question </w:t>
      </w:r>
      <w:r w:rsidR="00A01F85">
        <w:rPr>
          <w:rFonts w:ascii="Arial" w:hAnsi="Arial" w:cs="Arial"/>
          <w:sz w:val="24"/>
          <w:szCs w:val="24"/>
          <w:lang w:val="en-US"/>
        </w:rPr>
        <w:t xml:space="preserve">the appeal had to answer was whether the Magistrates court was correct in finding that a marriage did indeed exist </w:t>
      </w:r>
      <w:r w:rsidR="00B84D4C">
        <w:rPr>
          <w:rFonts w:ascii="Arial" w:hAnsi="Arial" w:cs="Arial"/>
          <w:sz w:val="24"/>
          <w:szCs w:val="24"/>
          <w:lang w:val="en-US"/>
        </w:rPr>
        <w:t xml:space="preserve">in the absence of both the 2 party’s father’s participation in </w:t>
      </w:r>
      <w:r w:rsidR="00A01F85">
        <w:rPr>
          <w:rFonts w:ascii="Arial" w:hAnsi="Arial" w:cs="Arial"/>
          <w:sz w:val="24"/>
          <w:szCs w:val="24"/>
          <w:lang w:val="en-US"/>
        </w:rPr>
        <w:t xml:space="preserve">the </w:t>
      </w:r>
      <w:proofErr w:type="spellStart"/>
      <w:r w:rsidR="00A01F85">
        <w:rPr>
          <w:rFonts w:ascii="Arial" w:hAnsi="Arial" w:cs="Arial"/>
          <w:sz w:val="24"/>
          <w:szCs w:val="24"/>
          <w:lang w:val="en-US"/>
        </w:rPr>
        <w:t>lobola</w:t>
      </w:r>
      <w:proofErr w:type="spellEnd"/>
      <w:r w:rsidR="00A01F85">
        <w:rPr>
          <w:rFonts w:ascii="Arial" w:hAnsi="Arial" w:cs="Arial"/>
          <w:sz w:val="24"/>
          <w:szCs w:val="24"/>
          <w:lang w:val="en-US"/>
        </w:rPr>
        <w:t xml:space="preserve"> negotiations</w:t>
      </w:r>
      <w:r w:rsidR="00B84D4C">
        <w:rPr>
          <w:rFonts w:ascii="Arial" w:hAnsi="Arial" w:cs="Arial"/>
          <w:sz w:val="24"/>
          <w:szCs w:val="24"/>
          <w:lang w:val="en-US"/>
        </w:rPr>
        <w:t>, they</w:t>
      </w:r>
      <w:r w:rsidR="00D77270">
        <w:rPr>
          <w:rFonts w:ascii="Arial" w:hAnsi="Arial" w:cs="Arial"/>
          <w:sz w:val="24"/>
          <w:szCs w:val="24"/>
          <w:lang w:val="en-US"/>
        </w:rPr>
        <w:t xml:space="preserve"> were</w:t>
      </w:r>
      <w:r w:rsidR="00A01F85">
        <w:rPr>
          <w:rFonts w:ascii="Arial" w:hAnsi="Arial" w:cs="Arial"/>
          <w:sz w:val="24"/>
          <w:szCs w:val="24"/>
          <w:lang w:val="en-US"/>
        </w:rPr>
        <w:t xml:space="preserve"> conducted between the </w:t>
      </w:r>
      <w:r w:rsidR="00DE6741">
        <w:rPr>
          <w:rFonts w:ascii="Arial" w:hAnsi="Arial" w:cs="Arial"/>
          <w:sz w:val="24"/>
          <w:szCs w:val="24"/>
          <w:lang w:val="en-US"/>
        </w:rPr>
        <w:t xml:space="preserve">prospective </w:t>
      </w:r>
      <w:r w:rsidR="00A01F85">
        <w:rPr>
          <w:rFonts w:ascii="Arial" w:hAnsi="Arial" w:cs="Arial"/>
          <w:sz w:val="24"/>
          <w:szCs w:val="24"/>
          <w:lang w:val="en-US"/>
        </w:rPr>
        <w:t xml:space="preserve">husband and the mother of the </w:t>
      </w:r>
      <w:r w:rsidR="00B84D4C">
        <w:rPr>
          <w:rFonts w:ascii="Arial" w:hAnsi="Arial" w:cs="Arial"/>
          <w:sz w:val="24"/>
          <w:szCs w:val="24"/>
          <w:lang w:val="en-US"/>
        </w:rPr>
        <w:t>female spouse</w:t>
      </w:r>
      <w:r w:rsidR="004F7CBB">
        <w:rPr>
          <w:rFonts w:ascii="Arial" w:hAnsi="Arial" w:cs="Arial"/>
          <w:sz w:val="24"/>
          <w:szCs w:val="24"/>
          <w:lang w:val="en-US"/>
        </w:rPr>
        <w:t>.</w:t>
      </w:r>
    </w:p>
    <w:p w:rsidR="00DE6741" w:rsidRDefault="00DE6741" w:rsidP="00094C7B">
      <w:pPr>
        <w:pStyle w:val="ListParagraph"/>
        <w:ind w:left="1440"/>
        <w:jc w:val="both"/>
        <w:rPr>
          <w:rFonts w:ascii="Arial" w:hAnsi="Arial" w:cs="Arial"/>
          <w:sz w:val="24"/>
          <w:szCs w:val="24"/>
          <w:lang w:val="en-US"/>
        </w:rPr>
      </w:pPr>
    </w:p>
    <w:p w:rsidR="00DE6741" w:rsidRPr="00DE6741" w:rsidRDefault="00DE6741" w:rsidP="00DE6741">
      <w:pPr>
        <w:autoSpaceDE w:val="0"/>
        <w:autoSpaceDN w:val="0"/>
        <w:adjustRightInd w:val="0"/>
        <w:spacing w:after="0" w:line="240" w:lineRule="auto"/>
        <w:rPr>
          <w:rFonts w:ascii="Arial" w:hAnsi="Arial" w:cs="Arial"/>
          <w:color w:val="000000"/>
          <w:sz w:val="24"/>
          <w:szCs w:val="24"/>
        </w:rPr>
      </w:pPr>
    </w:p>
    <w:p w:rsidR="00846BCA" w:rsidRDefault="00846BCA" w:rsidP="00846BCA">
      <w:pPr>
        <w:autoSpaceDE w:val="0"/>
        <w:autoSpaceDN w:val="0"/>
        <w:adjustRightInd w:val="0"/>
        <w:spacing w:after="0" w:line="240" w:lineRule="auto"/>
        <w:rPr>
          <w:rFonts w:ascii="Arial" w:hAnsi="Arial" w:cs="Arial"/>
          <w:color w:val="000000"/>
          <w:sz w:val="24"/>
          <w:szCs w:val="24"/>
        </w:rPr>
      </w:pPr>
    </w:p>
    <w:p w:rsidR="00846BCA" w:rsidRDefault="00846BCA" w:rsidP="00846BCA">
      <w:pPr>
        <w:autoSpaceDE w:val="0"/>
        <w:autoSpaceDN w:val="0"/>
        <w:adjustRightInd w:val="0"/>
        <w:spacing w:after="0" w:line="240" w:lineRule="auto"/>
        <w:rPr>
          <w:rFonts w:ascii="Arial" w:hAnsi="Arial" w:cs="Arial"/>
          <w:color w:val="000000"/>
          <w:sz w:val="24"/>
          <w:szCs w:val="24"/>
        </w:rPr>
      </w:pPr>
    </w:p>
    <w:p w:rsidR="00846BCA" w:rsidRDefault="00846BCA" w:rsidP="00846BCA">
      <w:pPr>
        <w:autoSpaceDE w:val="0"/>
        <w:autoSpaceDN w:val="0"/>
        <w:adjustRightInd w:val="0"/>
        <w:spacing w:after="0" w:line="240" w:lineRule="auto"/>
        <w:rPr>
          <w:rFonts w:ascii="Arial" w:hAnsi="Arial" w:cs="Arial"/>
          <w:color w:val="000000"/>
          <w:sz w:val="24"/>
          <w:szCs w:val="24"/>
        </w:rPr>
      </w:pPr>
    </w:p>
    <w:p w:rsidR="00846BCA" w:rsidRDefault="00846BCA" w:rsidP="00846BCA">
      <w:pPr>
        <w:autoSpaceDE w:val="0"/>
        <w:autoSpaceDN w:val="0"/>
        <w:adjustRightInd w:val="0"/>
        <w:spacing w:after="0" w:line="240" w:lineRule="auto"/>
        <w:rPr>
          <w:rFonts w:ascii="Arial" w:hAnsi="Arial" w:cs="Arial"/>
          <w:color w:val="000000"/>
          <w:sz w:val="24"/>
          <w:szCs w:val="24"/>
        </w:rPr>
      </w:pPr>
    </w:p>
    <w:p w:rsidR="00846BCA" w:rsidRDefault="00846BCA" w:rsidP="00846BCA">
      <w:pPr>
        <w:autoSpaceDE w:val="0"/>
        <w:autoSpaceDN w:val="0"/>
        <w:adjustRightInd w:val="0"/>
        <w:spacing w:after="0" w:line="240" w:lineRule="auto"/>
        <w:rPr>
          <w:rFonts w:ascii="Arial" w:hAnsi="Arial" w:cs="Arial"/>
          <w:color w:val="000000"/>
          <w:sz w:val="24"/>
          <w:szCs w:val="24"/>
        </w:rPr>
      </w:pPr>
    </w:p>
    <w:p w:rsidR="00846BCA" w:rsidRDefault="00846BCA" w:rsidP="00846BCA">
      <w:pPr>
        <w:autoSpaceDE w:val="0"/>
        <w:autoSpaceDN w:val="0"/>
        <w:adjustRightInd w:val="0"/>
        <w:spacing w:after="0" w:line="240" w:lineRule="auto"/>
        <w:rPr>
          <w:rFonts w:ascii="Arial" w:hAnsi="Arial" w:cs="Arial"/>
          <w:color w:val="000000"/>
          <w:sz w:val="24"/>
          <w:szCs w:val="24"/>
        </w:rPr>
      </w:pPr>
    </w:p>
    <w:p w:rsidR="00846BCA" w:rsidRDefault="00846BCA" w:rsidP="00846BCA">
      <w:pPr>
        <w:autoSpaceDE w:val="0"/>
        <w:autoSpaceDN w:val="0"/>
        <w:adjustRightInd w:val="0"/>
        <w:spacing w:after="0" w:line="240" w:lineRule="auto"/>
        <w:rPr>
          <w:rFonts w:ascii="Arial" w:hAnsi="Arial" w:cs="Arial"/>
          <w:color w:val="000000"/>
          <w:sz w:val="24"/>
          <w:szCs w:val="24"/>
        </w:rPr>
      </w:pPr>
    </w:p>
    <w:p w:rsidR="00846BCA" w:rsidRDefault="00846BCA" w:rsidP="00846BC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w:t>
      </w:r>
      <w:r w:rsidR="00EE6237">
        <w:rPr>
          <w:rFonts w:ascii="Arial" w:hAnsi="Arial" w:cs="Arial"/>
          <w:color w:val="000000"/>
          <w:sz w:val="24"/>
          <w:szCs w:val="24"/>
        </w:rPr>
        <w:t xml:space="preserve">he court found that the father’s participation was not essential because in the case of the groom he was an adult man </w:t>
      </w:r>
      <w:r w:rsidR="003F3F92">
        <w:rPr>
          <w:rFonts w:ascii="Arial" w:hAnsi="Arial" w:cs="Arial"/>
          <w:color w:val="000000"/>
          <w:sz w:val="24"/>
          <w:szCs w:val="24"/>
        </w:rPr>
        <w:t xml:space="preserve">capable of handling his own affairs in </w:t>
      </w:r>
      <w:proofErr w:type="spellStart"/>
      <w:r w:rsidR="003F3F92">
        <w:rPr>
          <w:rFonts w:ascii="Arial" w:hAnsi="Arial" w:cs="Arial"/>
          <w:color w:val="000000"/>
          <w:sz w:val="24"/>
          <w:szCs w:val="24"/>
        </w:rPr>
        <w:t>tems</w:t>
      </w:r>
      <w:proofErr w:type="spellEnd"/>
      <w:r w:rsidR="003F3F92">
        <w:rPr>
          <w:rFonts w:ascii="Arial" w:hAnsi="Arial" w:cs="Arial"/>
          <w:color w:val="000000"/>
          <w:sz w:val="24"/>
          <w:szCs w:val="24"/>
        </w:rPr>
        <w:t xml:space="preserve"> of the bride’s mother was found to </w:t>
      </w:r>
    </w:p>
    <w:p w:rsidR="00846BCA" w:rsidRDefault="00846BCA" w:rsidP="00846BCA">
      <w:pPr>
        <w:autoSpaceDE w:val="0"/>
        <w:autoSpaceDN w:val="0"/>
        <w:adjustRightInd w:val="0"/>
        <w:spacing w:after="0" w:line="240" w:lineRule="auto"/>
        <w:rPr>
          <w:rFonts w:ascii="Arial" w:hAnsi="Arial" w:cs="Arial"/>
          <w:color w:val="000000"/>
          <w:sz w:val="24"/>
          <w:szCs w:val="24"/>
        </w:rPr>
      </w:pPr>
    </w:p>
    <w:p w:rsidR="001208B7" w:rsidRDefault="001208B7" w:rsidP="00846BCA">
      <w:pPr>
        <w:autoSpaceDE w:val="0"/>
        <w:autoSpaceDN w:val="0"/>
        <w:adjustRightInd w:val="0"/>
        <w:spacing w:after="0" w:line="240" w:lineRule="auto"/>
        <w:rPr>
          <w:rFonts w:ascii="Arial" w:hAnsi="Arial" w:cs="Arial"/>
          <w:color w:val="000000"/>
          <w:sz w:val="24"/>
          <w:szCs w:val="24"/>
        </w:rPr>
      </w:pPr>
    </w:p>
    <w:p w:rsidR="001208B7" w:rsidRDefault="001208B7" w:rsidP="001208B7">
      <w:pPr>
        <w:pStyle w:val="Default"/>
        <w:rPr>
          <w:sz w:val="23"/>
          <w:szCs w:val="23"/>
        </w:rPr>
      </w:pPr>
      <w:r>
        <w:rPr>
          <w:sz w:val="23"/>
          <w:szCs w:val="23"/>
        </w:rPr>
        <w:t xml:space="preserve">The Court accepted the rule of customary law tendered by the respondent to the effect that the bride’s mother had the right in certain circumstances, such as in the absence of the father, to </w:t>
      </w:r>
    </w:p>
    <w:p w:rsidR="001208B7" w:rsidRDefault="001208B7" w:rsidP="001208B7">
      <w:pPr>
        <w:autoSpaceDE w:val="0"/>
        <w:autoSpaceDN w:val="0"/>
        <w:adjustRightInd w:val="0"/>
        <w:spacing w:after="0" w:line="240" w:lineRule="auto"/>
        <w:rPr>
          <w:rFonts w:ascii="Arial" w:hAnsi="Arial" w:cs="Arial"/>
          <w:color w:val="000000"/>
          <w:sz w:val="24"/>
          <w:szCs w:val="24"/>
        </w:rPr>
      </w:pPr>
      <w:proofErr w:type="gramStart"/>
      <w:r>
        <w:rPr>
          <w:sz w:val="23"/>
          <w:szCs w:val="23"/>
        </w:rPr>
        <w:t>negotiate</w:t>
      </w:r>
      <w:proofErr w:type="gramEnd"/>
      <w:r>
        <w:rPr>
          <w:sz w:val="23"/>
          <w:szCs w:val="23"/>
        </w:rPr>
        <w:t xml:space="preserve"> the </w:t>
      </w:r>
      <w:proofErr w:type="spellStart"/>
      <w:r>
        <w:rPr>
          <w:i/>
          <w:iCs/>
          <w:sz w:val="23"/>
          <w:szCs w:val="23"/>
        </w:rPr>
        <w:t>lobolo</w:t>
      </w:r>
      <w:proofErr w:type="spellEnd"/>
      <w:r>
        <w:rPr>
          <w:i/>
          <w:iCs/>
          <w:sz w:val="23"/>
          <w:szCs w:val="23"/>
        </w:rPr>
        <w:t xml:space="preserve"> </w:t>
      </w:r>
      <w:r>
        <w:rPr>
          <w:sz w:val="23"/>
          <w:szCs w:val="23"/>
        </w:rPr>
        <w:t>and to consent to the marriage of her daughter</w:t>
      </w:r>
    </w:p>
    <w:p w:rsidR="007203D4" w:rsidRDefault="007203D4" w:rsidP="007203D4">
      <w:pPr>
        <w:pStyle w:val="Default"/>
        <w:numPr>
          <w:ilvl w:val="0"/>
          <w:numId w:val="6"/>
        </w:numPr>
        <w:rPr>
          <w:sz w:val="23"/>
          <w:szCs w:val="23"/>
        </w:rPr>
      </w:pPr>
      <w:proofErr w:type="spellStart"/>
      <w:r>
        <w:rPr>
          <w:i/>
          <w:iCs/>
          <w:sz w:val="23"/>
          <w:szCs w:val="23"/>
        </w:rPr>
        <w:t>Mabena</w:t>
      </w:r>
      <w:proofErr w:type="spellEnd"/>
      <w:r>
        <w:rPr>
          <w:i/>
          <w:iCs/>
          <w:sz w:val="23"/>
          <w:szCs w:val="23"/>
        </w:rPr>
        <w:t xml:space="preserve"> v </w:t>
      </w:r>
      <w:proofErr w:type="spellStart"/>
      <w:r>
        <w:rPr>
          <w:sz w:val="23"/>
          <w:szCs w:val="23"/>
        </w:rPr>
        <w:t>Letsoalo</w:t>
      </w:r>
      <w:proofErr w:type="spellEnd"/>
      <w:r>
        <w:rPr>
          <w:sz w:val="23"/>
          <w:szCs w:val="23"/>
        </w:rPr>
        <w:t xml:space="preserve"> is a case in point where the Court deviated from the standard </w:t>
      </w:r>
    </w:p>
    <w:p w:rsidR="007203D4" w:rsidRDefault="007203D4" w:rsidP="007203D4">
      <w:pPr>
        <w:pStyle w:val="Default"/>
        <w:numPr>
          <w:ilvl w:val="0"/>
          <w:numId w:val="6"/>
        </w:numPr>
        <w:rPr>
          <w:sz w:val="23"/>
          <w:szCs w:val="23"/>
        </w:rPr>
      </w:pPr>
      <w:r>
        <w:rPr>
          <w:sz w:val="23"/>
          <w:szCs w:val="23"/>
        </w:rPr>
        <w:t xml:space="preserve">textbook approach and applied living customary law that recognises what people do </w:t>
      </w:r>
    </w:p>
    <w:p w:rsidR="007203D4" w:rsidRDefault="007203D4" w:rsidP="007203D4">
      <w:pPr>
        <w:pStyle w:val="Default"/>
        <w:numPr>
          <w:ilvl w:val="0"/>
          <w:numId w:val="6"/>
        </w:numPr>
        <w:rPr>
          <w:sz w:val="23"/>
          <w:szCs w:val="23"/>
        </w:rPr>
      </w:pPr>
      <w:proofErr w:type="gramStart"/>
      <w:r>
        <w:rPr>
          <w:sz w:val="23"/>
          <w:szCs w:val="23"/>
        </w:rPr>
        <w:t>in</w:t>
      </w:r>
      <w:proofErr w:type="gramEnd"/>
      <w:r>
        <w:rPr>
          <w:sz w:val="23"/>
          <w:szCs w:val="23"/>
        </w:rPr>
        <w:t xml:space="preserve"> practice. The prospective husband had negotiated the </w:t>
      </w:r>
      <w:proofErr w:type="spellStart"/>
      <w:r>
        <w:rPr>
          <w:i/>
          <w:iCs/>
          <w:sz w:val="23"/>
          <w:szCs w:val="23"/>
        </w:rPr>
        <w:t>lobolo</w:t>
      </w:r>
      <w:proofErr w:type="spellEnd"/>
      <w:r>
        <w:rPr>
          <w:i/>
          <w:iCs/>
          <w:sz w:val="23"/>
          <w:szCs w:val="23"/>
        </w:rPr>
        <w:t xml:space="preserve"> </w:t>
      </w:r>
      <w:r>
        <w:rPr>
          <w:sz w:val="23"/>
          <w:szCs w:val="23"/>
        </w:rPr>
        <w:t xml:space="preserve">or </w:t>
      </w:r>
      <w:proofErr w:type="spellStart"/>
      <w:r>
        <w:rPr>
          <w:i/>
          <w:iCs/>
          <w:sz w:val="23"/>
          <w:szCs w:val="23"/>
        </w:rPr>
        <w:t>bogadi</w:t>
      </w:r>
      <w:proofErr w:type="spellEnd"/>
      <w:r>
        <w:rPr>
          <w:i/>
          <w:iCs/>
          <w:sz w:val="23"/>
          <w:szCs w:val="23"/>
        </w:rPr>
        <w:t xml:space="preserve"> </w:t>
      </w:r>
      <w:r>
        <w:rPr>
          <w:sz w:val="23"/>
          <w:szCs w:val="23"/>
        </w:rPr>
        <w:t xml:space="preserve">of his future wife with his prospective mother-in-law. The court accepted this </w:t>
      </w:r>
      <w:proofErr w:type="spellStart"/>
      <w:r>
        <w:rPr>
          <w:sz w:val="23"/>
          <w:szCs w:val="23"/>
        </w:rPr>
        <w:t>genderneutral</w:t>
      </w:r>
      <w:proofErr w:type="spellEnd"/>
      <w:r>
        <w:rPr>
          <w:sz w:val="23"/>
          <w:szCs w:val="23"/>
        </w:rPr>
        <w:t xml:space="preserve"> practice P a g e 17 | 39 </w:t>
      </w:r>
    </w:p>
    <w:p w:rsidR="007203D4" w:rsidRDefault="007203D4" w:rsidP="007203D4">
      <w:pPr>
        <w:pStyle w:val="Default"/>
        <w:numPr>
          <w:ilvl w:val="0"/>
          <w:numId w:val="6"/>
        </w:numPr>
        <w:rPr>
          <w:color w:val="auto"/>
        </w:rPr>
      </w:pPr>
    </w:p>
    <w:p w:rsidR="007203D4" w:rsidRDefault="007203D4" w:rsidP="007203D4">
      <w:pPr>
        <w:pStyle w:val="Default"/>
        <w:pageBreakBefore/>
        <w:numPr>
          <w:ilvl w:val="0"/>
          <w:numId w:val="6"/>
        </w:numPr>
        <w:rPr>
          <w:color w:val="auto"/>
          <w:sz w:val="23"/>
          <w:szCs w:val="23"/>
        </w:rPr>
      </w:pPr>
      <w:proofErr w:type="gramStart"/>
      <w:r>
        <w:rPr>
          <w:color w:val="auto"/>
          <w:sz w:val="23"/>
          <w:szCs w:val="23"/>
        </w:rPr>
        <w:lastRenderedPageBreak/>
        <w:t>as</w:t>
      </w:r>
      <w:proofErr w:type="gramEnd"/>
      <w:r>
        <w:rPr>
          <w:color w:val="auto"/>
          <w:sz w:val="23"/>
          <w:szCs w:val="23"/>
        </w:rPr>
        <w:t xml:space="preserve"> consonant with the Bill of Rights. </w:t>
      </w:r>
    </w:p>
    <w:p w:rsidR="00846BCA" w:rsidRPr="007203D4" w:rsidRDefault="007203D4" w:rsidP="007203D4">
      <w:pPr>
        <w:pStyle w:val="ListParagraph"/>
        <w:numPr>
          <w:ilvl w:val="0"/>
          <w:numId w:val="6"/>
        </w:numPr>
        <w:autoSpaceDE w:val="0"/>
        <w:autoSpaceDN w:val="0"/>
        <w:adjustRightInd w:val="0"/>
        <w:spacing w:after="0" w:line="240" w:lineRule="auto"/>
        <w:rPr>
          <w:rFonts w:ascii="Arial" w:hAnsi="Arial" w:cs="Arial"/>
          <w:color w:val="000000"/>
          <w:sz w:val="24"/>
          <w:szCs w:val="24"/>
        </w:rPr>
      </w:pPr>
      <w:r w:rsidRPr="007203D4">
        <w:rPr>
          <w:sz w:val="23"/>
          <w:szCs w:val="23"/>
        </w:rPr>
        <w:t>The Court can also be credited with affirming African values where the husband can be seen as representing his family while the mother-in-law represented her husband’s family. The two families arrived at an agreement that was binding on them in terms of customary law.</w:t>
      </w:r>
    </w:p>
    <w:p w:rsidR="00846BCA" w:rsidRPr="00846BCA" w:rsidRDefault="00846BCA" w:rsidP="00846BCA">
      <w:pPr>
        <w:numPr>
          <w:ilvl w:val="0"/>
          <w:numId w:val="6"/>
        </w:numPr>
        <w:autoSpaceDE w:val="0"/>
        <w:autoSpaceDN w:val="0"/>
        <w:adjustRightInd w:val="0"/>
        <w:spacing w:after="0" w:line="240" w:lineRule="auto"/>
        <w:rPr>
          <w:rFonts w:ascii="Arial" w:hAnsi="Arial" w:cs="Arial"/>
          <w:color w:val="000000"/>
          <w:sz w:val="28"/>
          <w:szCs w:val="28"/>
        </w:rPr>
      </w:pPr>
      <w:r w:rsidRPr="00846BCA">
        <w:rPr>
          <w:rFonts w:ascii="Arial" w:hAnsi="Arial" w:cs="Arial"/>
          <w:color w:val="000000"/>
          <w:sz w:val="28"/>
          <w:szCs w:val="28"/>
        </w:rPr>
        <w:t xml:space="preserve">The court found that the groom was an adult man capable of handling his own affairs, including negotiating his </w:t>
      </w:r>
    </w:p>
    <w:p w:rsidR="00846BCA" w:rsidRPr="00846BCA" w:rsidRDefault="00846BCA" w:rsidP="00846BCA">
      <w:pPr>
        <w:numPr>
          <w:ilvl w:val="0"/>
          <w:numId w:val="7"/>
        </w:numPr>
        <w:autoSpaceDE w:val="0"/>
        <w:autoSpaceDN w:val="0"/>
        <w:adjustRightInd w:val="0"/>
        <w:spacing w:after="0" w:line="240" w:lineRule="auto"/>
        <w:rPr>
          <w:rFonts w:ascii="Arial" w:hAnsi="Arial" w:cs="Arial"/>
          <w:color w:val="000000"/>
          <w:sz w:val="28"/>
          <w:szCs w:val="28"/>
        </w:rPr>
      </w:pPr>
      <w:proofErr w:type="gramStart"/>
      <w:r w:rsidRPr="00846BCA">
        <w:rPr>
          <w:rFonts w:ascii="Arial" w:hAnsi="Arial" w:cs="Arial"/>
          <w:color w:val="000000"/>
          <w:sz w:val="28"/>
          <w:szCs w:val="28"/>
        </w:rPr>
        <w:t>marriage</w:t>
      </w:r>
      <w:proofErr w:type="gramEnd"/>
      <w:r w:rsidRPr="00846BCA">
        <w:rPr>
          <w:rFonts w:ascii="Arial" w:hAnsi="Arial" w:cs="Arial"/>
          <w:color w:val="000000"/>
          <w:sz w:val="28"/>
          <w:szCs w:val="28"/>
        </w:rPr>
        <w:t xml:space="preserve">. His father’s participation was therefore not essential. Similarly, the bride’s mother was found to be capable of handling the affairs of her firmly whilst the husband had absconded, including consenting to her daughter’s customary marriage and accepting her </w:t>
      </w:r>
    </w:p>
    <w:p w:rsidR="00DE6741" w:rsidRPr="00DE6741" w:rsidRDefault="00DE6741" w:rsidP="00094C7B">
      <w:pPr>
        <w:pStyle w:val="ListParagraph"/>
        <w:ind w:left="1440"/>
        <w:jc w:val="both"/>
        <w:rPr>
          <w:rFonts w:ascii="Arial" w:hAnsi="Arial" w:cs="Arial"/>
          <w:sz w:val="24"/>
          <w:szCs w:val="24"/>
        </w:rPr>
      </w:pPr>
    </w:p>
    <w:p w:rsidR="00D77270" w:rsidRDefault="00D77270" w:rsidP="00094C7B">
      <w:pPr>
        <w:pStyle w:val="ListParagraph"/>
        <w:ind w:left="1440"/>
        <w:jc w:val="both"/>
        <w:rPr>
          <w:rFonts w:ascii="Arial" w:hAnsi="Arial" w:cs="Arial"/>
          <w:sz w:val="24"/>
          <w:szCs w:val="24"/>
          <w:lang w:val="en-US"/>
        </w:rPr>
      </w:pPr>
    </w:p>
    <w:p w:rsidR="00A01F85" w:rsidRDefault="00D77270" w:rsidP="00094C7B">
      <w:pPr>
        <w:pStyle w:val="ListParagraph"/>
        <w:ind w:left="1440"/>
        <w:jc w:val="both"/>
        <w:rPr>
          <w:rFonts w:ascii="Arial" w:hAnsi="Arial" w:cs="Arial"/>
          <w:sz w:val="24"/>
          <w:szCs w:val="24"/>
          <w:lang w:val="en-US"/>
        </w:rPr>
      </w:pPr>
      <w:r>
        <w:rPr>
          <w:rFonts w:ascii="Arial" w:hAnsi="Arial" w:cs="Arial"/>
          <w:sz w:val="24"/>
          <w:szCs w:val="24"/>
          <w:lang w:val="en-US"/>
        </w:rPr>
        <w:t xml:space="preserve">The court held </w:t>
      </w:r>
      <w:r w:rsidR="00A01F85">
        <w:rPr>
          <w:rFonts w:ascii="Arial" w:hAnsi="Arial" w:cs="Arial"/>
          <w:sz w:val="24"/>
          <w:szCs w:val="24"/>
          <w:lang w:val="en-US"/>
        </w:rPr>
        <w:tab/>
      </w:r>
    </w:p>
    <w:p w:rsidR="00A01F85" w:rsidRDefault="00A01F85" w:rsidP="00094C7B">
      <w:pPr>
        <w:pStyle w:val="ListParagraph"/>
        <w:ind w:left="1440"/>
        <w:jc w:val="both"/>
        <w:rPr>
          <w:rFonts w:ascii="Arial" w:hAnsi="Arial" w:cs="Arial"/>
          <w:sz w:val="24"/>
          <w:szCs w:val="24"/>
          <w:lang w:val="en-US"/>
        </w:rPr>
      </w:pPr>
    </w:p>
    <w:p w:rsidR="006B5491" w:rsidRPr="00632CC2" w:rsidRDefault="00E33ADA" w:rsidP="00094C7B">
      <w:pPr>
        <w:pStyle w:val="ListParagraph"/>
        <w:ind w:left="1440"/>
        <w:jc w:val="both"/>
        <w:rPr>
          <w:rFonts w:ascii="Arial" w:hAnsi="Arial" w:cs="Arial"/>
          <w:sz w:val="24"/>
          <w:szCs w:val="24"/>
          <w:lang w:val="en-US"/>
        </w:rPr>
      </w:pPr>
      <w:proofErr w:type="gramStart"/>
      <w:r>
        <w:rPr>
          <w:rFonts w:ascii="Arial" w:hAnsi="Arial" w:cs="Arial"/>
          <w:sz w:val="24"/>
          <w:szCs w:val="24"/>
          <w:lang w:val="en-US"/>
        </w:rPr>
        <w:t>before</w:t>
      </w:r>
      <w:proofErr w:type="gramEnd"/>
      <w:r>
        <w:rPr>
          <w:rFonts w:ascii="Arial" w:hAnsi="Arial" w:cs="Arial"/>
          <w:sz w:val="24"/>
          <w:szCs w:val="24"/>
          <w:lang w:val="en-US"/>
        </w:rPr>
        <w:t xml:space="preserve"> the court was whether </w:t>
      </w:r>
      <w:r w:rsidR="009074A6">
        <w:rPr>
          <w:rFonts w:ascii="Arial" w:hAnsi="Arial" w:cs="Arial"/>
          <w:sz w:val="24"/>
          <w:szCs w:val="24"/>
          <w:lang w:val="en-US"/>
        </w:rPr>
        <w:t xml:space="preserve">a woman could negotiate </w:t>
      </w:r>
      <w:proofErr w:type="spellStart"/>
      <w:r w:rsidR="00C16B07">
        <w:rPr>
          <w:rFonts w:ascii="Arial" w:hAnsi="Arial" w:cs="Arial"/>
          <w:sz w:val="24"/>
          <w:szCs w:val="24"/>
          <w:lang w:val="en-US"/>
        </w:rPr>
        <w:t>lobola</w:t>
      </w:r>
      <w:proofErr w:type="spellEnd"/>
      <w:r w:rsidR="00C16B07">
        <w:rPr>
          <w:rFonts w:ascii="Arial" w:hAnsi="Arial" w:cs="Arial"/>
          <w:sz w:val="24"/>
          <w:szCs w:val="24"/>
          <w:lang w:val="en-US"/>
        </w:rPr>
        <w:t xml:space="preserve"> </w:t>
      </w:r>
    </w:p>
    <w:p w:rsidR="00703F4B" w:rsidRPr="00632CC2" w:rsidRDefault="00703F4B" w:rsidP="00094C7B">
      <w:pPr>
        <w:ind w:left="720"/>
        <w:jc w:val="both"/>
        <w:rPr>
          <w:rFonts w:ascii="Arial" w:hAnsi="Arial" w:cs="Arial"/>
          <w:sz w:val="24"/>
          <w:szCs w:val="24"/>
        </w:rPr>
      </w:pPr>
    </w:p>
    <w:p w:rsidR="00A17D65" w:rsidRDefault="00555BE4" w:rsidP="00094C7B">
      <w:pPr>
        <w:ind w:left="720"/>
        <w:jc w:val="both"/>
        <w:rPr>
          <w:rFonts w:ascii="Arial" w:hAnsi="Arial" w:cs="Arial"/>
          <w:b/>
          <w:sz w:val="24"/>
          <w:szCs w:val="24"/>
        </w:rPr>
      </w:pPr>
      <w:r w:rsidRPr="00555BE4">
        <w:rPr>
          <w:rFonts w:ascii="Arial" w:hAnsi="Arial" w:cs="Arial"/>
          <w:b/>
          <w:sz w:val="24"/>
          <w:szCs w:val="24"/>
        </w:rPr>
        <w:t xml:space="preserve">Bibliography </w:t>
      </w:r>
    </w:p>
    <w:p w:rsidR="00555BE4" w:rsidRDefault="00555BE4" w:rsidP="00094C7B">
      <w:pPr>
        <w:ind w:left="720"/>
        <w:jc w:val="both"/>
        <w:rPr>
          <w:rFonts w:ascii="Arial" w:hAnsi="Arial" w:cs="Arial"/>
          <w:b/>
          <w:sz w:val="24"/>
          <w:szCs w:val="24"/>
        </w:rPr>
      </w:pPr>
      <w:r>
        <w:rPr>
          <w:rFonts w:ascii="Arial" w:hAnsi="Arial" w:cs="Arial"/>
          <w:b/>
          <w:sz w:val="24"/>
          <w:szCs w:val="24"/>
        </w:rPr>
        <w:t>Acts</w:t>
      </w:r>
    </w:p>
    <w:p w:rsidR="00555BE4" w:rsidRPr="00555BE4" w:rsidRDefault="00555BE4" w:rsidP="00555BE4">
      <w:pPr>
        <w:ind w:left="720"/>
        <w:jc w:val="both"/>
        <w:rPr>
          <w:rFonts w:ascii="Arial" w:hAnsi="Arial" w:cs="Arial"/>
          <w:b/>
          <w:sz w:val="24"/>
          <w:szCs w:val="24"/>
        </w:rPr>
      </w:pPr>
      <w:r w:rsidRPr="00555BE4">
        <w:rPr>
          <w:rFonts w:ascii="Arial" w:hAnsi="Arial" w:cs="Arial"/>
          <w:sz w:val="24"/>
          <w:szCs w:val="24"/>
        </w:rPr>
        <w:t>Recognition of patrimonial marriages act 120 of 1998</w:t>
      </w:r>
      <w:r w:rsidR="004C3093">
        <w:rPr>
          <w:rFonts w:ascii="Arial" w:hAnsi="Arial" w:cs="Arial"/>
          <w:sz w:val="24"/>
          <w:szCs w:val="24"/>
        </w:rPr>
        <w:t>.</w:t>
      </w:r>
    </w:p>
    <w:p w:rsidR="00555BE4" w:rsidRDefault="00555BE4" w:rsidP="00094C7B">
      <w:pPr>
        <w:ind w:left="720"/>
        <w:jc w:val="both"/>
        <w:rPr>
          <w:rFonts w:ascii="Arial" w:hAnsi="Arial" w:cs="Arial"/>
          <w:b/>
          <w:sz w:val="24"/>
          <w:szCs w:val="24"/>
        </w:rPr>
      </w:pPr>
      <w:r>
        <w:rPr>
          <w:rFonts w:ascii="Arial" w:hAnsi="Arial" w:cs="Arial"/>
          <w:b/>
          <w:sz w:val="24"/>
          <w:szCs w:val="24"/>
        </w:rPr>
        <w:t>Cases</w:t>
      </w:r>
    </w:p>
    <w:p w:rsidR="00555BE4" w:rsidRPr="00555BE4" w:rsidRDefault="00555BE4" w:rsidP="00555BE4">
      <w:pPr>
        <w:ind w:left="720"/>
        <w:jc w:val="both"/>
        <w:rPr>
          <w:rFonts w:ascii="Arial" w:hAnsi="Arial" w:cs="Arial"/>
          <w:b/>
          <w:sz w:val="24"/>
          <w:szCs w:val="24"/>
        </w:rPr>
      </w:pPr>
      <w:proofErr w:type="spellStart"/>
      <w:r w:rsidRPr="00555BE4">
        <w:rPr>
          <w:rFonts w:ascii="Arial" w:hAnsi="Arial" w:cs="Arial"/>
          <w:sz w:val="24"/>
          <w:szCs w:val="24"/>
        </w:rPr>
        <w:t>Ngwenyama</w:t>
      </w:r>
      <w:proofErr w:type="spellEnd"/>
      <w:r w:rsidRPr="00555BE4">
        <w:rPr>
          <w:rFonts w:ascii="Arial" w:hAnsi="Arial" w:cs="Arial"/>
          <w:sz w:val="24"/>
          <w:szCs w:val="24"/>
        </w:rPr>
        <w:t xml:space="preserve"> v </w:t>
      </w:r>
      <w:proofErr w:type="spellStart"/>
      <w:r w:rsidRPr="00555BE4">
        <w:rPr>
          <w:rFonts w:ascii="Arial" w:hAnsi="Arial" w:cs="Arial"/>
          <w:sz w:val="24"/>
          <w:szCs w:val="24"/>
        </w:rPr>
        <w:t>Mayelane</w:t>
      </w:r>
      <w:proofErr w:type="spellEnd"/>
      <w:r w:rsidRPr="00555BE4">
        <w:rPr>
          <w:rFonts w:ascii="Arial" w:hAnsi="Arial" w:cs="Arial"/>
          <w:sz w:val="24"/>
          <w:szCs w:val="24"/>
        </w:rPr>
        <w:t xml:space="preserve"> 2012 (10) BCLR 1071 (SCA)</w:t>
      </w:r>
      <w:r w:rsidR="004C3093">
        <w:rPr>
          <w:rFonts w:ascii="Arial" w:hAnsi="Arial" w:cs="Arial"/>
          <w:sz w:val="24"/>
          <w:szCs w:val="24"/>
        </w:rPr>
        <w:t>.</w:t>
      </w:r>
    </w:p>
    <w:sectPr w:rsidR="00555BE4" w:rsidRPr="00555BE4" w:rsidSect="00907794">
      <w:footerReference w:type="default" r:id="rId8"/>
      <w:pgSz w:w="11906" w:h="16838"/>
      <w:pgMar w:top="1440" w:right="1440" w:bottom="1440"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1A9" w:rsidRDefault="001F61A9" w:rsidP="00FF3ECF">
      <w:pPr>
        <w:spacing w:after="0" w:line="240" w:lineRule="auto"/>
      </w:pPr>
      <w:r>
        <w:separator/>
      </w:r>
    </w:p>
  </w:endnote>
  <w:endnote w:type="continuationSeparator" w:id="0">
    <w:p w:rsidR="001F61A9" w:rsidRDefault="001F61A9" w:rsidP="00FF3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2922099"/>
      <w:docPartObj>
        <w:docPartGallery w:val="Page Numbers (Bottom of Page)"/>
        <w:docPartUnique/>
      </w:docPartObj>
    </w:sdtPr>
    <w:sdtEndPr>
      <w:rPr>
        <w:noProof/>
      </w:rPr>
    </w:sdtEndPr>
    <w:sdtContent>
      <w:p w:rsidR="00FF3ECF" w:rsidRDefault="00FF3ECF">
        <w:pPr>
          <w:pStyle w:val="Footer"/>
          <w:jc w:val="right"/>
        </w:pPr>
        <w:r>
          <w:fldChar w:fldCharType="begin"/>
        </w:r>
        <w:r>
          <w:instrText xml:space="preserve"> PAGE   \* MERGEFORMAT </w:instrText>
        </w:r>
        <w:r>
          <w:fldChar w:fldCharType="separate"/>
        </w:r>
        <w:r w:rsidR="009D3B5C">
          <w:rPr>
            <w:noProof/>
          </w:rPr>
          <w:t>9</w:t>
        </w:r>
        <w:r>
          <w:rPr>
            <w:noProof/>
          </w:rPr>
          <w:fldChar w:fldCharType="end"/>
        </w:r>
      </w:p>
    </w:sdtContent>
  </w:sdt>
  <w:p w:rsidR="00FF3ECF" w:rsidRDefault="00FF3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1A9" w:rsidRDefault="001F61A9" w:rsidP="00FF3ECF">
      <w:pPr>
        <w:spacing w:after="0" w:line="240" w:lineRule="auto"/>
      </w:pPr>
      <w:r>
        <w:separator/>
      </w:r>
    </w:p>
  </w:footnote>
  <w:footnote w:type="continuationSeparator" w:id="0">
    <w:p w:rsidR="001F61A9" w:rsidRDefault="001F61A9" w:rsidP="00FF3ECF">
      <w:pPr>
        <w:spacing w:after="0" w:line="240" w:lineRule="auto"/>
      </w:pPr>
      <w:r>
        <w:continuationSeparator/>
      </w:r>
    </w:p>
  </w:footnote>
  <w:footnote w:id="1">
    <w:p w:rsidR="002E2D4C" w:rsidRPr="00B22E21" w:rsidRDefault="002E2D4C" w:rsidP="00B22E21">
      <w:pPr>
        <w:pStyle w:val="Default"/>
        <w:rPr>
          <w:rFonts w:asciiTheme="minorHAnsi" w:hAnsiTheme="minorHAnsi" w:cstheme="minorBidi"/>
          <w:color w:val="auto"/>
          <w:sz w:val="20"/>
          <w:szCs w:val="20"/>
        </w:rPr>
      </w:pPr>
      <w:r>
        <w:rPr>
          <w:rStyle w:val="FootnoteReference"/>
        </w:rPr>
        <w:footnoteRef/>
      </w:r>
      <w:r>
        <w:t xml:space="preserve"> </w:t>
      </w:r>
      <w:proofErr w:type="spellStart"/>
      <w:r w:rsidRPr="002E2D4C">
        <w:rPr>
          <w:rFonts w:asciiTheme="minorHAnsi" w:hAnsiTheme="minorHAnsi" w:cstheme="minorBidi"/>
          <w:color w:val="auto"/>
          <w:sz w:val="20"/>
          <w:szCs w:val="20"/>
        </w:rPr>
        <w:t>Ngwenyama</w:t>
      </w:r>
      <w:proofErr w:type="spellEnd"/>
      <w:r w:rsidRPr="002E2D4C">
        <w:rPr>
          <w:rFonts w:asciiTheme="minorHAnsi" w:hAnsiTheme="minorHAnsi" w:cstheme="minorBidi"/>
          <w:color w:val="auto"/>
          <w:sz w:val="20"/>
          <w:szCs w:val="20"/>
        </w:rPr>
        <w:t xml:space="preserve"> v </w:t>
      </w:r>
      <w:proofErr w:type="spellStart"/>
      <w:r w:rsidRPr="002E2D4C">
        <w:rPr>
          <w:rFonts w:asciiTheme="minorHAnsi" w:hAnsiTheme="minorHAnsi" w:cstheme="minorBidi"/>
          <w:color w:val="auto"/>
          <w:sz w:val="20"/>
          <w:szCs w:val="20"/>
        </w:rPr>
        <w:t>Mayelane</w:t>
      </w:r>
      <w:proofErr w:type="spellEnd"/>
      <w:r w:rsidRPr="002E2D4C">
        <w:rPr>
          <w:rFonts w:asciiTheme="minorHAnsi" w:hAnsiTheme="minorHAnsi" w:cstheme="minorBidi"/>
          <w:color w:val="auto"/>
          <w:sz w:val="20"/>
          <w:szCs w:val="20"/>
        </w:rPr>
        <w:t xml:space="preserve"> 2012 (10) BCLR 1071 (SCA) </w:t>
      </w:r>
      <w:r>
        <w:rPr>
          <w:rFonts w:asciiTheme="minorHAnsi" w:hAnsiTheme="minorHAnsi" w:cstheme="minorBidi"/>
          <w:color w:val="auto"/>
          <w:sz w:val="20"/>
          <w:szCs w:val="20"/>
        </w:rPr>
        <w:t xml:space="preserve">(herein referred to as </w:t>
      </w:r>
      <w:r w:rsidR="0016404B">
        <w:rPr>
          <w:rFonts w:asciiTheme="minorHAnsi" w:hAnsiTheme="minorHAnsi" w:cstheme="minorBidi"/>
          <w:color w:val="auto"/>
          <w:sz w:val="20"/>
          <w:szCs w:val="20"/>
        </w:rPr>
        <w:t>‘</w:t>
      </w:r>
      <w:proofErr w:type="spellStart"/>
      <w:r w:rsidRPr="002E2D4C">
        <w:rPr>
          <w:rFonts w:asciiTheme="minorHAnsi" w:hAnsiTheme="minorHAnsi" w:cstheme="minorBidi"/>
          <w:color w:val="auto"/>
          <w:sz w:val="20"/>
          <w:szCs w:val="20"/>
        </w:rPr>
        <w:t>Ngwenyama</w:t>
      </w:r>
      <w:proofErr w:type="spellEnd"/>
      <w:r w:rsidR="0016404B">
        <w:rPr>
          <w:rFonts w:asciiTheme="minorHAnsi" w:hAnsiTheme="minorHAnsi" w:cstheme="minorBidi"/>
          <w:color w:val="auto"/>
          <w:sz w:val="20"/>
          <w:szCs w:val="20"/>
        </w:rPr>
        <w:t>’</w:t>
      </w:r>
      <w:r>
        <w:rPr>
          <w:rFonts w:asciiTheme="minorHAnsi" w:hAnsiTheme="minorHAnsi" w:cstheme="minorBidi"/>
          <w:color w:val="auto"/>
          <w:sz w:val="20"/>
          <w:szCs w:val="20"/>
        </w:rPr>
        <w:t>)</w:t>
      </w:r>
      <w:r w:rsidR="0016404B">
        <w:rPr>
          <w:rFonts w:asciiTheme="minorHAnsi" w:hAnsiTheme="minorHAnsi" w:cstheme="minorBidi"/>
          <w:color w:val="auto"/>
          <w:sz w:val="20"/>
          <w:szCs w:val="20"/>
        </w:rPr>
        <w:t xml:space="preserve"> para </w:t>
      </w:r>
      <w:r w:rsidR="00D02CA4">
        <w:rPr>
          <w:rFonts w:asciiTheme="minorHAnsi" w:hAnsiTheme="minorHAnsi" w:cstheme="minorBidi"/>
          <w:color w:val="auto"/>
          <w:sz w:val="20"/>
          <w:szCs w:val="20"/>
        </w:rPr>
        <w:t xml:space="preserve">1, </w:t>
      </w:r>
      <w:r w:rsidR="007F3A18">
        <w:rPr>
          <w:rFonts w:asciiTheme="minorHAnsi" w:hAnsiTheme="minorHAnsi" w:cstheme="minorBidi"/>
          <w:color w:val="auto"/>
          <w:sz w:val="20"/>
          <w:szCs w:val="20"/>
        </w:rPr>
        <w:t xml:space="preserve">5, </w:t>
      </w:r>
      <w:r w:rsidR="00D02CA4">
        <w:rPr>
          <w:rFonts w:asciiTheme="minorHAnsi" w:hAnsiTheme="minorHAnsi" w:cstheme="minorBidi"/>
          <w:color w:val="auto"/>
          <w:sz w:val="20"/>
          <w:szCs w:val="20"/>
        </w:rPr>
        <w:t>6.</w:t>
      </w:r>
    </w:p>
  </w:footnote>
  <w:footnote w:id="2">
    <w:p w:rsidR="00B22E21" w:rsidRPr="00B22E21" w:rsidRDefault="00B22E21">
      <w:pPr>
        <w:pStyle w:val="FootnoteText"/>
        <w:rPr>
          <w:lang w:val="en-US"/>
        </w:rPr>
      </w:pPr>
      <w:r>
        <w:rPr>
          <w:rStyle w:val="FootnoteReference"/>
        </w:rPr>
        <w:footnoteRef/>
      </w:r>
      <w:r>
        <w:t xml:space="preserve"> </w:t>
      </w:r>
      <w:proofErr w:type="spellStart"/>
      <w:r w:rsidRPr="002E2D4C">
        <w:t>Ngwenyama</w:t>
      </w:r>
      <w:proofErr w:type="spellEnd"/>
      <w:r>
        <w:t xml:space="preserve"> para 28</w:t>
      </w:r>
      <w:r w:rsidR="00F26D1E">
        <w:t>.</w:t>
      </w:r>
    </w:p>
  </w:footnote>
  <w:footnote w:id="3">
    <w:p w:rsidR="00B84DDC" w:rsidRPr="00B84DDC" w:rsidRDefault="00B84DDC" w:rsidP="00500383">
      <w:pPr>
        <w:spacing w:after="0"/>
        <w:jc w:val="both"/>
        <w:rPr>
          <w:lang w:val="en-US"/>
        </w:rPr>
      </w:pPr>
      <w:r>
        <w:rPr>
          <w:rStyle w:val="FootnoteReference"/>
        </w:rPr>
        <w:footnoteRef/>
      </w:r>
      <w:r>
        <w:t xml:space="preserve"> </w:t>
      </w:r>
      <w:r w:rsidR="0051204B" w:rsidRPr="000E6E07">
        <w:rPr>
          <w:sz w:val="20"/>
          <w:szCs w:val="20"/>
        </w:rPr>
        <w:t>Recognition of patrimonial marriages act 120 of 1998</w:t>
      </w:r>
      <w:r w:rsidR="0051204B">
        <w:t xml:space="preserve"> </w:t>
      </w:r>
      <w:r w:rsidR="000E6E07">
        <w:t>(hereafter referred to as ‘</w:t>
      </w:r>
      <w:r>
        <w:rPr>
          <w:lang w:val="en-US"/>
        </w:rPr>
        <w:t>RCMA</w:t>
      </w:r>
      <w:r w:rsidR="000E6E07">
        <w:rPr>
          <w:lang w:val="en-US"/>
        </w:rPr>
        <w:t>’) S</w:t>
      </w:r>
      <w:r>
        <w:rPr>
          <w:lang w:val="en-US"/>
        </w:rPr>
        <w:t xml:space="preserve"> 3(1</w:t>
      </w:r>
      <w:proofErr w:type="gramStart"/>
      <w:r>
        <w:rPr>
          <w:lang w:val="en-US"/>
        </w:rPr>
        <w:t>)(</w:t>
      </w:r>
      <w:proofErr w:type="gramEnd"/>
      <w:r>
        <w:rPr>
          <w:lang w:val="en-US"/>
        </w:rPr>
        <w:t>a)(</w:t>
      </w:r>
      <w:proofErr w:type="spellStart"/>
      <w:r>
        <w:rPr>
          <w:lang w:val="en-US"/>
        </w:rPr>
        <w:t>i</w:t>
      </w:r>
      <w:proofErr w:type="spellEnd"/>
      <w:r>
        <w:rPr>
          <w:lang w:val="en-US"/>
        </w:rPr>
        <w:t>).</w:t>
      </w:r>
    </w:p>
  </w:footnote>
  <w:footnote w:id="4">
    <w:p w:rsidR="00500383" w:rsidRPr="00500383" w:rsidRDefault="00500383">
      <w:pPr>
        <w:pStyle w:val="FootnoteText"/>
        <w:rPr>
          <w:lang w:val="en-US"/>
        </w:rPr>
      </w:pPr>
      <w:r>
        <w:rPr>
          <w:rStyle w:val="FootnoteReference"/>
        </w:rPr>
        <w:footnoteRef/>
      </w:r>
      <w:r>
        <w:t xml:space="preserve"> </w:t>
      </w:r>
      <w:r>
        <w:rPr>
          <w:lang w:val="en-US"/>
        </w:rPr>
        <w:t>RCMA S 3(1</w:t>
      </w:r>
      <w:proofErr w:type="gramStart"/>
      <w:r>
        <w:rPr>
          <w:lang w:val="en-US"/>
        </w:rPr>
        <w:t>)(</w:t>
      </w:r>
      <w:proofErr w:type="gramEnd"/>
      <w:r>
        <w:rPr>
          <w:lang w:val="en-US"/>
        </w:rPr>
        <w:t>a)(ii).</w:t>
      </w:r>
    </w:p>
  </w:footnote>
  <w:footnote w:id="5">
    <w:p w:rsidR="001E1037" w:rsidRPr="001E1037" w:rsidRDefault="001E1037">
      <w:pPr>
        <w:pStyle w:val="FootnoteText"/>
        <w:rPr>
          <w:lang w:val="en-US"/>
        </w:rPr>
      </w:pPr>
      <w:r>
        <w:rPr>
          <w:rStyle w:val="FootnoteReference"/>
        </w:rPr>
        <w:footnoteRef/>
      </w:r>
      <w:r>
        <w:t xml:space="preserve"> </w:t>
      </w:r>
      <w:r>
        <w:rPr>
          <w:lang w:val="en-US"/>
        </w:rPr>
        <w:t>RCMA S 3(1</w:t>
      </w:r>
      <w:proofErr w:type="gramStart"/>
      <w:r>
        <w:rPr>
          <w:lang w:val="en-US"/>
        </w:rPr>
        <w:t>)(</w:t>
      </w:r>
      <w:proofErr w:type="gramEnd"/>
      <w:r>
        <w:rPr>
          <w:lang w:val="en-US"/>
        </w:rPr>
        <w:t>b).</w:t>
      </w:r>
    </w:p>
  </w:footnote>
  <w:footnote w:id="6">
    <w:p w:rsidR="000D130D" w:rsidRDefault="000D130D">
      <w:pPr>
        <w:pStyle w:val="FootnoteText"/>
      </w:pPr>
      <w:r>
        <w:rPr>
          <w:rStyle w:val="FootnoteReference"/>
        </w:rPr>
        <w:footnoteRef/>
      </w:r>
      <w:r>
        <w:t xml:space="preserve"> </w:t>
      </w:r>
      <w:proofErr w:type="spellStart"/>
      <w:r w:rsidRPr="002E2D4C">
        <w:t>Ngwenyama</w:t>
      </w:r>
      <w:proofErr w:type="spellEnd"/>
      <w:r>
        <w:t xml:space="preserve"> para 23</w:t>
      </w:r>
      <w:r w:rsidR="00994C7A">
        <w:t>, 37</w:t>
      </w:r>
      <w:r>
        <w:t>.</w:t>
      </w:r>
    </w:p>
  </w:footnote>
  <w:footnote w:id="7">
    <w:p w:rsidR="00D2119B" w:rsidRDefault="00D2119B">
      <w:pPr>
        <w:pStyle w:val="FootnoteText"/>
      </w:pPr>
      <w:r>
        <w:rPr>
          <w:rStyle w:val="FootnoteReference"/>
        </w:rPr>
        <w:footnoteRef/>
      </w:r>
      <w:r>
        <w:t xml:space="preserve"> </w:t>
      </w:r>
      <w:proofErr w:type="spellStart"/>
      <w:r w:rsidR="00E33673" w:rsidRPr="002E2D4C">
        <w:t>Ngwenyama</w:t>
      </w:r>
      <w:proofErr w:type="spellEnd"/>
      <w:r w:rsidR="00E33673">
        <w:t xml:space="preserve"> para 37.</w:t>
      </w:r>
    </w:p>
  </w:footnote>
  <w:footnote w:id="8">
    <w:p w:rsidR="00FF25AD" w:rsidRDefault="00FF25AD">
      <w:pPr>
        <w:pStyle w:val="FootnoteText"/>
      </w:pPr>
      <w:r>
        <w:rPr>
          <w:rStyle w:val="FootnoteReference"/>
        </w:rPr>
        <w:footnoteRef/>
      </w:r>
      <w:r>
        <w:t xml:space="preserve"> </w:t>
      </w:r>
      <w:proofErr w:type="spellStart"/>
      <w:r w:rsidRPr="002E2D4C">
        <w:t>Ngwenyama</w:t>
      </w:r>
      <w:proofErr w:type="spellEnd"/>
      <w:r>
        <w:t xml:space="preserve"> para 37.</w:t>
      </w:r>
    </w:p>
  </w:footnote>
  <w:footnote w:id="9">
    <w:p w:rsidR="006F3400" w:rsidRPr="004F7548" w:rsidRDefault="006F3400">
      <w:pPr>
        <w:pStyle w:val="FootnoteText"/>
        <w:rPr>
          <w:lang w:val="en-US"/>
        </w:rPr>
      </w:pPr>
      <w:r>
        <w:rPr>
          <w:rStyle w:val="FootnoteReference"/>
        </w:rPr>
        <w:footnoteRef/>
      </w:r>
      <w:r>
        <w:t xml:space="preserve"> </w:t>
      </w:r>
      <w:proofErr w:type="spellStart"/>
      <w:r w:rsidRPr="002E2D4C">
        <w:t>Ngwenyama</w:t>
      </w:r>
      <w:proofErr w:type="spellEnd"/>
      <w:r>
        <w:t xml:space="preserve"> para 37.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1915B4D"/>
    <w:multiLevelType w:val="hybridMultilevel"/>
    <w:tmpl w:val="B80973D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308815"/>
    <w:multiLevelType w:val="hybridMultilevel"/>
    <w:tmpl w:val="9D5B66B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8224FE"/>
    <w:multiLevelType w:val="hybridMultilevel"/>
    <w:tmpl w:val="25A02FA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B56640E"/>
    <w:multiLevelType w:val="hybridMultilevel"/>
    <w:tmpl w:val="9D74132C"/>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7D973F1"/>
    <w:multiLevelType w:val="hybridMultilevel"/>
    <w:tmpl w:val="6EBA46F6"/>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5C08C56"/>
    <w:multiLevelType w:val="hybridMultilevel"/>
    <w:tmpl w:val="2709B1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3506C75"/>
    <w:multiLevelType w:val="hybridMultilevel"/>
    <w:tmpl w:val="3477F85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BF05986"/>
    <w:multiLevelType w:val="hybridMultilevel"/>
    <w:tmpl w:val="D7CADAA8"/>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D9948B9"/>
    <w:multiLevelType w:val="hybridMultilevel"/>
    <w:tmpl w:val="D7CADAA8"/>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F8D296C"/>
    <w:multiLevelType w:val="hybridMultilevel"/>
    <w:tmpl w:val="ABE9454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4"/>
  </w:num>
  <w:num w:numId="3">
    <w:abstractNumId w:val="3"/>
  </w:num>
  <w:num w:numId="4">
    <w:abstractNumId w:val="5"/>
  </w:num>
  <w:num w:numId="5">
    <w:abstractNumId w:val="0"/>
  </w:num>
  <w:num w:numId="6">
    <w:abstractNumId w:val="9"/>
  </w:num>
  <w:num w:numId="7">
    <w:abstractNumId w:val="2"/>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F67"/>
    <w:rsid w:val="00004B01"/>
    <w:rsid w:val="000254D5"/>
    <w:rsid w:val="00034D58"/>
    <w:rsid w:val="0003545E"/>
    <w:rsid w:val="0007688B"/>
    <w:rsid w:val="00094C7B"/>
    <w:rsid w:val="000D130D"/>
    <w:rsid w:val="000E6E07"/>
    <w:rsid w:val="00113F50"/>
    <w:rsid w:val="001208B7"/>
    <w:rsid w:val="00124280"/>
    <w:rsid w:val="0016404B"/>
    <w:rsid w:val="00194BE2"/>
    <w:rsid w:val="001B55CE"/>
    <w:rsid w:val="001C572E"/>
    <w:rsid w:val="001C6442"/>
    <w:rsid w:val="001E1037"/>
    <w:rsid w:val="001F61A9"/>
    <w:rsid w:val="00216F98"/>
    <w:rsid w:val="00224B45"/>
    <w:rsid w:val="002372FB"/>
    <w:rsid w:val="00291A63"/>
    <w:rsid w:val="0029709E"/>
    <w:rsid w:val="002A0D40"/>
    <w:rsid w:val="002E2D4C"/>
    <w:rsid w:val="002F219E"/>
    <w:rsid w:val="00302DD1"/>
    <w:rsid w:val="003057AC"/>
    <w:rsid w:val="00307981"/>
    <w:rsid w:val="0037314E"/>
    <w:rsid w:val="00385B7B"/>
    <w:rsid w:val="003B0641"/>
    <w:rsid w:val="003B4B9D"/>
    <w:rsid w:val="003D74B7"/>
    <w:rsid w:val="003E079B"/>
    <w:rsid w:val="003E132B"/>
    <w:rsid w:val="003F3F92"/>
    <w:rsid w:val="00417321"/>
    <w:rsid w:val="00455A20"/>
    <w:rsid w:val="00495773"/>
    <w:rsid w:val="004A5398"/>
    <w:rsid w:val="004B301A"/>
    <w:rsid w:val="004C3093"/>
    <w:rsid w:val="004E5C30"/>
    <w:rsid w:val="004E6F92"/>
    <w:rsid w:val="004F3F05"/>
    <w:rsid w:val="004F7548"/>
    <w:rsid w:val="004F7CBB"/>
    <w:rsid w:val="00500383"/>
    <w:rsid w:val="005061FF"/>
    <w:rsid w:val="005071E9"/>
    <w:rsid w:val="0051204B"/>
    <w:rsid w:val="005167E0"/>
    <w:rsid w:val="00547D42"/>
    <w:rsid w:val="00555BE4"/>
    <w:rsid w:val="00622234"/>
    <w:rsid w:val="00632CC2"/>
    <w:rsid w:val="00632F40"/>
    <w:rsid w:val="006520EA"/>
    <w:rsid w:val="00654F67"/>
    <w:rsid w:val="006570F0"/>
    <w:rsid w:val="00695583"/>
    <w:rsid w:val="006B5491"/>
    <w:rsid w:val="006C69C3"/>
    <w:rsid w:val="006F3400"/>
    <w:rsid w:val="006F70A1"/>
    <w:rsid w:val="00703F4B"/>
    <w:rsid w:val="007203D4"/>
    <w:rsid w:val="007225CE"/>
    <w:rsid w:val="00750159"/>
    <w:rsid w:val="00782431"/>
    <w:rsid w:val="007A6FC1"/>
    <w:rsid w:val="007D1096"/>
    <w:rsid w:val="007F3A18"/>
    <w:rsid w:val="007F5F4F"/>
    <w:rsid w:val="008119C3"/>
    <w:rsid w:val="0081628D"/>
    <w:rsid w:val="00846BCA"/>
    <w:rsid w:val="00870B09"/>
    <w:rsid w:val="00887AF9"/>
    <w:rsid w:val="00895BC6"/>
    <w:rsid w:val="008B7079"/>
    <w:rsid w:val="008C1B1C"/>
    <w:rsid w:val="009074A6"/>
    <w:rsid w:val="00907794"/>
    <w:rsid w:val="00951A02"/>
    <w:rsid w:val="00951B9F"/>
    <w:rsid w:val="00956328"/>
    <w:rsid w:val="009740C3"/>
    <w:rsid w:val="00994C7A"/>
    <w:rsid w:val="009B1103"/>
    <w:rsid w:val="009C1EB3"/>
    <w:rsid w:val="009D3B5C"/>
    <w:rsid w:val="009D6FE0"/>
    <w:rsid w:val="00A01F85"/>
    <w:rsid w:val="00A02840"/>
    <w:rsid w:val="00A063EF"/>
    <w:rsid w:val="00A17D65"/>
    <w:rsid w:val="00A31355"/>
    <w:rsid w:val="00AD5D68"/>
    <w:rsid w:val="00AE5378"/>
    <w:rsid w:val="00B22E21"/>
    <w:rsid w:val="00B40D39"/>
    <w:rsid w:val="00B84D4C"/>
    <w:rsid w:val="00B84DDC"/>
    <w:rsid w:val="00BA1AA7"/>
    <w:rsid w:val="00BB7AF9"/>
    <w:rsid w:val="00BC1D63"/>
    <w:rsid w:val="00BF121C"/>
    <w:rsid w:val="00C05007"/>
    <w:rsid w:val="00C076DB"/>
    <w:rsid w:val="00C16B07"/>
    <w:rsid w:val="00CA2C61"/>
    <w:rsid w:val="00CB2681"/>
    <w:rsid w:val="00CC6B19"/>
    <w:rsid w:val="00D02CA4"/>
    <w:rsid w:val="00D1736F"/>
    <w:rsid w:val="00D2119B"/>
    <w:rsid w:val="00D46744"/>
    <w:rsid w:val="00D46EDC"/>
    <w:rsid w:val="00D77270"/>
    <w:rsid w:val="00D91539"/>
    <w:rsid w:val="00DA3295"/>
    <w:rsid w:val="00DE6741"/>
    <w:rsid w:val="00E04BA2"/>
    <w:rsid w:val="00E05FC0"/>
    <w:rsid w:val="00E23C1C"/>
    <w:rsid w:val="00E33673"/>
    <w:rsid w:val="00E33ADA"/>
    <w:rsid w:val="00E37128"/>
    <w:rsid w:val="00E616A1"/>
    <w:rsid w:val="00E87962"/>
    <w:rsid w:val="00EA374E"/>
    <w:rsid w:val="00EE6237"/>
    <w:rsid w:val="00EF0DAD"/>
    <w:rsid w:val="00F2017D"/>
    <w:rsid w:val="00F26B0F"/>
    <w:rsid w:val="00F26D1E"/>
    <w:rsid w:val="00F34124"/>
    <w:rsid w:val="00F55DA7"/>
    <w:rsid w:val="00F802AA"/>
    <w:rsid w:val="00FE136E"/>
    <w:rsid w:val="00FE7462"/>
    <w:rsid w:val="00FF1236"/>
    <w:rsid w:val="00FF15E8"/>
    <w:rsid w:val="00FF25AD"/>
    <w:rsid w:val="00FF3E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0BEA"/>
  <w15:chartTrackingRefBased/>
  <w15:docId w15:val="{7D5FDA62-0129-4F8C-B81C-45EA0ECF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4B0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703F4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B5491"/>
    <w:pPr>
      <w:ind w:left="720"/>
      <w:contextualSpacing/>
    </w:pPr>
  </w:style>
  <w:style w:type="paragraph" w:styleId="Header">
    <w:name w:val="header"/>
    <w:basedOn w:val="Normal"/>
    <w:link w:val="HeaderChar"/>
    <w:uiPriority w:val="99"/>
    <w:unhideWhenUsed/>
    <w:rsid w:val="00FF3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ECF"/>
  </w:style>
  <w:style w:type="paragraph" w:styleId="Footer">
    <w:name w:val="footer"/>
    <w:basedOn w:val="Normal"/>
    <w:link w:val="FooterChar"/>
    <w:uiPriority w:val="99"/>
    <w:unhideWhenUsed/>
    <w:rsid w:val="00FF3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ECF"/>
  </w:style>
  <w:style w:type="paragraph" w:styleId="TOCHeading">
    <w:name w:val="TOC Heading"/>
    <w:basedOn w:val="Heading1"/>
    <w:next w:val="Normal"/>
    <w:uiPriority w:val="39"/>
    <w:unhideWhenUsed/>
    <w:qFormat/>
    <w:rsid w:val="00FF3ECF"/>
    <w:pPr>
      <w:outlineLvl w:val="9"/>
    </w:pPr>
    <w:rPr>
      <w:lang w:val="en-US"/>
    </w:rPr>
  </w:style>
  <w:style w:type="paragraph" w:styleId="TOC1">
    <w:name w:val="toc 1"/>
    <w:basedOn w:val="Normal"/>
    <w:next w:val="Normal"/>
    <w:autoRedefine/>
    <w:uiPriority w:val="39"/>
    <w:unhideWhenUsed/>
    <w:rsid w:val="00FF3ECF"/>
    <w:pPr>
      <w:spacing w:after="100"/>
    </w:pPr>
  </w:style>
  <w:style w:type="paragraph" w:styleId="TOC2">
    <w:name w:val="toc 2"/>
    <w:basedOn w:val="Normal"/>
    <w:next w:val="Normal"/>
    <w:autoRedefine/>
    <w:uiPriority w:val="39"/>
    <w:unhideWhenUsed/>
    <w:rsid w:val="00FF3ECF"/>
    <w:pPr>
      <w:spacing w:after="100"/>
      <w:ind w:left="220"/>
    </w:pPr>
  </w:style>
  <w:style w:type="character" w:styleId="Hyperlink">
    <w:name w:val="Hyperlink"/>
    <w:basedOn w:val="DefaultParagraphFont"/>
    <w:uiPriority w:val="99"/>
    <w:unhideWhenUsed/>
    <w:rsid w:val="00FF3ECF"/>
    <w:rPr>
      <w:color w:val="0563C1" w:themeColor="hyperlink"/>
      <w:u w:val="single"/>
    </w:rPr>
  </w:style>
  <w:style w:type="paragraph" w:styleId="FootnoteText">
    <w:name w:val="footnote text"/>
    <w:basedOn w:val="Normal"/>
    <w:link w:val="FootnoteTextChar"/>
    <w:uiPriority w:val="99"/>
    <w:semiHidden/>
    <w:unhideWhenUsed/>
    <w:rsid w:val="002E2D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2D4C"/>
    <w:rPr>
      <w:sz w:val="20"/>
      <w:szCs w:val="20"/>
    </w:rPr>
  </w:style>
  <w:style w:type="character" w:styleId="FootnoteReference">
    <w:name w:val="footnote reference"/>
    <w:basedOn w:val="DefaultParagraphFont"/>
    <w:uiPriority w:val="99"/>
    <w:semiHidden/>
    <w:unhideWhenUsed/>
    <w:rsid w:val="002E2D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580FE-E0CB-45BB-9AF7-3CA60A162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15</Pages>
  <Words>3949</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Mpumelelo</dc:creator>
  <cp:keywords/>
  <dc:description/>
  <cp:lastModifiedBy>Mpumelelo</cp:lastModifiedBy>
  <cp:revision>87</cp:revision>
  <dcterms:created xsi:type="dcterms:W3CDTF">2020-11-24T13:28:00Z</dcterms:created>
  <dcterms:modified xsi:type="dcterms:W3CDTF">2020-11-24T22:29:00Z</dcterms:modified>
</cp:coreProperties>
</file>