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B01" w:rsidRPr="00632CC2" w:rsidRDefault="00004B01" w:rsidP="00094C7B">
      <w:pPr>
        <w:pStyle w:val="Default"/>
        <w:ind w:left="720"/>
        <w:jc w:val="both"/>
        <w:rPr>
          <w:rFonts w:ascii="Arial" w:hAnsi="Arial" w:cs="Arial"/>
        </w:rPr>
      </w:pPr>
    </w:p>
    <w:tbl>
      <w:tblPr>
        <w:tblW w:w="9064" w:type="dxa"/>
        <w:tblInd w:w="612" w:type="dxa"/>
        <w:tblBorders>
          <w:top w:val="nil"/>
          <w:left w:val="nil"/>
          <w:bottom w:val="nil"/>
          <w:right w:val="nil"/>
        </w:tblBorders>
        <w:tblLayout w:type="fixed"/>
        <w:tblLook w:val="0000" w:firstRow="0" w:lastRow="0" w:firstColumn="0" w:lastColumn="0" w:noHBand="0" w:noVBand="0"/>
      </w:tblPr>
      <w:tblGrid>
        <w:gridCol w:w="9064"/>
      </w:tblGrid>
      <w:tr w:rsidR="00004B01" w:rsidRPr="00632CC2" w:rsidTr="00AD5D68">
        <w:trPr>
          <w:trHeight w:val="486"/>
        </w:trPr>
        <w:tc>
          <w:tcPr>
            <w:tcW w:w="9064" w:type="dxa"/>
          </w:tcPr>
          <w:p w:rsidR="00004B01" w:rsidRPr="00632CC2" w:rsidRDefault="00004B01" w:rsidP="00094C7B">
            <w:pPr>
              <w:pStyle w:val="Default"/>
              <w:jc w:val="both"/>
              <w:rPr>
                <w:rFonts w:ascii="Arial" w:hAnsi="Arial" w:cs="Arial"/>
                <w:b/>
                <w:bCs/>
              </w:rPr>
            </w:pPr>
            <w:r w:rsidRPr="00632CC2">
              <w:rPr>
                <w:rFonts w:ascii="Arial" w:hAnsi="Arial" w:cs="Arial"/>
                <w:b/>
                <w:bCs/>
                <w:i/>
                <w:iCs/>
              </w:rPr>
              <w:t xml:space="preserve">Advanced Indigenous Law </w:t>
            </w:r>
            <w:r w:rsidRPr="00632CC2">
              <w:rPr>
                <w:rFonts w:ascii="Arial" w:hAnsi="Arial" w:cs="Arial"/>
                <w:b/>
                <w:bCs/>
              </w:rPr>
              <w:t>LCP4804</w:t>
            </w:r>
          </w:p>
          <w:p w:rsidR="00004B01" w:rsidRPr="00632CC2" w:rsidRDefault="00004B01" w:rsidP="00094C7B">
            <w:pPr>
              <w:pStyle w:val="Default"/>
              <w:jc w:val="both"/>
              <w:rPr>
                <w:rFonts w:ascii="Arial" w:hAnsi="Arial" w:cs="Arial"/>
              </w:rPr>
            </w:pPr>
            <w:r w:rsidRPr="00632CC2">
              <w:rPr>
                <w:rFonts w:ascii="Arial" w:hAnsi="Arial" w:cs="Arial"/>
                <w:b/>
                <w:bCs/>
              </w:rPr>
              <w:t xml:space="preserve">October/November 2020  </w:t>
            </w:r>
          </w:p>
        </w:tc>
      </w:tr>
    </w:tbl>
    <w:p w:rsidR="00004B01" w:rsidRPr="00632CC2" w:rsidRDefault="00004B01" w:rsidP="00094C7B">
      <w:pPr>
        <w:ind w:left="720"/>
        <w:jc w:val="both"/>
        <w:rPr>
          <w:rFonts w:ascii="Arial" w:hAnsi="Arial" w:cs="Arial"/>
          <w:sz w:val="24"/>
          <w:szCs w:val="24"/>
          <w:lang w:val="en-US"/>
        </w:rPr>
      </w:pPr>
    </w:p>
    <w:p w:rsidR="00654F67" w:rsidRPr="00632CC2" w:rsidRDefault="00004B01" w:rsidP="00094C7B">
      <w:pPr>
        <w:ind w:left="720"/>
        <w:jc w:val="both"/>
        <w:rPr>
          <w:rFonts w:ascii="Arial" w:hAnsi="Arial" w:cs="Arial"/>
          <w:sz w:val="24"/>
          <w:szCs w:val="24"/>
          <w:lang w:val="en-US"/>
        </w:rPr>
      </w:pPr>
      <w:r w:rsidRPr="00632CC2">
        <w:rPr>
          <w:rFonts w:ascii="Arial" w:hAnsi="Arial" w:cs="Arial"/>
          <w:b/>
          <w:sz w:val="24"/>
          <w:szCs w:val="24"/>
          <w:lang w:val="en-US"/>
        </w:rPr>
        <w:t>Name</w:t>
      </w:r>
      <w:r w:rsidRPr="00632CC2">
        <w:rPr>
          <w:rFonts w:ascii="Arial" w:hAnsi="Arial" w:cs="Arial"/>
          <w:sz w:val="24"/>
          <w:szCs w:val="24"/>
          <w:lang w:val="en-US"/>
        </w:rPr>
        <w:t xml:space="preserve">: Mpumelelo </w:t>
      </w:r>
      <w:proofErr w:type="spellStart"/>
      <w:r w:rsidRPr="00632CC2">
        <w:rPr>
          <w:rFonts w:ascii="Arial" w:hAnsi="Arial" w:cs="Arial"/>
          <w:sz w:val="24"/>
          <w:szCs w:val="24"/>
          <w:lang w:val="en-US"/>
        </w:rPr>
        <w:t>Hlongwane</w:t>
      </w:r>
      <w:proofErr w:type="spellEnd"/>
    </w:p>
    <w:p w:rsidR="00004B01" w:rsidRPr="00632CC2" w:rsidRDefault="00004B01" w:rsidP="00094C7B">
      <w:pPr>
        <w:ind w:left="720"/>
        <w:jc w:val="both"/>
        <w:rPr>
          <w:rFonts w:ascii="Arial" w:hAnsi="Arial" w:cs="Arial"/>
          <w:sz w:val="24"/>
          <w:szCs w:val="24"/>
          <w:lang w:val="en-US"/>
        </w:rPr>
      </w:pPr>
      <w:r w:rsidRPr="00632CC2">
        <w:rPr>
          <w:rFonts w:ascii="Arial" w:hAnsi="Arial" w:cs="Arial"/>
          <w:b/>
          <w:sz w:val="24"/>
          <w:szCs w:val="24"/>
          <w:lang w:val="en-US"/>
        </w:rPr>
        <w:t>ID no.</w:t>
      </w:r>
      <w:r w:rsidRPr="00632CC2">
        <w:rPr>
          <w:rFonts w:ascii="Arial" w:hAnsi="Arial" w:cs="Arial"/>
          <w:sz w:val="24"/>
          <w:szCs w:val="24"/>
          <w:lang w:val="en-US"/>
        </w:rPr>
        <w:t xml:space="preserve"> 8510016038085</w:t>
      </w:r>
    </w:p>
    <w:p w:rsidR="00004B01" w:rsidRPr="00632CC2" w:rsidRDefault="00004B01" w:rsidP="00094C7B">
      <w:pPr>
        <w:ind w:left="720"/>
        <w:jc w:val="both"/>
        <w:rPr>
          <w:rFonts w:ascii="Arial" w:hAnsi="Arial" w:cs="Arial"/>
          <w:sz w:val="24"/>
          <w:szCs w:val="24"/>
          <w:lang w:val="en-US"/>
        </w:rPr>
      </w:pPr>
      <w:r w:rsidRPr="00632CC2">
        <w:rPr>
          <w:rFonts w:ascii="Arial" w:hAnsi="Arial" w:cs="Arial"/>
          <w:b/>
          <w:sz w:val="24"/>
          <w:szCs w:val="24"/>
          <w:lang w:val="en-US"/>
        </w:rPr>
        <w:t>Student number:</w:t>
      </w:r>
      <w:r w:rsidRPr="00632CC2">
        <w:rPr>
          <w:rFonts w:ascii="Arial" w:hAnsi="Arial" w:cs="Arial"/>
          <w:sz w:val="24"/>
          <w:szCs w:val="24"/>
          <w:lang w:val="en-US"/>
        </w:rPr>
        <w:t xml:space="preserve"> 45511209</w:t>
      </w: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Default="00703F4B"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Pr="00E04BA2" w:rsidRDefault="00E04BA2" w:rsidP="00094C7B">
      <w:pPr>
        <w:ind w:left="720"/>
        <w:jc w:val="both"/>
        <w:rPr>
          <w:rFonts w:ascii="Arial" w:hAnsi="Arial" w:cs="Arial"/>
          <w:b/>
          <w:sz w:val="24"/>
          <w:szCs w:val="24"/>
          <w:lang w:val="en-US"/>
        </w:rPr>
      </w:pPr>
      <w:r w:rsidRPr="00E04BA2">
        <w:rPr>
          <w:rFonts w:ascii="Arial" w:hAnsi="Arial" w:cs="Arial"/>
          <w:b/>
          <w:sz w:val="24"/>
          <w:szCs w:val="24"/>
          <w:lang w:val="en-US"/>
        </w:rPr>
        <w:lastRenderedPageBreak/>
        <w:t xml:space="preserve">Abbreviations </w:t>
      </w:r>
    </w:p>
    <w:p w:rsidR="00E04BA2" w:rsidRPr="00632CC2" w:rsidRDefault="00E04BA2" w:rsidP="00094C7B">
      <w:pPr>
        <w:ind w:left="720"/>
        <w:jc w:val="both"/>
        <w:rPr>
          <w:rFonts w:ascii="Arial" w:hAnsi="Arial" w:cs="Arial"/>
          <w:sz w:val="24"/>
          <w:szCs w:val="24"/>
          <w:lang w:val="en-US"/>
        </w:rPr>
      </w:pPr>
      <w:r w:rsidRPr="00E04BA2">
        <w:rPr>
          <w:rFonts w:ascii="Arial" w:hAnsi="Arial" w:cs="Arial"/>
          <w:b/>
          <w:sz w:val="24"/>
          <w:szCs w:val="24"/>
          <w:lang w:val="en-US"/>
        </w:rPr>
        <w:t>RCMA</w:t>
      </w:r>
      <w:r>
        <w:rPr>
          <w:rFonts w:ascii="Arial" w:hAnsi="Arial" w:cs="Arial"/>
          <w:b/>
          <w:sz w:val="24"/>
          <w:szCs w:val="24"/>
          <w:lang w:val="en-US"/>
        </w:rPr>
        <w:t xml:space="preserve"> </w:t>
      </w:r>
      <w:r w:rsidRPr="00E04BA2">
        <w:rPr>
          <w:rFonts w:ascii="Arial" w:hAnsi="Arial" w:cs="Arial"/>
          <w:sz w:val="24"/>
          <w:szCs w:val="24"/>
          <w:lang w:val="en-US"/>
        </w:rPr>
        <w:t xml:space="preserve">= </w:t>
      </w:r>
      <w:r>
        <w:rPr>
          <w:rFonts w:ascii="Arial" w:hAnsi="Arial" w:cs="Arial"/>
          <w:sz w:val="24"/>
          <w:szCs w:val="24"/>
          <w:lang w:val="en-US"/>
        </w:rPr>
        <w:t xml:space="preserve">Recognition of patrimonial </w:t>
      </w:r>
      <w:r w:rsidR="003E079B">
        <w:rPr>
          <w:rFonts w:ascii="Arial" w:hAnsi="Arial" w:cs="Arial"/>
          <w:sz w:val="24"/>
          <w:szCs w:val="24"/>
          <w:lang w:val="en-US"/>
        </w:rPr>
        <w:t>marriages</w:t>
      </w:r>
      <w:r>
        <w:rPr>
          <w:rFonts w:ascii="Arial" w:hAnsi="Arial" w:cs="Arial"/>
          <w:sz w:val="24"/>
          <w:szCs w:val="24"/>
          <w:lang w:val="en-US"/>
        </w:rPr>
        <w:t xml:space="preserve"> act </w:t>
      </w:r>
      <w:r w:rsidR="009B1103">
        <w:rPr>
          <w:rFonts w:ascii="Arial" w:hAnsi="Arial" w:cs="Arial"/>
          <w:sz w:val="24"/>
          <w:szCs w:val="24"/>
          <w:lang w:val="en-US"/>
        </w:rPr>
        <w:t>120 of 1998</w:t>
      </w:r>
    </w:p>
    <w:p w:rsidR="00703F4B" w:rsidRDefault="00277582" w:rsidP="00094C7B">
      <w:pPr>
        <w:ind w:left="720"/>
        <w:jc w:val="both"/>
        <w:rPr>
          <w:rFonts w:ascii="Arial" w:hAnsi="Arial" w:cs="Arial"/>
          <w:b/>
          <w:sz w:val="24"/>
          <w:szCs w:val="24"/>
          <w:lang w:val="en-US"/>
        </w:rPr>
      </w:pPr>
      <w:r w:rsidRPr="00277582">
        <w:rPr>
          <w:rFonts w:ascii="Arial" w:hAnsi="Arial" w:cs="Arial"/>
          <w:b/>
          <w:sz w:val="24"/>
          <w:szCs w:val="24"/>
          <w:lang w:val="en-US"/>
        </w:rPr>
        <w:t>SCA</w:t>
      </w:r>
      <w:r>
        <w:rPr>
          <w:rFonts w:ascii="Arial" w:hAnsi="Arial" w:cs="Arial"/>
          <w:b/>
          <w:sz w:val="24"/>
          <w:szCs w:val="24"/>
          <w:lang w:val="en-US"/>
        </w:rPr>
        <w:t xml:space="preserve"> </w:t>
      </w:r>
      <w:r w:rsidRPr="00B303F5">
        <w:rPr>
          <w:rFonts w:ascii="Arial" w:hAnsi="Arial" w:cs="Arial"/>
          <w:sz w:val="24"/>
          <w:szCs w:val="24"/>
          <w:lang w:val="en-US"/>
        </w:rPr>
        <w:t>=</w:t>
      </w:r>
      <w:r>
        <w:rPr>
          <w:rFonts w:ascii="Arial" w:hAnsi="Arial" w:cs="Arial"/>
          <w:b/>
          <w:sz w:val="24"/>
          <w:szCs w:val="24"/>
          <w:lang w:val="en-US"/>
        </w:rPr>
        <w:t xml:space="preserve"> </w:t>
      </w:r>
      <w:r w:rsidRPr="007721CE">
        <w:rPr>
          <w:rFonts w:ascii="Arial" w:hAnsi="Arial" w:cs="Arial"/>
          <w:sz w:val="24"/>
          <w:szCs w:val="24"/>
          <w:lang w:val="en-US"/>
        </w:rPr>
        <w:t>Supreme court of Appeal</w:t>
      </w:r>
    </w:p>
    <w:p w:rsidR="00277582" w:rsidRPr="00277582" w:rsidRDefault="00277582" w:rsidP="00094C7B">
      <w:pPr>
        <w:ind w:left="720"/>
        <w:jc w:val="both"/>
        <w:rPr>
          <w:rFonts w:ascii="Arial" w:hAnsi="Arial" w:cs="Arial"/>
          <w:b/>
          <w:sz w:val="24"/>
          <w:szCs w:val="24"/>
          <w:lang w:val="en-US"/>
        </w:rPr>
      </w:pPr>
      <w:r>
        <w:rPr>
          <w:rFonts w:ascii="Arial" w:hAnsi="Arial" w:cs="Arial"/>
          <w:b/>
          <w:sz w:val="24"/>
          <w:szCs w:val="24"/>
          <w:lang w:val="en-US"/>
        </w:rPr>
        <w:t xml:space="preserve">LCC </w:t>
      </w:r>
      <w:r w:rsidRPr="00B303F5">
        <w:rPr>
          <w:rFonts w:ascii="Arial" w:hAnsi="Arial" w:cs="Arial"/>
          <w:sz w:val="24"/>
          <w:szCs w:val="24"/>
          <w:lang w:val="en-US"/>
        </w:rPr>
        <w:t>=</w:t>
      </w:r>
      <w:r>
        <w:rPr>
          <w:rFonts w:ascii="Arial" w:hAnsi="Arial" w:cs="Arial"/>
          <w:b/>
          <w:sz w:val="24"/>
          <w:szCs w:val="24"/>
          <w:lang w:val="en-US"/>
        </w:rPr>
        <w:t xml:space="preserve"> </w:t>
      </w:r>
      <w:r w:rsidRPr="007721CE">
        <w:rPr>
          <w:rFonts w:ascii="Arial" w:hAnsi="Arial" w:cs="Arial"/>
          <w:sz w:val="24"/>
          <w:szCs w:val="24"/>
          <w:lang w:val="en-US"/>
        </w:rPr>
        <w:t>Land Claims Court</w:t>
      </w:r>
      <w:r>
        <w:rPr>
          <w:rFonts w:ascii="Arial" w:hAnsi="Arial" w:cs="Arial"/>
          <w:b/>
          <w:sz w:val="24"/>
          <w:szCs w:val="24"/>
          <w:lang w:val="en-US"/>
        </w:rPr>
        <w:t xml:space="preserve"> </w:t>
      </w:r>
    </w:p>
    <w:p w:rsidR="00703F4B" w:rsidRPr="00632CC2" w:rsidRDefault="00277582" w:rsidP="00094C7B">
      <w:pPr>
        <w:ind w:left="720"/>
        <w:jc w:val="both"/>
        <w:rPr>
          <w:rFonts w:ascii="Arial" w:hAnsi="Arial" w:cs="Arial"/>
          <w:sz w:val="24"/>
          <w:szCs w:val="24"/>
          <w:lang w:val="en-US"/>
        </w:rPr>
      </w:pPr>
      <w:r>
        <w:rPr>
          <w:rFonts w:ascii="Arial" w:hAnsi="Arial" w:cs="Arial"/>
          <w:sz w:val="24"/>
          <w:szCs w:val="24"/>
          <w:lang w:val="en-US"/>
        </w:rPr>
        <w:t xml:space="preserve"> </w:t>
      </w: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Default="00FF3ECF"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Pr="00632CC2" w:rsidRDefault="0003545E"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sdt>
      <w:sdtPr>
        <w:rPr>
          <w:rFonts w:ascii="Arial" w:eastAsiaTheme="minorHAnsi" w:hAnsi="Arial" w:cs="Arial"/>
          <w:color w:val="auto"/>
          <w:sz w:val="24"/>
          <w:szCs w:val="24"/>
          <w:lang w:val="en-ZA"/>
        </w:rPr>
        <w:id w:val="1085421814"/>
        <w:docPartObj>
          <w:docPartGallery w:val="Table of Contents"/>
          <w:docPartUnique/>
        </w:docPartObj>
      </w:sdtPr>
      <w:sdtEndPr>
        <w:rPr>
          <w:b/>
          <w:bCs/>
          <w:noProof/>
        </w:rPr>
      </w:sdtEndPr>
      <w:sdtContent>
        <w:p w:rsidR="00FF3ECF" w:rsidRPr="00632CC2" w:rsidRDefault="00FF3ECF" w:rsidP="00094C7B">
          <w:pPr>
            <w:pStyle w:val="TOCHeading"/>
            <w:ind w:left="720"/>
            <w:jc w:val="both"/>
            <w:rPr>
              <w:rFonts w:ascii="Arial" w:hAnsi="Arial" w:cs="Arial"/>
              <w:b/>
              <w:color w:val="auto"/>
              <w:sz w:val="24"/>
              <w:szCs w:val="24"/>
            </w:rPr>
          </w:pPr>
          <w:r w:rsidRPr="00632CC2">
            <w:rPr>
              <w:rFonts w:ascii="Arial" w:hAnsi="Arial" w:cs="Arial"/>
              <w:b/>
              <w:color w:val="auto"/>
              <w:sz w:val="24"/>
              <w:szCs w:val="24"/>
            </w:rPr>
            <w:t>Contents</w:t>
          </w:r>
        </w:p>
        <w:p w:rsidR="008B7079" w:rsidRPr="00632CC2" w:rsidRDefault="008B7079" w:rsidP="00094C7B">
          <w:pPr>
            <w:ind w:left="720"/>
            <w:jc w:val="both"/>
            <w:rPr>
              <w:rFonts w:ascii="Arial" w:hAnsi="Arial" w:cs="Arial"/>
              <w:sz w:val="24"/>
              <w:szCs w:val="24"/>
              <w:lang w:val="en-US"/>
            </w:rPr>
          </w:pPr>
        </w:p>
        <w:p w:rsidR="008B7079" w:rsidRPr="00632CC2" w:rsidRDefault="00FF3ECF" w:rsidP="00094C7B">
          <w:pPr>
            <w:pStyle w:val="TOC1"/>
            <w:tabs>
              <w:tab w:val="right" w:leader="dot" w:pos="9016"/>
            </w:tabs>
            <w:ind w:left="720"/>
            <w:jc w:val="both"/>
            <w:rPr>
              <w:rFonts w:ascii="Arial" w:eastAsiaTheme="minorEastAsia" w:hAnsi="Arial" w:cs="Arial"/>
              <w:noProof/>
              <w:sz w:val="24"/>
              <w:szCs w:val="24"/>
              <w:lang w:eastAsia="en-ZA"/>
            </w:rPr>
          </w:pPr>
          <w:r w:rsidRPr="00632CC2">
            <w:rPr>
              <w:rFonts w:ascii="Arial" w:hAnsi="Arial" w:cs="Arial"/>
              <w:sz w:val="24"/>
              <w:szCs w:val="24"/>
            </w:rPr>
            <w:fldChar w:fldCharType="begin"/>
          </w:r>
          <w:r w:rsidRPr="00632CC2">
            <w:rPr>
              <w:rFonts w:ascii="Arial" w:hAnsi="Arial" w:cs="Arial"/>
              <w:sz w:val="24"/>
              <w:szCs w:val="24"/>
            </w:rPr>
            <w:instrText xml:space="preserve"> TOC \o "1-3" \h \z \u </w:instrText>
          </w:r>
          <w:r w:rsidRPr="00632CC2">
            <w:rPr>
              <w:rFonts w:ascii="Arial" w:hAnsi="Arial" w:cs="Arial"/>
              <w:sz w:val="24"/>
              <w:szCs w:val="24"/>
            </w:rPr>
            <w:fldChar w:fldCharType="separate"/>
          </w:r>
          <w:hyperlink w:anchor="_Toc57128484" w:history="1">
            <w:r w:rsidR="008B7079" w:rsidRPr="00632CC2">
              <w:rPr>
                <w:rStyle w:val="Hyperlink"/>
                <w:rFonts w:ascii="Arial" w:hAnsi="Arial" w:cs="Arial"/>
                <w:b/>
                <w:noProof/>
                <w:sz w:val="24"/>
                <w:szCs w:val="24"/>
                <w:lang w:val="en-US"/>
              </w:rPr>
              <w:t>Question 1</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_Toc57128484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6A6247" w:rsidP="00094C7B">
          <w:pPr>
            <w:pStyle w:val="TOC2"/>
            <w:tabs>
              <w:tab w:val="right" w:leader="dot" w:pos="9016"/>
            </w:tabs>
            <w:ind w:left="940"/>
            <w:jc w:val="both"/>
            <w:rPr>
              <w:rFonts w:ascii="Arial" w:eastAsiaTheme="minorEastAsia" w:hAnsi="Arial" w:cs="Arial"/>
              <w:noProof/>
              <w:sz w:val="24"/>
              <w:szCs w:val="24"/>
              <w:lang w:eastAsia="en-ZA"/>
            </w:rPr>
          </w:pPr>
          <w:hyperlink w:anchor="_Toc57128485" w:history="1">
            <w:r w:rsidR="008B7079" w:rsidRPr="00632CC2">
              <w:rPr>
                <w:rStyle w:val="Hyperlink"/>
                <w:rFonts w:ascii="Arial" w:hAnsi="Arial" w:cs="Arial"/>
                <w:noProof/>
                <w:sz w:val="24"/>
                <w:szCs w:val="24"/>
                <w:lang w:val="en-US"/>
              </w:rPr>
              <w:t>a.</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_Toc57128485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6A6247" w:rsidP="00094C7B">
          <w:pPr>
            <w:pStyle w:val="TOC2"/>
            <w:tabs>
              <w:tab w:val="right" w:leader="dot" w:pos="9016"/>
            </w:tabs>
            <w:ind w:left="940"/>
            <w:jc w:val="both"/>
            <w:rPr>
              <w:rFonts w:ascii="Arial" w:eastAsiaTheme="minorEastAsia" w:hAnsi="Arial" w:cs="Arial"/>
              <w:noProof/>
              <w:sz w:val="24"/>
              <w:szCs w:val="24"/>
              <w:lang w:eastAsia="en-ZA"/>
            </w:rPr>
          </w:pPr>
          <w:hyperlink w:anchor="_Toc57128486" w:history="1">
            <w:r w:rsidR="008B7079" w:rsidRPr="00632CC2">
              <w:rPr>
                <w:rStyle w:val="Hyperlink"/>
                <w:rFonts w:ascii="Arial" w:hAnsi="Arial" w:cs="Arial"/>
                <w:noProof/>
                <w:sz w:val="24"/>
                <w:szCs w:val="24"/>
                <w:lang w:val="en-US"/>
              </w:rPr>
              <w:t>b.</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_Toc57128486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6A6247" w:rsidP="00094C7B">
          <w:pPr>
            <w:pStyle w:val="TOC1"/>
            <w:tabs>
              <w:tab w:val="right" w:leader="dot" w:pos="9016"/>
            </w:tabs>
            <w:ind w:left="720"/>
            <w:jc w:val="both"/>
            <w:rPr>
              <w:rFonts w:ascii="Arial" w:eastAsiaTheme="minorEastAsia" w:hAnsi="Arial" w:cs="Arial"/>
              <w:noProof/>
              <w:sz w:val="24"/>
              <w:szCs w:val="24"/>
              <w:lang w:eastAsia="en-ZA"/>
            </w:rPr>
          </w:pPr>
          <w:hyperlink w:anchor="_Toc57128487" w:history="1">
            <w:r w:rsidR="008B7079" w:rsidRPr="00632CC2">
              <w:rPr>
                <w:rStyle w:val="Hyperlink"/>
                <w:rFonts w:ascii="Arial" w:hAnsi="Arial" w:cs="Arial"/>
                <w:b/>
                <w:noProof/>
                <w:sz w:val="24"/>
                <w:szCs w:val="24"/>
                <w:lang w:val="en-US"/>
              </w:rPr>
              <w:t>Question 2</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_Toc57128487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6A6247" w:rsidP="00094C7B">
          <w:pPr>
            <w:pStyle w:val="TOC1"/>
            <w:tabs>
              <w:tab w:val="right" w:leader="dot" w:pos="9016"/>
            </w:tabs>
            <w:ind w:left="720"/>
            <w:jc w:val="both"/>
            <w:rPr>
              <w:rFonts w:ascii="Arial" w:eastAsiaTheme="minorEastAsia" w:hAnsi="Arial" w:cs="Arial"/>
              <w:noProof/>
              <w:sz w:val="24"/>
              <w:szCs w:val="24"/>
              <w:lang w:eastAsia="en-ZA"/>
            </w:rPr>
          </w:pPr>
          <w:hyperlink w:anchor="_Toc57128488" w:history="1">
            <w:r w:rsidR="008B7079" w:rsidRPr="00632CC2">
              <w:rPr>
                <w:rStyle w:val="Hyperlink"/>
                <w:rFonts w:ascii="Arial" w:hAnsi="Arial" w:cs="Arial"/>
                <w:b/>
                <w:noProof/>
                <w:sz w:val="24"/>
                <w:szCs w:val="24"/>
                <w:lang w:val="en-US"/>
              </w:rPr>
              <w:t>Question 3</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_Toc57128488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6A6247" w:rsidP="00094C7B">
          <w:pPr>
            <w:pStyle w:val="TOC2"/>
            <w:tabs>
              <w:tab w:val="right" w:leader="dot" w:pos="9016"/>
            </w:tabs>
            <w:ind w:left="940"/>
            <w:jc w:val="both"/>
            <w:rPr>
              <w:rFonts w:ascii="Arial" w:eastAsiaTheme="minorEastAsia" w:hAnsi="Arial" w:cs="Arial"/>
              <w:noProof/>
              <w:sz w:val="24"/>
              <w:szCs w:val="24"/>
              <w:lang w:eastAsia="en-ZA"/>
            </w:rPr>
          </w:pPr>
          <w:hyperlink w:anchor="_Toc57128489" w:history="1">
            <w:r w:rsidR="008B7079" w:rsidRPr="00632CC2">
              <w:rPr>
                <w:rStyle w:val="Hyperlink"/>
                <w:rFonts w:ascii="Arial" w:hAnsi="Arial" w:cs="Arial"/>
                <w:noProof/>
                <w:sz w:val="24"/>
                <w:szCs w:val="24"/>
                <w:lang w:val="en-US"/>
              </w:rPr>
              <w:t>a.</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_Toc57128489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6A6247" w:rsidP="00094C7B">
          <w:pPr>
            <w:pStyle w:val="TOC2"/>
            <w:tabs>
              <w:tab w:val="right" w:leader="dot" w:pos="9016"/>
            </w:tabs>
            <w:ind w:left="940"/>
            <w:jc w:val="both"/>
            <w:rPr>
              <w:rFonts w:ascii="Arial" w:eastAsiaTheme="minorEastAsia" w:hAnsi="Arial" w:cs="Arial"/>
              <w:noProof/>
              <w:sz w:val="24"/>
              <w:szCs w:val="24"/>
              <w:lang w:eastAsia="en-ZA"/>
            </w:rPr>
          </w:pPr>
          <w:hyperlink w:anchor="_Toc57128490" w:history="1">
            <w:r w:rsidR="008B7079" w:rsidRPr="00632CC2">
              <w:rPr>
                <w:rStyle w:val="Hyperlink"/>
                <w:rFonts w:ascii="Arial" w:hAnsi="Arial" w:cs="Arial"/>
                <w:noProof/>
                <w:sz w:val="24"/>
                <w:szCs w:val="24"/>
                <w:lang w:val="en-US"/>
              </w:rPr>
              <w:t>b.</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_Toc57128490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6A6247" w:rsidP="00094C7B">
          <w:pPr>
            <w:pStyle w:val="TOC2"/>
            <w:tabs>
              <w:tab w:val="right" w:leader="dot" w:pos="9016"/>
            </w:tabs>
            <w:ind w:left="940"/>
            <w:jc w:val="both"/>
            <w:rPr>
              <w:rFonts w:ascii="Arial" w:eastAsiaTheme="minorEastAsia" w:hAnsi="Arial" w:cs="Arial"/>
              <w:noProof/>
              <w:sz w:val="24"/>
              <w:szCs w:val="24"/>
              <w:lang w:eastAsia="en-ZA"/>
            </w:rPr>
          </w:pPr>
          <w:hyperlink w:anchor="_Toc57128491" w:history="1">
            <w:r w:rsidR="008B7079" w:rsidRPr="00632CC2">
              <w:rPr>
                <w:rStyle w:val="Hyperlink"/>
                <w:rFonts w:ascii="Arial" w:hAnsi="Arial" w:cs="Arial"/>
                <w:noProof/>
                <w:sz w:val="24"/>
                <w:szCs w:val="24"/>
                <w:lang w:val="en-US"/>
              </w:rPr>
              <w:t>c.</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_Toc57128491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FF3ECF" w:rsidRPr="00632CC2" w:rsidRDefault="00FF3ECF" w:rsidP="00094C7B">
          <w:pPr>
            <w:ind w:left="720"/>
            <w:jc w:val="both"/>
            <w:rPr>
              <w:rFonts w:ascii="Arial" w:hAnsi="Arial" w:cs="Arial"/>
              <w:sz w:val="24"/>
              <w:szCs w:val="24"/>
            </w:rPr>
          </w:pPr>
          <w:r w:rsidRPr="00632CC2">
            <w:rPr>
              <w:rFonts w:ascii="Arial" w:hAnsi="Arial" w:cs="Arial"/>
              <w:b/>
              <w:bCs/>
              <w:noProof/>
              <w:sz w:val="24"/>
              <w:szCs w:val="24"/>
            </w:rPr>
            <w:fldChar w:fldCharType="end"/>
          </w:r>
        </w:p>
      </w:sdtContent>
    </w:sdt>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rPr>
        <w:sectPr w:rsidR="00FF3ECF" w:rsidRPr="00632CC2">
          <w:pgSz w:w="11906" w:h="16838"/>
          <w:pgMar w:top="1440" w:right="1440" w:bottom="1440" w:left="1440" w:header="708" w:footer="708" w:gutter="0"/>
          <w:cols w:space="708"/>
          <w:docGrid w:linePitch="360"/>
        </w:sectPr>
      </w:pPr>
    </w:p>
    <w:p w:rsidR="00124280" w:rsidRPr="00632CC2" w:rsidRDefault="00124280" w:rsidP="00094C7B">
      <w:pPr>
        <w:ind w:left="720"/>
        <w:jc w:val="both"/>
        <w:rPr>
          <w:rFonts w:ascii="Arial" w:hAnsi="Arial" w:cs="Arial"/>
          <w:sz w:val="24"/>
          <w:szCs w:val="24"/>
          <w:lang w:val="en-US"/>
        </w:rPr>
      </w:pPr>
    </w:p>
    <w:p w:rsidR="00004B01" w:rsidRPr="00632CC2" w:rsidRDefault="00703F4B" w:rsidP="00094C7B">
      <w:pPr>
        <w:pStyle w:val="Heading1"/>
        <w:ind w:left="720"/>
        <w:jc w:val="both"/>
        <w:rPr>
          <w:rFonts w:ascii="Arial" w:hAnsi="Arial" w:cs="Arial"/>
          <w:b/>
          <w:color w:val="auto"/>
          <w:sz w:val="24"/>
          <w:szCs w:val="24"/>
          <w:lang w:val="en-US"/>
        </w:rPr>
      </w:pPr>
      <w:bookmarkStart w:id="0" w:name="_Toc57128484"/>
      <w:r w:rsidRPr="00632CC2">
        <w:rPr>
          <w:rFonts w:ascii="Arial" w:hAnsi="Arial" w:cs="Arial"/>
          <w:b/>
          <w:color w:val="auto"/>
          <w:sz w:val="24"/>
          <w:szCs w:val="24"/>
          <w:lang w:val="en-US"/>
        </w:rPr>
        <w:t>Question 1</w:t>
      </w:r>
      <w:bookmarkEnd w:id="0"/>
    </w:p>
    <w:p w:rsidR="00FC4093" w:rsidRDefault="00FC4093" w:rsidP="00094C7B">
      <w:pPr>
        <w:pStyle w:val="ListParagraph"/>
        <w:numPr>
          <w:ilvl w:val="0"/>
          <w:numId w:val="1"/>
        </w:numPr>
        <w:ind w:left="1440"/>
        <w:jc w:val="both"/>
        <w:outlineLvl w:val="1"/>
        <w:rPr>
          <w:rFonts w:ascii="Arial" w:hAnsi="Arial" w:cs="Arial"/>
          <w:sz w:val="24"/>
          <w:szCs w:val="24"/>
          <w:lang w:val="en-US"/>
        </w:rPr>
      </w:pPr>
      <w:bookmarkStart w:id="1" w:name="_Toc57128485"/>
      <w:bookmarkEnd w:id="1"/>
    </w:p>
    <w:p w:rsidR="003D74B7" w:rsidRPr="003879E0" w:rsidRDefault="00FC4093" w:rsidP="00FC4093">
      <w:pPr>
        <w:pStyle w:val="ListParagraph"/>
        <w:ind w:left="1440"/>
        <w:jc w:val="both"/>
        <w:rPr>
          <w:rFonts w:ascii="Arial" w:hAnsi="Arial" w:cs="Arial"/>
          <w:b/>
          <w:sz w:val="24"/>
          <w:szCs w:val="24"/>
          <w:lang w:val="en-US"/>
        </w:rPr>
      </w:pPr>
      <w:r w:rsidRPr="003879E0">
        <w:rPr>
          <w:rFonts w:ascii="Arial" w:hAnsi="Arial" w:cs="Arial"/>
          <w:b/>
          <w:sz w:val="24"/>
          <w:szCs w:val="24"/>
          <w:lang w:val="en-US"/>
        </w:rPr>
        <w:t xml:space="preserve">Brief History </w:t>
      </w:r>
    </w:p>
    <w:p w:rsidR="00DE2B63" w:rsidRPr="00DE2B63" w:rsidRDefault="00FC4093" w:rsidP="00DE2B63">
      <w:pPr>
        <w:pStyle w:val="ListParagraph"/>
        <w:ind w:left="1440"/>
        <w:jc w:val="both"/>
        <w:rPr>
          <w:rFonts w:ascii="Arial" w:hAnsi="Arial" w:cs="Arial"/>
          <w:sz w:val="24"/>
          <w:szCs w:val="24"/>
          <w:lang w:val="en-US"/>
        </w:rPr>
      </w:pPr>
      <w:r>
        <w:rPr>
          <w:rFonts w:ascii="Arial" w:hAnsi="Arial" w:cs="Arial"/>
          <w:sz w:val="24"/>
          <w:szCs w:val="24"/>
          <w:lang w:val="en-US"/>
        </w:rPr>
        <w:t>In order for use to understand the development of customary law we must briefly examine the development of customary law in South Africa, particularly the areas that r</w:t>
      </w:r>
      <w:r w:rsidR="00DE2B63">
        <w:rPr>
          <w:rFonts w:ascii="Arial" w:hAnsi="Arial" w:cs="Arial"/>
          <w:sz w:val="24"/>
          <w:szCs w:val="24"/>
          <w:lang w:val="en-US"/>
        </w:rPr>
        <w:t>elegated the customary law from its primary law status in South Africa</w:t>
      </w:r>
      <w:r w:rsidR="00A86B99">
        <w:rPr>
          <w:rFonts w:ascii="Arial" w:hAnsi="Arial" w:cs="Arial"/>
          <w:sz w:val="24"/>
          <w:szCs w:val="24"/>
          <w:lang w:val="en-US"/>
        </w:rPr>
        <w:t xml:space="preserve"> and what lead to it being placed as a source of law equivalent to the common law</w:t>
      </w:r>
      <w:r>
        <w:rPr>
          <w:rFonts w:ascii="Arial" w:hAnsi="Arial" w:cs="Arial"/>
          <w:sz w:val="24"/>
          <w:szCs w:val="24"/>
          <w:lang w:val="en-US"/>
        </w:rPr>
        <w:t>:</w:t>
      </w:r>
    </w:p>
    <w:p w:rsidR="00FC4093" w:rsidRDefault="00DE2B63" w:rsidP="00DE2B63">
      <w:pPr>
        <w:pStyle w:val="ListParagraph"/>
        <w:numPr>
          <w:ilvl w:val="0"/>
          <w:numId w:val="11"/>
        </w:numPr>
        <w:jc w:val="both"/>
        <w:rPr>
          <w:rFonts w:ascii="Arial" w:hAnsi="Arial" w:cs="Arial"/>
          <w:sz w:val="24"/>
          <w:szCs w:val="24"/>
          <w:lang w:val="en-US"/>
        </w:rPr>
      </w:pPr>
      <w:r>
        <w:rPr>
          <w:rFonts w:ascii="Arial" w:hAnsi="Arial" w:cs="Arial"/>
          <w:sz w:val="24"/>
          <w:szCs w:val="24"/>
          <w:lang w:val="en-US"/>
        </w:rPr>
        <w:t xml:space="preserve">Colonial era (period from 1652 – 1909): </w:t>
      </w:r>
    </w:p>
    <w:p w:rsidR="00DE2B63" w:rsidRDefault="00DE2B63" w:rsidP="00DE2B63">
      <w:pPr>
        <w:pStyle w:val="ListParagraph"/>
        <w:ind w:left="2232"/>
        <w:jc w:val="both"/>
        <w:rPr>
          <w:rFonts w:ascii="Arial" w:hAnsi="Arial" w:cs="Arial"/>
          <w:sz w:val="24"/>
          <w:szCs w:val="24"/>
          <w:lang w:val="en-US"/>
        </w:rPr>
      </w:pPr>
      <w:r>
        <w:rPr>
          <w:rFonts w:ascii="Arial" w:hAnsi="Arial" w:cs="Arial"/>
          <w:sz w:val="24"/>
          <w:szCs w:val="24"/>
          <w:lang w:val="en-US"/>
        </w:rPr>
        <w:t>This period sow the dispossession of indigenous people’</w:t>
      </w:r>
      <w:r w:rsidR="00AD6806">
        <w:rPr>
          <w:rFonts w:ascii="Arial" w:hAnsi="Arial" w:cs="Arial"/>
          <w:sz w:val="24"/>
          <w:szCs w:val="24"/>
          <w:lang w:val="en-US"/>
        </w:rPr>
        <w:t>s land, starting with the K</w:t>
      </w:r>
      <w:r w:rsidR="003879E0">
        <w:rPr>
          <w:rFonts w:ascii="Arial" w:hAnsi="Arial" w:cs="Arial"/>
          <w:sz w:val="24"/>
          <w:szCs w:val="24"/>
          <w:lang w:val="en-US"/>
        </w:rPr>
        <w:t>hoisan and eventual the other.</w:t>
      </w:r>
    </w:p>
    <w:p w:rsidR="00AD6806" w:rsidRDefault="00AD6806" w:rsidP="00AD6806">
      <w:pPr>
        <w:pStyle w:val="ListParagraph"/>
        <w:numPr>
          <w:ilvl w:val="0"/>
          <w:numId w:val="11"/>
        </w:numPr>
        <w:jc w:val="both"/>
        <w:rPr>
          <w:rFonts w:ascii="Arial" w:hAnsi="Arial" w:cs="Arial"/>
          <w:sz w:val="24"/>
          <w:szCs w:val="24"/>
          <w:lang w:val="en-US"/>
        </w:rPr>
      </w:pPr>
      <w:r>
        <w:rPr>
          <w:rFonts w:ascii="Arial" w:hAnsi="Arial" w:cs="Arial"/>
          <w:sz w:val="24"/>
          <w:szCs w:val="24"/>
          <w:lang w:val="en-US"/>
        </w:rPr>
        <w:t xml:space="preserve">The Union era (1910 -1947): </w:t>
      </w:r>
    </w:p>
    <w:p w:rsidR="00AD6806" w:rsidRDefault="00AD6806" w:rsidP="00AD6806">
      <w:pPr>
        <w:pStyle w:val="ListParagraph"/>
        <w:ind w:left="2232"/>
        <w:jc w:val="both"/>
        <w:rPr>
          <w:rFonts w:ascii="Arial" w:hAnsi="Arial" w:cs="Arial"/>
          <w:sz w:val="24"/>
          <w:szCs w:val="24"/>
          <w:lang w:val="en-US"/>
        </w:rPr>
      </w:pPr>
      <w:r>
        <w:rPr>
          <w:rFonts w:ascii="Arial" w:hAnsi="Arial" w:cs="Arial"/>
          <w:sz w:val="24"/>
          <w:szCs w:val="24"/>
          <w:lang w:val="en-US"/>
        </w:rPr>
        <w:t xml:space="preserve">What is notable in this period are the remarks of Schreiner JA in </w:t>
      </w:r>
      <w:r w:rsidRPr="00BB4E40">
        <w:rPr>
          <w:rFonts w:ascii="Arial" w:hAnsi="Arial" w:cs="Arial"/>
          <w:i/>
          <w:sz w:val="24"/>
          <w:szCs w:val="24"/>
          <w:lang w:val="en-US"/>
        </w:rPr>
        <w:t>ex parte Minister of Native Affairs</w:t>
      </w:r>
      <w:r w:rsidR="00BB4E40" w:rsidRPr="00BB4E40">
        <w:rPr>
          <w:rFonts w:ascii="Arial" w:hAnsi="Arial" w:cs="Arial"/>
          <w:i/>
          <w:sz w:val="24"/>
          <w:szCs w:val="24"/>
          <w:lang w:val="en-US"/>
        </w:rPr>
        <w:t xml:space="preserve">: in re </w:t>
      </w:r>
      <w:proofErr w:type="spellStart"/>
      <w:r w:rsidR="00BB4E40" w:rsidRPr="00BB4E40">
        <w:rPr>
          <w:rFonts w:ascii="Arial" w:hAnsi="Arial" w:cs="Arial"/>
          <w:i/>
          <w:sz w:val="24"/>
          <w:szCs w:val="24"/>
          <w:lang w:val="en-US"/>
        </w:rPr>
        <w:t>Yako</w:t>
      </w:r>
      <w:proofErr w:type="spellEnd"/>
      <w:r w:rsidR="00BB4E40" w:rsidRPr="00BB4E40">
        <w:rPr>
          <w:rFonts w:ascii="Arial" w:hAnsi="Arial" w:cs="Arial"/>
          <w:i/>
          <w:sz w:val="24"/>
          <w:szCs w:val="24"/>
          <w:lang w:val="en-US"/>
        </w:rPr>
        <w:t xml:space="preserve"> v </w:t>
      </w:r>
      <w:proofErr w:type="spellStart"/>
      <w:r w:rsidR="00BB4E40" w:rsidRPr="00BB4E40">
        <w:rPr>
          <w:rFonts w:ascii="Arial" w:hAnsi="Arial" w:cs="Arial"/>
          <w:i/>
          <w:sz w:val="24"/>
          <w:szCs w:val="24"/>
          <w:lang w:val="en-US"/>
        </w:rPr>
        <w:t>Beyi</w:t>
      </w:r>
      <w:proofErr w:type="spellEnd"/>
      <w:r>
        <w:rPr>
          <w:rFonts w:ascii="Arial" w:hAnsi="Arial" w:cs="Arial"/>
          <w:sz w:val="24"/>
          <w:szCs w:val="24"/>
          <w:lang w:val="en-US"/>
        </w:rPr>
        <w:t>. He mentions that the Native Administration Act 38 of 1927 does</w:t>
      </w:r>
      <w:r w:rsidR="00A86B99">
        <w:rPr>
          <w:rFonts w:ascii="Arial" w:hAnsi="Arial" w:cs="Arial"/>
          <w:sz w:val="24"/>
          <w:szCs w:val="24"/>
          <w:lang w:val="en-US"/>
        </w:rPr>
        <w:t xml:space="preserve"> not give truth to the assumption that native law should be viewed as prima facie applicable between natives, his view was that law applicable to the parties and </w:t>
      </w:r>
      <w:r w:rsidR="00BB4E40">
        <w:rPr>
          <w:rFonts w:ascii="Arial" w:hAnsi="Arial" w:cs="Arial"/>
          <w:sz w:val="24"/>
          <w:szCs w:val="24"/>
          <w:lang w:val="en-US"/>
        </w:rPr>
        <w:t>circumstances</w:t>
      </w:r>
      <w:r w:rsidR="00A86B99">
        <w:rPr>
          <w:rFonts w:ascii="Arial" w:hAnsi="Arial" w:cs="Arial"/>
          <w:sz w:val="24"/>
          <w:szCs w:val="24"/>
          <w:lang w:val="en-US"/>
        </w:rPr>
        <w:t xml:space="preserve"> should be applied in general unless the native commissioner so fit to apply native law in a particular case </w:t>
      </w:r>
    </w:p>
    <w:p w:rsidR="00A86B99" w:rsidRDefault="00A86B99" w:rsidP="00A86B99">
      <w:pPr>
        <w:pStyle w:val="ListParagraph"/>
        <w:numPr>
          <w:ilvl w:val="0"/>
          <w:numId w:val="11"/>
        </w:numPr>
        <w:jc w:val="both"/>
        <w:rPr>
          <w:rFonts w:ascii="Arial" w:hAnsi="Arial" w:cs="Arial"/>
          <w:sz w:val="24"/>
          <w:szCs w:val="24"/>
          <w:lang w:val="en-US"/>
        </w:rPr>
      </w:pPr>
      <w:r>
        <w:rPr>
          <w:rFonts w:ascii="Arial" w:hAnsi="Arial" w:cs="Arial"/>
          <w:sz w:val="24"/>
          <w:szCs w:val="24"/>
          <w:lang w:val="en-US"/>
        </w:rPr>
        <w:t xml:space="preserve">The apartheid era (1948 – 1990): </w:t>
      </w:r>
      <w:r w:rsidR="00BB4E40">
        <w:rPr>
          <w:rFonts w:ascii="Arial" w:hAnsi="Arial" w:cs="Arial"/>
          <w:sz w:val="24"/>
          <w:szCs w:val="24"/>
          <w:lang w:val="en-US"/>
        </w:rPr>
        <w:t xml:space="preserve">this period was a continuation of the views of Schreiner JA and the colonial period. Continuation of customary law being subjected to the repugnancy clause </w:t>
      </w:r>
    </w:p>
    <w:p w:rsidR="003879E0" w:rsidRDefault="003879E0" w:rsidP="00A86B99">
      <w:pPr>
        <w:pStyle w:val="ListParagraph"/>
        <w:numPr>
          <w:ilvl w:val="0"/>
          <w:numId w:val="11"/>
        </w:numPr>
        <w:jc w:val="both"/>
        <w:rPr>
          <w:rFonts w:ascii="Arial" w:hAnsi="Arial" w:cs="Arial"/>
          <w:sz w:val="24"/>
          <w:szCs w:val="24"/>
          <w:lang w:val="en-US"/>
        </w:rPr>
      </w:pPr>
      <w:r>
        <w:rPr>
          <w:rFonts w:ascii="Arial" w:hAnsi="Arial" w:cs="Arial"/>
          <w:sz w:val="24"/>
          <w:szCs w:val="24"/>
          <w:lang w:val="en-US"/>
        </w:rPr>
        <w:t xml:space="preserve">The Transitional era(1990 - 1996): </w:t>
      </w:r>
    </w:p>
    <w:p w:rsidR="00FC4093" w:rsidRDefault="003879E0" w:rsidP="003879E0">
      <w:pPr>
        <w:pStyle w:val="ListParagraph"/>
        <w:ind w:left="2232"/>
        <w:jc w:val="both"/>
        <w:rPr>
          <w:rFonts w:ascii="Arial" w:hAnsi="Arial" w:cs="Arial"/>
          <w:sz w:val="24"/>
          <w:szCs w:val="24"/>
          <w:lang w:val="en-US"/>
        </w:rPr>
      </w:pPr>
      <w:r>
        <w:rPr>
          <w:rFonts w:ascii="Arial" w:hAnsi="Arial" w:cs="Arial"/>
          <w:sz w:val="24"/>
          <w:szCs w:val="24"/>
          <w:lang w:val="en-US"/>
        </w:rPr>
        <w:t>This era sow the constitution that priorities equality and promoted customary law to enjoy the same status as customary law. It will be applicable but subject to the constitution of South Africa 1996.</w:t>
      </w:r>
      <w:r>
        <w:rPr>
          <w:rStyle w:val="FootnoteReference"/>
          <w:rFonts w:ascii="Arial" w:hAnsi="Arial" w:cs="Arial"/>
          <w:sz w:val="24"/>
          <w:szCs w:val="24"/>
          <w:lang w:val="en-US"/>
        </w:rPr>
        <w:footnoteReference w:id="1"/>
      </w:r>
    </w:p>
    <w:p w:rsidR="009C5F22" w:rsidRPr="009C5F22" w:rsidRDefault="009C5F22" w:rsidP="009C5F22">
      <w:pPr>
        <w:ind w:left="1440"/>
        <w:jc w:val="both"/>
        <w:rPr>
          <w:rFonts w:ascii="Arial" w:hAnsi="Arial" w:cs="Arial"/>
          <w:sz w:val="24"/>
          <w:szCs w:val="24"/>
          <w:lang w:val="en-US"/>
        </w:rPr>
      </w:pPr>
      <w:r>
        <w:rPr>
          <w:rFonts w:ascii="Arial" w:hAnsi="Arial" w:cs="Arial"/>
          <w:sz w:val="24"/>
          <w:szCs w:val="24"/>
          <w:lang w:val="en-US"/>
        </w:rPr>
        <w:t>(This applies to all other questions on the development of customary law contained in the question paper)</w:t>
      </w:r>
    </w:p>
    <w:p w:rsidR="008D6560" w:rsidRPr="00231A34" w:rsidRDefault="008D6560" w:rsidP="008D6560">
      <w:pPr>
        <w:jc w:val="both"/>
        <w:rPr>
          <w:rFonts w:ascii="Arial" w:hAnsi="Arial" w:cs="Arial"/>
          <w:b/>
          <w:i/>
          <w:sz w:val="24"/>
          <w:szCs w:val="24"/>
          <w:lang w:val="en-US"/>
        </w:rPr>
      </w:pPr>
      <w:r>
        <w:rPr>
          <w:rFonts w:ascii="Arial" w:hAnsi="Arial" w:cs="Arial"/>
          <w:sz w:val="24"/>
          <w:szCs w:val="24"/>
          <w:lang w:val="en-US"/>
        </w:rPr>
        <w:tab/>
      </w:r>
      <w:r>
        <w:rPr>
          <w:rFonts w:ascii="Arial" w:hAnsi="Arial" w:cs="Arial"/>
          <w:sz w:val="24"/>
          <w:szCs w:val="24"/>
          <w:lang w:val="en-US"/>
        </w:rPr>
        <w:tab/>
      </w:r>
      <w:proofErr w:type="spellStart"/>
      <w:r w:rsidRPr="00231A34">
        <w:rPr>
          <w:rFonts w:ascii="Arial" w:hAnsi="Arial" w:cs="Arial"/>
          <w:b/>
          <w:i/>
          <w:sz w:val="24"/>
          <w:szCs w:val="24"/>
          <w:lang w:val="en-US"/>
        </w:rPr>
        <w:t>Imvume</w:t>
      </w:r>
      <w:proofErr w:type="spellEnd"/>
    </w:p>
    <w:p w:rsidR="003879E0" w:rsidRPr="008D6560" w:rsidRDefault="008D6560" w:rsidP="008D6560">
      <w:pPr>
        <w:ind w:left="1440"/>
        <w:jc w:val="both"/>
        <w:rPr>
          <w:rFonts w:ascii="Arial" w:hAnsi="Arial" w:cs="Arial"/>
          <w:sz w:val="24"/>
          <w:szCs w:val="24"/>
          <w:lang w:val="en-US"/>
        </w:rPr>
      </w:pPr>
      <w:r>
        <w:rPr>
          <w:rFonts w:ascii="Arial" w:hAnsi="Arial" w:cs="Arial"/>
          <w:sz w:val="24"/>
          <w:szCs w:val="24"/>
          <w:lang w:val="en-US"/>
        </w:rPr>
        <w:t xml:space="preserve">This is a custom practiced by </w:t>
      </w:r>
      <w:proofErr w:type="spellStart"/>
      <w:r>
        <w:rPr>
          <w:rFonts w:ascii="Arial" w:hAnsi="Arial" w:cs="Arial"/>
          <w:sz w:val="24"/>
          <w:szCs w:val="24"/>
          <w:lang w:val="en-US"/>
        </w:rPr>
        <w:t>amaZulu</w:t>
      </w:r>
      <w:proofErr w:type="spellEnd"/>
      <w:r>
        <w:rPr>
          <w:rFonts w:ascii="Arial" w:hAnsi="Arial" w:cs="Arial"/>
          <w:sz w:val="24"/>
          <w:szCs w:val="24"/>
          <w:lang w:val="en-US"/>
        </w:rPr>
        <w:t xml:space="preserve"> and </w:t>
      </w:r>
      <w:proofErr w:type="spellStart"/>
      <w:r>
        <w:rPr>
          <w:rFonts w:ascii="Arial" w:hAnsi="Arial" w:cs="Arial"/>
          <w:sz w:val="24"/>
          <w:szCs w:val="24"/>
          <w:lang w:val="en-US"/>
        </w:rPr>
        <w:t>amaXhosa</w:t>
      </w:r>
      <w:proofErr w:type="spellEnd"/>
      <w:r>
        <w:rPr>
          <w:rFonts w:ascii="Arial" w:hAnsi="Arial" w:cs="Arial"/>
          <w:sz w:val="24"/>
          <w:szCs w:val="24"/>
          <w:lang w:val="en-US"/>
        </w:rPr>
        <w:t xml:space="preserve"> and is a form of bringing the bride into the prospective groom’s family which usually </w:t>
      </w:r>
      <w:r w:rsidR="008D7D3D">
        <w:rPr>
          <w:rFonts w:ascii="Arial" w:hAnsi="Arial" w:cs="Arial"/>
          <w:sz w:val="24"/>
          <w:szCs w:val="24"/>
          <w:lang w:val="en-US"/>
        </w:rPr>
        <w:t>involved the slaughtering of a small animal.</w:t>
      </w:r>
      <w:r w:rsidR="008D7D3D">
        <w:rPr>
          <w:rStyle w:val="FootnoteReference"/>
          <w:rFonts w:ascii="Arial" w:hAnsi="Arial" w:cs="Arial"/>
          <w:sz w:val="24"/>
          <w:szCs w:val="24"/>
          <w:lang w:val="en-US"/>
        </w:rPr>
        <w:footnoteReference w:id="2"/>
      </w:r>
    </w:p>
    <w:p w:rsidR="008D6560" w:rsidRDefault="008D7D3D" w:rsidP="00FC4093">
      <w:pPr>
        <w:pStyle w:val="ListParagraph"/>
        <w:ind w:left="1440"/>
        <w:jc w:val="both"/>
        <w:rPr>
          <w:rFonts w:ascii="Arial" w:hAnsi="Arial" w:cs="Arial"/>
          <w:b/>
          <w:sz w:val="24"/>
          <w:szCs w:val="24"/>
          <w:lang w:val="en-US"/>
        </w:rPr>
      </w:pPr>
      <w:r w:rsidRPr="008D7D3D">
        <w:rPr>
          <w:rFonts w:ascii="Arial" w:hAnsi="Arial" w:cs="Arial"/>
          <w:b/>
          <w:sz w:val="24"/>
          <w:szCs w:val="24"/>
          <w:lang w:val="en-US"/>
        </w:rPr>
        <w:t>The Recognition of customary marriages act 120 of 1998</w:t>
      </w:r>
    </w:p>
    <w:p w:rsidR="008D7D3D" w:rsidRDefault="008D7D3D" w:rsidP="001F2B55">
      <w:pPr>
        <w:pStyle w:val="ListParagraph"/>
        <w:ind w:left="1440"/>
        <w:jc w:val="both"/>
        <w:rPr>
          <w:rFonts w:ascii="Arial" w:hAnsi="Arial" w:cs="Arial"/>
          <w:sz w:val="24"/>
          <w:szCs w:val="24"/>
          <w:lang w:val="en-US"/>
        </w:rPr>
      </w:pPr>
      <w:r>
        <w:rPr>
          <w:rFonts w:ascii="Arial" w:hAnsi="Arial" w:cs="Arial"/>
          <w:sz w:val="24"/>
          <w:szCs w:val="24"/>
          <w:lang w:val="en-US"/>
        </w:rPr>
        <w:t>Section 3 of the act</w:t>
      </w:r>
      <w:r w:rsidR="001F2B55">
        <w:rPr>
          <w:rFonts w:ascii="Arial" w:hAnsi="Arial" w:cs="Arial"/>
          <w:sz w:val="24"/>
          <w:szCs w:val="24"/>
          <w:lang w:val="en-US"/>
        </w:rPr>
        <w:t>,</w:t>
      </w:r>
      <w:r>
        <w:rPr>
          <w:rFonts w:ascii="Arial" w:hAnsi="Arial" w:cs="Arial"/>
          <w:sz w:val="24"/>
          <w:szCs w:val="24"/>
          <w:lang w:val="en-US"/>
        </w:rPr>
        <w:t xml:space="preserve"> </w:t>
      </w:r>
      <w:r w:rsidR="00232564">
        <w:rPr>
          <w:rFonts w:ascii="Arial" w:hAnsi="Arial" w:cs="Arial"/>
          <w:sz w:val="24"/>
          <w:szCs w:val="24"/>
          <w:lang w:val="en-US"/>
        </w:rPr>
        <w:t xml:space="preserve">requirements to </w:t>
      </w:r>
      <w:r>
        <w:rPr>
          <w:rFonts w:ascii="Arial" w:hAnsi="Arial" w:cs="Arial"/>
          <w:sz w:val="24"/>
          <w:szCs w:val="24"/>
          <w:lang w:val="en-US"/>
        </w:rPr>
        <w:t>conclude a valid customary marriage</w:t>
      </w:r>
      <w:r w:rsidR="0070189F">
        <w:rPr>
          <w:rFonts w:ascii="Arial" w:hAnsi="Arial" w:cs="Arial"/>
          <w:sz w:val="24"/>
          <w:szCs w:val="24"/>
          <w:lang w:val="en-US"/>
        </w:rPr>
        <w:t xml:space="preserve"> are</w:t>
      </w:r>
      <w:r>
        <w:rPr>
          <w:rFonts w:ascii="Arial" w:hAnsi="Arial" w:cs="Arial"/>
          <w:sz w:val="24"/>
          <w:szCs w:val="24"/>
          <w:lang w:val="en-US"/>
        </w:rPr>
        <w:t>:</w:t>
      </w:r>
      <w:r w:rsidR="00232564">
        <w:rPr>
          <w:rFonts w:ascii="Arial" w:hAnsi="Arial" w:cs="Arial"/>
          <w:sz w:val="24"/>
          <w:szCs w:val="24"/>
          <w:lang w:val="en-US"/>
        </w:rPr>
        <w:t xml:space="preserve"> both parties are above the age of 18,</w:t>
      </w:r>
      <w:r w:rsidR="00232564">
        <w:rPr>
          <w:rStyle w:val="FootnoteReference"/>
          <w:rFonts w:ascii="Arial" w:hAnsi="Arial" w:cs="Arial"/>
          <w:sz w:val="24"/>
          <w:szCs w:val="24"/>
          <w:lang w:val="en-US"/>
        </w:rPr>
        <w:footnoteReference w:id="3"/>
      </w:r>
      <w:r w:rsidR="00232564">
        <w:rPr>
          <w:rFonts w:ascii="Arial" w:hAnsi="Arial" w:cs="Arial"/>
          <w:sz w:val="24"/>
          <w:szCs w:val="24"/>
          <w:lang w:val="en-US"/>
        </w:rPr>
        <w:t xml:space="preserve">  they must </w:t>
      </w:r>
      <w:r w:rsidR="00232564">
        <w:rPr>
          <w:rFonts w:ascii="Arial" w:hAnsi="Arial" w:cs="Arial"/>
          <w:sz w:val="24"/>
          <w:szCs w:val="24"/>
          <w:lang w:val="en-US"/>
        </w:rPr>
        <w:lastRenderedPageBreak/>
        <w:t>consent to the marriage being a customary marriage,</w:t>
      </w:r>
      <w:r w:rsidR="00232564">
        <w:rPr>
          <w:rStyle w:val="FootnoteReference"/>
          <w:rFonts w:ascii="Arial" w:hAnsi="Arial" w:cs="Arial"/>
          <w:sz w:val="24"/>
          <w:szCs w:val="24"/>
          <w:lang w:val="en-US"/>
        </w:rPr>
        <w:footnoteReference w:id="4"/>
      </w:r>
      <w:r w:rsidR="00232564">
        <w:rPr>
          <w:rFonts w:ascii="Arial" w:hAnsi="Arial" w:cs="Arial"/>
          <w:sz w:val="24"/>
          <w:szCs w:val="24"/>
          <w:lang w:val="en-US"/>
        </w:rPr>
        <w:t xml:space="preserve"> and the marriage must be negotiated and entered into or celebrated according to customary law.</w:t>
      </w:r>
      <w:r w:rsidR="00232564">
        <w:rPr>
          <w:rStyle w:val="FootnoteReference"/>
          <w:rFonts w:ascii="Arial" w:hAnsi="Arial" w:cs="Arial"/>
          <w:sz w:val="24"/>
          <w:szCs w:val="24"/>
          <w:lang w:val="en-US"/>
        </w:rPr>
        <w:footnoteReference w:id="5"/>
      </w:r>
      <w:r w:rsidR="00232564">
        <w:rPr>
          <w:rFonts w:ascii="Arial" w:hAnsi="Arial" w:cs="Arial"/>
          <w:sz w:val="24"/>
          <w:szCs w:val="24"/>
          <w:lang w:val="en-US"/>
        </w:rPr>
        <w:t xml:space="preserve"> </w:t>
      </w:r>
    </w:p>
    <w:p w:rsidR="001F2B55" w:rsidRDefault="001F2B55" w:rsidP="001F2B55">
      <w:pPr>
        <w:pStyle w:val="ListParagraph"/>
        <w:ind w:left="1440"/>
        <w:jc w:val="both"/>
        <w:rPr>
          <w:rFonts w:ascii="Arial" w:hAnsi="Arial" w:cs="Arial"/>
          <w:sz w:val="24"/>
          <w:szCs w:val="24"/>
          <w:lang w:val="en-US"/>
        </w:rPr>
      </w:pPr>
    </w:p>
    <w:p w:rsidR="00C72D16" w:rsidRDefault="001F2B55" w:rsidP="001F2B55">
      <w:pPr>
        <w:pStyle w:val="ListParagraph"/>
        <w:ind w:left="1440"/>
        <w:jc w:val="both"/>
        <w:rPr>
          <w:rFonts w:ascii="Arial" w:hAnsi="Arial" w:cs="Arial"/>
          <w:sz w:val="24"/>
          <w:szCs w:val="24"/>
          <w:lang w:val="en-US"/>
        </w:rPr>
      </w:pPr>
      <w:r w:rsidRPr="00C72D16">
        <w:rPr>
          <w:rFonts w:ascii="Arial" w:hAnsi="Arial" w:cs="Arial"/>
          <w:b/>
          <w:sz w:val="24"/>
          <w:szCs w:val="24"/>
          <w:lang w:val="en-US"/>
        </w:rPr>
        <w:t>The question before the court</w:t>
      </w:r>
      <w:r>
        <w:rPr>
          <w:rFonts w:ascii="Arial" w:hAnsi="Arial" w:cs="Arial"/>
          <w:sz w:val="24"/>
          <w:szCs w:val="24"/>
          <w:lang w:val="en-US"/>
        </w:rPr>
        <w:t xml:space="preserve"> </w:t>
      </w:r>
    </w:p>
    <w:p w:rsidR="001F2B55" w:rsidRDefault="00C72D16" w:rsidP="001F2B55">
      <w:pPr>
        <w:pStyle w:val="ListParagraph"/>
        <w:ind w:left="1440"/>
        <w:jc w:val="both"/>
        <w:rPr>
          <w:rFonts w:ascii="Arial" w:hAnsi="Arial" w:cs="Arial"/>
          <w:sz w:val="24"/>
          <w:szCs w:val="24"/>
          <w:lang w:val="en-US"/>
        </w:rPr>
      </w:pPr>
      <w:r>
        <w:rPr>
          <w:rFonts w:ascii="Arial" w:hAnsi="Arial" w:cs="Arial"/>
          <w:sz w:val="24"/>
          <w:szCs w:val="24"/>
          <w:lang w:val="en-US"/>
        </w:rPr>
        <w:t xml:space="preserve">The question </w:t>
      </w:r>
      <w:r w:rsidR="001F2B55">
        <w:rPr>
          <w:rFonts w:ascii="Arial" w:hAnsi="Arial" w:cs="Arial"/>
          <w:sz w:val="24"/>
          <w:szCs w:val="24"/>
          <w:lang w:val="en-US"/>
        </w:rPr>
        <w:t>was whether the marriage between the defendant and the decea</w:t>
      </w:r>
      <w:r w:rsidR="009B4A72">
        <w:rPr>
          <w:rFonts w:ascii="Arial" w:hAnsi="Arial" w:cs="Arial"/>
          <w:sz w:val="24"/>
          <w:szCs w:val="24"/>
          <w:lang w:val="en-US"/>
        </w:rPr>
        <w:t>se</w:t>
      </w:r>
      <w:r w:rsidR="001F2B55">
        <w:rPr>
          <w:rFonts w:ascii="Arial" w:hAnsi="Arial" w:cs="Arial"/>
          <w:sz w:val="24"/>
          <w:szCs w:val="24"/>
          <w:lang w:val="en-US"/>
        </w:rPr>
        <w:t xml:space="preserve">d was valid. The plaintiff contends that there was no </w:t>
      </w:r>
      <w:proofErr w:type="spellStart"/>
      <w:r w:rsidR="001F2B55" w:rsidRPr="009B4A72">
        <w:rPr>
          <w:rFonts w:ascii="Arial" w:hAnsi="Arial" w:cs="Arial"/>
          <w:i/>
          <w:sz w:val="24"/>
          <w:szCs w:val="24"/>
          <w:lang w:val="en-US"/>
        </w:rPr>
        <w:t>imvume</w:t>
      </w:r>
      <w:proofErr w:type="spellEnd"/>
      <w:r w:rsidR="001F2B55">
        <w:rPr>
          <w:rFonts w:ascii="Arial" w:hAnsi="Arial" w:cs="Arial"/>
          <w:sz w:val="24"/>
          <w:szCs w:val="24"/>
          <w:lang w:val="en-US"/>
        </w:rPr>
        <w:t xml:space="preserve"> conducted</w:t>
      </w:r>
      <w:r w:rsidR="00B67163">
        <w:rPr>
          <w:rFonts w:ascii="Arial" w:hAnsi="Arial" w:cs="Arial"/>
          <w:sz w:val="24"/>
          <w:szCs w:val="24"/>
          <w:lang w:val="en-US"/>
        </w:rPr>
        <w:t xml:space="preserve"> therefor no valid marriage came into force.</w:t>
      </w:r>
      <w:r w:rsidR="001F2B55">
        <w:rPr>
          <w:rFonts w:ascii="Arial" w:hAnsi="Arial" w:cs="Arial"/>
          <w:sz w:val="24"/>
          <w:szCs w:val="24"/>
          <w:lang w:val="en-US"/>
        </w:rPr>
        <w:t xml:space="preserve"> </w:t>
      </w:r>
      <w:r w:rsidR="00B67163">
        <w:rPr>
          <w:rFonts w:ascii="Arial" w:hAnsi="Arial" w:cs="Arial"/>
          <w:sz w:val="24"/>
          <w:szCs w:val="24"/>
          <w:lang w:val="en-US"/>
        </w:rPr>
        <w:t>T</w:t>
      </w:r>
      <w:r w:rsidR="001F2B55">
        <w:rPr>
          <w:rFonts w:ascii="Arial" w:hAnsi="Arial" w:cs="Arial"/>
          <w:sz w:val="24"/>
          <w:szCs w:val="24"/>
          <w:lang w:val="en-US"/>
        </w:rPr>
        <w:t xml:space="preserve">he </w:t>
      </w:r>
      <w:r w:rsidR="00B67163">
        <w:rPr>
          <w:rFonts w:ascii="Arial" w:hAnsi="Arial" w:cs="Arial"/>
          <w:sz w:val="24"/>
          <w:szCs w:val="24"/>
          <w:lang w:val="en-US"/>
        </w:rPr>
        <w:t>second respondent said</w:t>
      </w:r>
      <w:r w:rsidR="009375F2">
        <w:rPr>
          <w:rFonts w:ascii="Arial" w:hAnsi="Arial" w:cs="Arial"/>
          <w:sz w:val="24"/>
          <w:szCs w:val="24"/>
          <w:lang w:val="en-US"/>
        </w:rPr>
        <w:t xml:space="preserve"> the custom of </w:t>
      </w:r>
      <w:proofErr w:type="spellStart"/>
      <w:r w:rsidR="009375F2" w:rsidRPr="009B4A72">
        <w:rPr>
          <w:rFonts w:ascii="Arial" w:hAnsi="Arial" w:cs="Arial"/>
          <w:i/>
          <w:sz w:val="24"/>
          <w:szCs w:val="24"/>
          <w:lang w:val="en-US"/>
        </w:rPr>
        <w:t>imvume</w:t>
      </w:r>
      <w:proofErr w:type="spellEnd"/>
      <w:r w:rsidR="009375F2">
        <w:rPr>
          <w:rFonts w:ascii="Arial" w:hAnsi="Arial" w:cs="Arial"/>
          <w:sz w:val="24"/>
          <w:szCs w:val="24"/>
          <w:lang w:val="en-US"/>
        </w:rPr>
        <w:t xml:space="preserve"> is not an essential requirement for concluding a customary </w:t>
      </w:r>
      <w:r w:rsidR="00425CFE">
        <w:rPr>
          <w:rFonts w:ascii="Arial" w:hAnsi="Arial" w:cs="Arial"/>
          <w:sz w:val="24"/>
          <w:szCs w:val="24"/>
          <w:lang w:val="en-US"/>
        </w:rPr>
        <w:t>marriage.</w:t>
      </w:r>
      <w:r w:rsidR="00425CFE">
        <w:rPr>
          <w:rStyle w:val="FootnoteReference"/>
          <w:rFonts w:ascii="Arial" w:hAnsi="Arial" w:cs="Arial"/>
          <w:sz w:val="24"/>
          <w:szCs w:val="24"/>
          <w:lang w:val="en-US"/>
        </w:rPr>
        <w:footnoteReference w:id="6"/>
      </w:r>
      <w:r w:rsidR="00B67163">
        <w:rPr>
          <w:rFonts w:ascii="Arial" w:hAnsi="Arial" w:cs="Arial"/>
          <w:sz w:val="24"/>
          <w:szCs w:val="24"/>
          <w:lang w:val="en-US"/>
        </w:rPr>
        <w:t xml:space="preserve"> </w:t>
      </w:r>
    </w:p>
    <w:p w:rsidR="00B67163" w:rsidRDefault="00B67163" w:rsidP="001F2B55">
      <w:pPr>
        <w:pStyle w:val="ListParagraph"/>
        <w:ind w:left="1440"/>
        <w:jc w:val="both"/>
        <w:rPr>
          <w:rFonts w:ascii="Arial" w:hAnsi="Arial" w:cs="Arial"/>
          <w:sz w:val="24"/>
          <w:szCs w:val="24"/>
          <w:lang w:val="en-US"/>
        </w:rPr>
      </w:pPr>
    </w:p>
    <w:p w:rsidR="00DD7A6F" w:rsidRDefault="00B67163" w:rsidP="00DD7A6F">
      <w:pPr>
        <w:pStyle w:val="ListParagraph"/>
        <w:ind w:left="1440"/>
        <w:jc w:val="both"/>
        <w:rPr>
          <w:rFonts w:ascii="Arial" w:hAnsi="Arial" w:cs="Arial"/>
          <w:sz w:val="24"/>
          <w:szCs w:val="24"/>
          <w:lang w:val="en-US"/>
        </w:rPr>
      </w:pPr>
      <w:r>
        <w:rPr>
          <w:rFonts w:ascii="Arial" w:hAnsi="Arial" w:cs="Arial"/>
          <w:sz w:val="24"/>
          <w:szCs w:val="24"/>
          <w:lang w:val="en-US"/>
        </w:rPr>
        <w:t xml:space="preserve">As in </w:t>
      </w:r>
      <w:proofErr w:type="spellStart"/>
      <w:r w:rsidRPr="00B67163">
        <w:rPr>
          <w:rFonts w:ascii="Arial" w:hAnsi="Arial" w:cs="Arial"/>
          <w:i/>
          <w:sz w:val="24"/>
          <w:szCs w:val="24"/>
          <w:lang w:val="en-US"/>
        </w:rPr>
        <w:t>Mabuza</w:t>
      </w:r>
      <w:proofErr w:type="spellEnd"/>
      <w:r w:rsidRPr="00B67163">
        <w:rPr>
          <w:rFonts w:ascii="Arial" w:hAnsi="Arial" w:cs="Arial"/>
          <w:i/>
          <w:sz w:val="24"/>
          <w:szCs w:val="24"/>
          <w:lang w:val="en-US"/>
        </w:rPr>
        <w:t xml:space="preserve"> v </w:t>
      </w:r>
      <w:proofErr w:type="spellStart"/>
      <w:r w:rsidRPr="00B67163">
        <w:rPr>
          <w:rFonts w:ascii="Arial" w:hAnsi="Arial" w:cs="Arial"/>
          <w:i/>
          <w:sz w:val="24"/>
          <w:szCs w:val="24"/>
          <w:lang w:val="en-US"/>
        </w:rPr>
        <w:t>Mbatha</w:t>
      </w:r>
      <w:proofErr w:type="spellEnd"/>
      <w:r>
        <w:rPr>
          <w:rFonts w:ascii="Arial" w:hAnsi="Arial" w:cs="Arial"/>
          <w:sz w:val="24"/>
          <w:szCs w:val="24"/>
          <w:lang w:val="en-US"/>
        </w:rPr>
        <w:t xml:space="preserve"> where the </w:t>
      </w:r>
      <w:proofErr w:type="spellStart"/>
      <w:r w:rsidR="003962E5">
        <w:rPr>
          <w:rFonts w:ascii="Arial" w:hAnsi="Arial" w:cs="Arial"/>
          <w:sz w:val="24"/>
          <w:szCs w:val="24"/>
          <w:lang w:val="en-US"/>
        </w:rPr>
        <w:t>emaSwati</w:t>
      </w:r>
      <w:proofErr w:type="spellEnd"/>
      <w:r w:rsidR="003962E5">
        <w:rPr>
          <w:rFonts w:ascii="Arial" w:hAnsi="Arial" w:cs="Arial"/>
          <w:sz w:val="24"/>
          <w:szCs w:val="24"/>
          <w:lang w:val="en-US"/>
        </w:rPr>
        <w:t xml:space="preserve"> </w:t>
      </w:r>
      <w:r>
        <w:rPr>
          <w:rFonts w:ascii="Arial" w:hAnsi="Arial" w:cs="Arial"/>
          <w:sz w:val="24"/>
          <w:szCs w:val="24"/>
          <w:lang w:val="en-US"/>
        </w:rPr>
        <w:t xml:space="preserve">custom of </w:t>
      </w:r>
      <w:proofErr w:type="spellStart"/>
      <w:r w:rsidRPr="009B4A72">
        <w:rPr>
          <w:rFonts w:ascii="Arial" w:hAnsi="Arial" w:cs="Arial"/>
          <w:i/>
          <w:sz w:val="24"/>
          <w:szCs w:val="24"/>
          <w:lang w:val="en-US"/>
        </w:rPr>
        <w:t>ukumekeza</w:t>
      </w:r>
      <w:proofErr w:type="spellEnd"/>
      <w:r>
        <w:rPr>
          <w:rFonts w:ascii="Arial" w:hAnsi="Arial" w:cs="Arial"/>
          <w:sz w:val="24"/>
          <w:szCs w:val="24"/>
          <w:lang w:val="en-US"/>
        </w:rPr>
        <w:t xml:space="preserve"> was not observed</w:t>
      </w:r>
      <w:r w:rsidR="003962E5">
        <w:rPr>
          <w:rFonts w:ascii="Arial" w:hAnsi="Arial" w:cs="Arial"/>
          <w:sz w:val="24"/>
          <w:szCs w:val="24"/>
          <w:lang w:val="en-US"/>
        </w:rPr>
        <w:t>,</w:t>
      </w:r>
      <w:r>
        <w:rPr>
          <w:rFonts w:ascii="Arial" w:hAnsi="Arial" w:cs="Arial"/>
          <w:sz w:val="24"/>
          <w:szCs w:val="24"/>
          <w:lang w:val="en-US"/>
        </w:rPr>
        <w:t xml:space="preserve"> the court in the present case found that the observance of this custom is no longer an important part </w:t>
      </w:r>
      <w:r w:rsidR="003962E5">
        <w:rPr>
          <w:rFonts w:ascii="Arial" w:hAnsi="Arial" w:cs="Arial"/>
          <w:sz w:val="24"/>
          <w:szCs w:val="24"/>
          <w:lang w:val="en-US"/>
        </w:rPr>
        <w:t>due to</w:t>
      </w:r>
      <w:r>
        <w:rPr>
          <w:rFonts w:ascii="Arial" w:hAnsi="Arial" w:cs="Arial"/>
          <w:sz w:val="24"/>
          <w:szCs w:val="24"/>
          <w:lang w:val="en-US"/>
        </w:rPr>
        <w:t xml:space="preserve"> our urbanized and </w:t>
      </w:r>
      <w:r w:rsidR="003962E5">
        <w:rPr>
          <w:rFonts w:ascii="Arial" w:hAnsi="Arial" w:cs="Arial"/>
          <w:sz w:val="24"/>
          <w:szCs w:val="24"/>
          <w:lang w:val="en-US"/>
        </w:rPr>
        <w:t xml:space="preserve">different </w:t>
      </w:r>
      <w:r>
        <w:rPr>
          <w:rFonts w:ascii="Arial" w:hAnsi="Arial" w:cs="Arial"/>
          <w:sz w:val="24"/>
          <w:szCs w:val="24"/>
          <w:lang w:val="en-US"/>
        </w:rPr>
        <w:t xml:space="preserve">environment. </w:t>
      </w:r>
      <w:r w:rsidR="00340410">
        <w:rPr>
          <w:rFonts w:ascii="Arial" w:hAnsi="Arial" w:cs="Arial"/>
          <w:sz w:val="24"/>
          <w:szCs w:val="24"/>
          <w:lang w:val="en-US"/>
        </w:rPr>
        <w:t xml:space="preserve">The court had to </w:t>
      </w:r>
      <w:r w:rsidR="009B4A72">
        <w:rPr>
          <w:rFonts w:ascii="Arial" w:hAnsi="Arial" w:cs="Arial"/>
          <w:sz w:val="24"/>
          <w:szCs w:val="24"/>
          <w:lang w:val="en-US"/>
        </w:rPr>
        <w:t>interpreter</w:t>
      </w:r>
      <w:r w:rsidR="00340410">
        <w:rPr>
          <w:rFonts w:ascii="Arial" w:hAnsi="Arial" w:cs="Arial"/>
          <w:sz w:val="24"/>
          <w:szCs w:val="24"/>
          <w:lang w:val="en-US"/>
        </w:rPr>
        <w:t xml:space="preserve"> section 3(1</w:t>
      </w:r>
      <w:proofErr w:type="gramStart"/>
      <w:r w:rsidR="00340410">
        <w:rPr>
          <w:rFonts w:ascii="Arial" w:hAnsi="Arial" w:cs="Arial"/>
          <w:sz w:val="24"/>
          <w:szCs w:val="24"/>
          <w:lang w:val="en-US"/>
        </w:rPr>
        <w:t>)(</w:t>
      </w:r>
      <w:proofErr w:type="gramEnd"/>
      <w:r w:rsidR="00340410">
        <w:rPr>
          <w:rFonts w:ascii="Arial" w:hAnsi="Arial" w:cs="Arial"/>
          <w:sz w:val="24"/>
          <w:szCs w:val="24"/>
          <w:lang w:val="en-US"/>
        </w:rPr>
        <w:t xml:space="preserve">b) of RCMA </w:t>
      </w:r>
    </w:p>
    <w:p w:rsidR="00DD7A6F" w:rsidRDefault="00DD7A6F" w:rsidP="00DD7A6F">
      <w:pPr>
        <w:pStyle w:val="ListParagraph"/>
        <w:ind w:left="1440"/>
        <w:jc w:val="both"/>
        <w:rPr>
          <w:rFonts w:ascii="Arial" w:hAnsi="Arial" w:cs="Arial"/>
          <w:sz w:val="24"/>
          <w:szCs w:val="24"/>
          <w:lang w:val="en-US"/>
        </w:rPr>
      </w:pPr>
    </w:p>
    <w:p w:rsidR="00DD7A6F" w:rsidRDefault="00DD7A6F" w:rsidP="00DD7A6F">
      <w:pPr>
        <w:pStyle w:val="ListParagraph"/>
        <w:ind w:left="2160"/>
        <w:jc w:val="both"/>
        <w:rPr>
          <w:rFonts w:ascii="Arial" w:hAnsi="Arial" w:cs="Arial"/>
          <w:i/>
          <w:sz w:val="24"/>
          <w:szCs w:val="24"/>
          <w:lang w:val="en-US"/>
        </w:rPr>
      </w:pPr>
      <w:r w:rsidRPr="00DD7A6F">
        <w:rPr>
          <w:rFonts w:ascii="Arial" w:hAnsi="Arial" w:cs="Arial"/>
          <w:i/>
          <w:sz w:val="24"/>
          <w:szCs w:val="24"/>
          <w:lang w:val="en-US"/>
        </w:rPr>
        <w:t>The marriage must be negotiated and entered into or celebrated in accordance with customary law</w:t>
      </w:r>
    </w:p>
    <w:p w:rsidR="00DD7A6F" w:rsidRDefault="00DD7A6F" w:rsidP="00DD7A6F">
      <w:pPr>
        <w:pStyle w:val="ListParagraph"/>
        <w:ind w:left="2160"/>
        <w:jc w:val="both"/>
        <w:rPr>
          <w:rFonts w:ascii="Arial" w:hAnsi="Arial" w:cs="Arial"/>
          <w:sz w:val="24"/>
          <w:szCs w:val="24"/>
          <w:lang w:val="en-US"/>
        </w:rPr>
      </w:pPr>
    </w:p>
    <w:p w:rsidR="00DD7A6F" w:rsidRDefault="00340410" w:rsidP="00DD7A6F">
      <w:pPr>
        <w:pStyle w:val="ListParagraph"/>
        <w:ind w:left="1440"/>
        <w:jc w:val="both"/>
        <w:rPr>
          <w:rFonts w:ascii="Arial" w:hAnsi="Arial" w:cs="Arial"/>
          <w:sz w:val="24"/>
          <w:szCs w:val="24"/>
          <w:lang w:val="en-US"/>
        </w:rPr>
      </w:pPr>
      <w:proofErr w:type="gramStart"/>
      <w:r>
        <w:rPr>
          <w:rFonts w:ascii="Arial" w:hAnsi="Arial" w:cs="Arial"/>
          <w:sz w:val="24"/>
          <w:szCs w:val="24"/>
          <w:lang w:val="en-US"/>
        </w:rPr>
        <w:t>and</w:t>
      </w:r>
      <w:proofErr w:type="gramEnd"/>
      <w:r>
        <w:rPr>
          <w:rFonts w:ascii="Arial" w:hAnsi="Arial" w:cs="Arial"/>
          <w:sz w:val="24"/>
          <w:szCs w:val="24"/>
          <w:lang w:val="en-US"/>
        </w:rPr>
        <w:t xml:space="preserve"> the issue was not with the negotiation requirement, both parties did not dispute that the negotiation took place. The dispute was with the requirement of the marriage needing to be celebrated.  The </w:t>
      </w:r>
      <w:r w:rsidR="00DD7A6F">
        <w:rPr>
          <w:rFonts w:ascii="Arial" w:hAnsi="Arial" w:cs="Arial"/>
          <w:sz w:val="24"/>
          <w:szCs w:val="24"/>
          <w:lang w:val="en-US"/>
        </w:rPr>
        <w:t xml:space="preserve">marriage was not celebrated, when viewing the word in its ordinary meaning. </w:t>
      </w:r>
      <w:r w:rsidR="00DD7A6F">
        <w:rPr>
          <w:rStyle w:val="FootnoteReference"/>
          <w:rFonts w:ascii="Arial" w:hAnsi="Arial" w:cs="Arial"/>
          <w:sz w:val="24"/>
          <w:szCs w:val="24"/>
          <w:lang w:val="en-US"/>
        </w:rPr>
        <w:footnoteReference w:id="7"/>
      </w:r>
    </w:p>
    <w:p w:rsidR="00DD7A6F" w:rsidRDefault="00DD7A6F" w:rsidP="00DD7A6F">
      <w:pPr>
        <w:pStyle w:val="ListParagraph"/>
        <w:ind w:left="1440"/>
        <w:jc w:val="both"/>
        <w:rPr>
          <w:rFonts w:ascii="Arial" w:hAnsi="Arial" w:cs="Arial"/>
          <w:sz w:val="24"/>
          <w:szCs w:val="24"/>
          <w:lang w:val="en-US"/>
        </w:rPr>
      </w:pPr>
    </w:p>
    <w:p w:rsidR="00DD7A6F" w:rsidRPr="00BE6724" w:rsidRDefault="00DD7A6F" w:rsidP="00BE6724">
      <w:pPr>
        <w:pStyle w:val="ListParagraph"/>
        <w:ind w:left="1440"/>
        <w:jc w:val="both"/>
        <w:rPr>
          <w:rFonts w:ascii="Arial" w:hAnsi="Arial" w:cs="Arial"/>
          <w:sz w:val="24"/>
          <w:szCs w:val="24"/>
          <w:lang w:val="en-US"/>
        </w:rPr>
      </w:pPr>
      <w:r>
        <w:rPr>
          <w:rFonts w:ascii="Arial" w:hAnsi="Arial" w:cs="Arial"/>
          <w:sz w:val="24"/>
          <w:szCs w:val="24"/>
          <w:lang w:val="en-US"/>
        </w:rPr>
        <w:t>The court</w:t>
      </w:r>
      <w:r w:rsidR="00BE6724">
        <w:rPr>
          <w:rFonts w:ascii="Arial" w:hAnsi="Arial" w:cs="Arial"/>
          <w:sz w:val="24"/>
          <w:szCs w:val="24"/>
          <w:lang w:val="en-US"/>
        </w:rPr>
        <w:t>’s</w:t>
      </w:r>
      <w:r>
        <w:rPr>
          <w:rFonts w:ascii="Arial" w:hAnsi="Arial" w:cs="Arial"/>
          <w:sz w:val="24"/>
          <w:szCs w:val="24"/>
          <w:lang w:val="en-US"/>
        </w:rPr>
        <w:t xml:space="preserve"> focused on the ‘entered into’ requirement </w:t>
      </w:r>
      <w:r w:rsidR="00BE6724">
        <w:rPr>
          <w:rFonts w:ascii="Arial" w:hAnsi="Arial" w:cs="Arial"/>
          <w:sz w:val="24"/>
          <w:szCs w:val="24"/>
          <w:lang w:val="en-US"/>
        </w:rPr>
        <w:t>of section 3(1</w:t>
      </w:r>
      <w:proofErr w:type="gramStart"/>
      <w:r w:rsidR="00BE6724">
        <w:rPr>
          <w:rFonts w:ascii="Arial" w:hAnsi="Arial" w:cs="Arial"/>
          <w:sz w:val="24"/>
          <w:szCs w:val="24"/>
          <w:lang w:val="en-US"/>
        </w:rPr>
        <w:t>)(</w:t>
      </w:r>
      <w:proofErr w:type="gramEnd"/>
      <w:r w:rsidR="00BE6724">
        <w:rPr>
          <w:rFonts w:ascii="Arial" w:hAnsi="Arial" w:cs="Arial"/>
          <w:sz w:val="24"/>
          <w:szCs w:val="24"/>
          <w:lang w:val="en-US"/>
        </w:rPr>
        <w:t>b) rather that the ‘celebrated’ requirement I agree with. Likening this to a contract which would than merely require the consent of the parties (explicit or tacit) was a in my view correct.</w:t>
      </w:r>
      <w:r w:rsidR="00BE6724">
        <w:rPr>
          <w:rStyle w:val="FootnoteReference"/>
          <w:rFonts w:ascii="Arial" w:hAnsi="Arial" w:cs="Arial"/>
          <w:sz w:val="24"/>
          <w:szCs w:val="24"/>
          <w:lang w:val="en-US"/>
        </w:rPr>
        <w:footnoteReference w:id="8"/>
      </w:r>
      <w:r w:rsidR="00BE6724">
        <w:rPr>
          <w:rFonts w:ascii="Arial" w:hAnsi="Arial" w:cs="Arial"/>
          <w:sz w:val="24"/>
          <w:szCs w:val="24"/>
          <w:lang w:val="en-US"/>
        </w:rPr>
        <w:t xml:space="preserve"> The fact that the deceased was living with the defendant at the time of his death, a date was set for the </w:t>
      </w:r>
      <w:proofErr w:type="spellStart"/>
      <w:r w:rsidR="009B4A72" w:rsidRPr="009B4A72">
        <w:rPr>
          <w:rFonts w:ascii="Arial" w:hAnsi="Arial" w:cs="Arial"/>
          <w:i/>
          <w:sz w:val="24"/>
          <w:szCs w:val="24"/>
          <w:lang w:val="en-US"/>
        </w:rPr>
        <w:t>imvume</w:t>
      </w:r>
      <w:proofErr w:type="spellEnd"/>
      <w:r w:rsidR="009B4A72">
        <w:rPr>
          <w:rFonts w:ascii="Arial" w:hAnsi="Arial" w:cs="Arial"/>
          <w:sz w:val="24"/>
          <w:szCs w:val="24"/>
          <w:lang w:val="en-US"/>
        </w:rPr>
        <w:t xml:space="preserve"> ceremony and that the de</w:t>
      </w:r>
      <w:r w:rsidR="00BE6724">
        <w:rPr>
          <w:rFonts w:ascii="Arial" w:hAnsi="Arial" w:cs="Arial"/>
          <w:sz w:val="24"/>
          <w:szCs w:val="24"/>
          <w:lang w:val="en-US"/>
        </w:rPr>
        <w:t xml:space="preserve">ceased was an adult who was under no obligation to disclose his living with the defendant shows an intention to enter into the marriage and on the strength of this the court found that the was indeed a valid marriage </w:t>
      </w:r>
    </w:p>
    <w:p w:rsidR="008F548F" w:rsidRDefault="008F548F" w:rsidP="008F548F">
      <w:pPr>
        <w:ind w:left="1440"/>
        <w:jc w:val="both"/>
        <w:rPr>
          <w:rFonts w:ascii="Arial" w:hAnsi="Arial" w:cs="Arial"/>
          <w:sz w:val="24"/>
          <w:szCs w:val="24"/>
          <w:lang w:val="en-US"/>
        </w:rPr>
      </w:pPr>
      <w:r>
        <w:rPr>
          <w:rFonts w:ascii="Arial" w:hAnsi="Arial" w:cs="Arial"/>
          <w:sz w:val="24"/>
          <w:szCs w:val="24"/>
          <w:lang w:val="en-US"/>
        </w:rPr>
        <w:t xml:space="preserve">This judgement demonstrate an evolution of the requirement for </w:t>
      </w:r>
      <w:proofErr w:type="spellStart"/>
      <w:r w:rsidRPr="009B4A72">
        <w:rPr>
          <w:rFonts w:ascii="Arial" w:hAnsi="Arial" w:cs="Arial"/>
          <w:i/>
          <w:sz w:val="24"/>
          <w:szCs w:val="24"/>
          <w:lang w:val="en-US"/>
        </w:rPr>
        <w:t>imvume</w:t>
      </w:r>
      <w:proofErr w:type="spellEnd"/>
      <w:r>
        <w:rPr>
          <w:rFonts w:ascii="Arial" w:hAnsi="Arial" w:cs="Arial"/>
          <w:sz w:val="24"/>
          <w:szCs w:val="24"/>
          <w:lang w:val="en-US"/>
        </w:rPr>
        <w:t xml:space="preserve">, it shifts and the willingness to develop customary law this is also evidenced by cases such as </w:t>
      </w:r>
      <w:proofErr w:type="spellStart"/>
      <w:r w:rsidR="009D0FE5" w:rsidRPr="00231A34">
        <w:rPr>
          <w:rFonts w:ascii="Arial" w:hAnsi="Arial" w:cs="Arial"/>
          <w:i/>
          <w:sz w:val="24"/>
          <w:szCs w:val="24"/>
          <w:lang w:val="en-US"/>
        </w:rPr>
        <w:t>Mabena</w:t>
      </w:r>
      <w:proofErr w:type="spellEnd"/>
      <w:r w:rsidR="009D0FE5" w:rsidRPr="00231A34">
        <w:rPr>
          <w:rFonts w:ascii="Arial" w:hAnsi="Arial" w:cs="Arial"/>
          <w:i/>
          <w:sz w:val="24"/>
          <w:szCs w:val="24"/>
          <w:lang w:val="en-US"/>
        </w:rPr>
        <w:t xml:space="preserve"> v </w:t>
      </w:r>
      <w:proofErr w:type="spellStart"/>
      <w:r w:rsidR="009D0FE5" w:rsidRPr="00231A34">
        <w:rPr>
          <w:rFonts w:ascii="Arial" w:hAnsi="Arial" w:cs="Arial"/>
          <w:i/>
          <w:sz w:val="24"/>
          <w:szCs w:val="24"/>
          <w:lang w:val="en-US"/>
        </w:rPr>
        <w:t>letsoalo</w:t>
      </w:r>
      <w:proofErr w:type="spellEnd"/>
      <w:r w:rsidR="009D0FE5">
        <w:rPr>
          <w:rFonts w:ascii="Arial" w:hAnsi="Arial" w:cs="Arial"/>
          <w:sz w:val="24"/>
          <w:szCs w:val="24"/>
          <w:lang w:val="en-US"/>
        </w:rPr>
        <w:t xml:space="preserve"> which extended the act of negotiating </w:t>
      </w:r>
      <w:proofErr w:type="spellStart"/>
      <w:r w:rsidR="009D0FE5" w:rsidRPr="00231A34">
        <w:rPr>
          <w:rFonts w:ascii="Arial" w:hAnsi="Arial" w:cs="Arial"/>
          <w:i/>
          <w:sz w:val="24"/>
          <w:szCs w:val="24"/>
          <w:lang w:val="en-US"/>
        </w:rPr>
        <w:t>lobola</w:t>
      </w:r>
      <w:proofErr w:type="spellEnd"/>
      <w:r w:rsidR="009D0FE5">
        <w:rPr>
          <w:rFonts w:ascii="Arial" w:hAnsi="Arial" w:cs="Arial"/>
          <w:sz w:val="24"/>
          <w:szCs w:val="24"/>
          <w:lang w:val="en-US"/>
        </w:rPr>
        <w:t xml:space="preserve"> to woman as well. </w:t>
      </w:r>
      <w:r w:rsidR="009C5F22">
        <w:rPr>
          <w:rStyle w:val="FootnoteReference"/>
          <w:rFonts w:ascii="Arial" w:hAnsi="Arial" w:cs="Arial"/>
          <w:sz w:val="24"/>
          <w:szCs w:val="24"/>
          <w:lang w:val="en-US"/>
        </w:rPr>
        <w:footnoteReference w:id="9"/>
      </w:r>
    </w:p>
    <w:p w:rsidR="00455A20" w:rsidRPr="004A5398" w:rsidRDefault="00455A20" w:rsidP="00A31355">
      <w:pPr>
        <w:pStyle w:val="Default"/>
        <w:rPr>
          <w:color w:val="auto"/>
          <w:sz w:val="23"/>
          <w:szCs w:val="23"/>
        </w:rPr>
      </w:pPr>
      <w:bookmarkStart w:id="2" w:name="_Toc57128486"/>
      <w:bookmarkEnd w:id="2"/>
    </w:p>
    <w:p w:rsidR="006B5491" w:rsidRDefault="00BD25E8" w:rsidP="004A5398">
      <w:pPr>
        <w:pStyle w:val="ListParagraph"/>
        <w:numPr>
          <w:ilvl w:val="0"/>
          <w:numId w:val="1"/>
        </w:numPr>
        <w:jc w:val="both"/>
        <w:outlineLvl w:val="1"/>
        <w:rPr>
          <w:rFonts w:ascii="Arial" w:hAnsi="Arial" w:cs="Arial"/>
          <w:sz w:val="24"/>
          <w:szCs w:val="24"/>
          <w:lang w:val="en-US"/>
        </w:rPr>
      </w:pPr>
      <w:r>
        <w:rPr>
          <w:rFonts w:ascii="Arial" w:hAnsi="Arial" w:cs="Arial"/>
          <w:sz w:val="24"/>
          <w:szCs w:val="24"/>
          <w:lang w:val="en-US"/>
        </w:rPr>
        <w:lastRenderedPageBreak/>
        <w:t>–</w:t>
      </w:r>
    </w:p>
    <w:p w:rsidR="006A6247" w:rsidRDefault="006A6247" w:rsidP="006A6247">
      <w:pPr>
        <w:pStyle w:val="ListParagraph"/>
        <w:jc w:val="both"/>
        <w:rPr>
          <w:rFonts w:ascii="Arial" w:hAnsi="Arial" w:cs="Arial"/>
          <w:sz w:val="24"/>
          <w:szCs w:val="24"/>
          <w:lang w:val="en-US"/>
        </w:rPr>
      </w:pPr>
      <w:r w:rsidRPr="00147654">
        <w:rPr>
          <w:rFonts w:ascii="Arial" w:hAnsi="Arial" w:cs="Arial"/>
          <w:i/>
          <w:sz w:val="24"/>
          <w:szCs w:val="24"/>
          <w:lang w:val="en-US"/>
        </w:rPr>
        <w:t xml:space="preserve">The Human Rights Commission v President of the </w:t>
      </w:r>
      <w:proofErr w:type="spellStart"/>
      <w:r w:rsidRPr="00147654">
        <w:rPr>
          <w:rFonts w:ascii="Arial" w:hAnsi="Arial" w:cs="Arial"/>
          <w:i/>
          <w:sz w:val="24"/>
          <w:szCs w:val="24"/>
          <w:lang w:val="en-US"/>
        </w:rPr>
        <w:t>Repuplic</w:t>
      </w:r>
      <w:proofErr w:type="spellEnd"/>
      <w:r w:rsidRPr="00147654">
        <w:rPr>
          <w:rFonts w:ascii="Arial" w:hAnsi="Arial" w:cs="Arial"/>
          <w:i/>
          <w:sz w:val="24"/>
          <w:szCs w:val="24"/>
          <w:lang w:val="en-US"/>
        </w:rPr>
        <w:t xml:space="preserve"> of South Africa 2005 (1) BCLR 580 (CC)</w:t>
      </w:r>
      <w:r>
        <w:rPr>
          <w:rFonts w:ascii="Arial" w:hAnsi="Arial" w:cs="Arial"/>
          <w:sz w:val="24"/>
          <w:szCs w:val="24"/>
          <w:lang w:val="en-US"/>
        </w:rPr>
        <w:t xml:space="preserve"> and the present case (</w:t>
      </w:r>
      <w:proofErr w:type="spellStart"/>
      <w:r w:rsidRPr="00D662DA">
        <w:rPr>
          <w:rFonts w:ascii="Arial" w:hAnsi="Arial" w:cs="Arial"/>
          <w:i/>
          <w:sz w:val="24"/>
          <w:szCs w:val="24"/>
          <w:lang w:val="en-US"/>
        </w:rPr>
        <w:t>Bhe</w:t>
      </w:r>
      <w:proofErr w:type="spellEnd"/>
      <w:r w:rsidRPr="00D662DA">
        <w:rPr>
          <w:rFonts w:ascii="Arial" w:hAnsi="Arial" w:cs="Arial"/>
          <w:i/>
          <w:sz w:val="24"/>
          <w:szCs w:val="24"/>
          <w:lang w:val="en-US"/>
        </w:rPr>
        <w:t xml:space="preserve"> v Magistrate </w:t>
      </w:r>
      <w:proofErr w:type="spellStart"/>
      <w:r w:rsidRPr="00D662DA">
        <w:rPr>
          <w:rFonts w:ascii="Arial" w:hAnsi="Arial" w:cs="Arial"/>
          <w:i/>
          <w:sz w:val="24"/>
          <w:szCs w:val="24"/>
          <w:lang w:val="en-US"/>
        </w:rPr>
        <w:t>Khayelisha</w:t>
      </w:r>
      <w:proofErr w:type="spellEnd"/>
      <w:r w:rsidRPr="00D662DA">
        <w:rPr>
          <w:rFonts w:ascii="Arial" w:hAnsi="Arial" w:cs="Arial"/>
          <w:i/>
          <w:sz w:val="24"/>
          <w:szCs w:val="24"/>
          <w:lang w:val="en-US"/>
        </w:rPr>
        <w:t xml:space="preserve"> BCLR (1) (CC)</w:t>
      </w:r>
      <w:r>
        <w:rPr>
          <w:rFonts w:ascii="Arial" w:hAnsi="Arial" w:cs="Arial"/>
          <w:sz w:val="24"/>
          <w:szCs w:val="24"/>
          <w:lang w:val="en-US"/>
        </w:rPr>
        <w:t xml:space="preserve"> herein referred to as ‘</w:t>
      </w:r>
      <w:proofErr w:type="spellStart"/>
      <w:r>
        <w:rPr>
          <w:rFonts w:ascii="Arial" w:hAnsi="Arial" w:cs="Arial"/>
          <w:sz w:val="24"/>
          <w:szCs w:val="24"/>
          <w:lang w:val="en-US"/>
        </w:rPr>
        <w:t>Bhe</w:t>
      </w:r>
      <w:proofErr w:type="spellEnd"/>
      <w:r>
        <w:rPr>
          <w:rFonts w:ascii="Arial" w:hAnsi="Arial" w:cs="Arial"/>
          <w:sz w:val="24"/>
          <w:szCs w:val="24"/>
          <w:lang w:val="en-US"/>
        </w:rPr>
        <w:t xml:space="preserve"> case’) sow section 23 of the </w:t>
      </w:r>
      <w:r>
        <w:rPr>
          <w:rFonts w:ascii="Arial" w:hAnsi="Arial" w:cs="Arial"/>
          <w:i/>
          <w:sz w:val="24"/>
          <w:szCs w:val="24"/>
          <w:lang w:val="en-US"/>
        </w:rPr>
        <w:t xml:space="preserve">BAA </w:t>
      </w:r>
      <w:r>
        <w:rPr>
          <w:rFonts w:ascii="Arial" w:hAnsi="Arial" w:cs="Arial"/>
          <w:sz w:val="24"/>
          <w:szCs w:val="24"/>
          <w:lang w:val="en-US"/>
        </w:rPr>
        <w:t xml:space="preserve">rule that prefers males to females in matters of succession (male Primogeniture), the difference between legitimate and illegitimate children declared unconstitutional. The court </w:t>
      </w:r>
    </w:p>
    <w:p w:rsidR="006A6247" w:rsidRDefault="006A6247" w:rsidP="00666DF2">
      <w:pPr>
        <w:pStyle w:val="ListParagraph"/>
        <w:jc w:val="both"/>
        <w:outlineLvl w:val="1"/>
        <w:rPr>
          <w:rFonts w:ascii="Arial" w:hAnsi="Arial" w:cs="Arial"/>
          <w:sz w:val="24"/>
          <w:szCs w:val="24"/>
          <w:lang w:val="en-US"/>
        </w:rPr>
      </w:pPr>
    </w:p>
    <w:p w:rsidR="00201D55" w:rsidRDefault="00201D55" w:rsidP="006A6247">
      <w:pPr>
        <w:pStyle w:val="ListParagraph"/>
        <w:jc w:val="both"/>
        <w:rPr>
          <w:rFonts w:ascii="Arial" w:hAnsi="Arial" w:cs="Arial"/>
          <w:sz w:val="24"/>
          <w:szCs w:val="24"/>
          <w:lang w:val="en-US"/>
        </w:rPr>
      </w:pPr>
      <w:r>
        <w:rPr>
          <w:rFonts w:ascii="Arial" w:hAnsi="Arial" w:cs="Arial"/>
          <w:sz w:val="24"/>
          <w:szCs w:val="24"/>
          <w:lang w:val="en-US"/>
        </w:rPr>
        <w:t xml:space="preserve">This was a constitutional challenge on the male Primogeniture in the African customary law of succession and section 23 of the </w:t>
      </w:r>
      <w:r w:rsidR="00666DF2" w:rsidRPr="00D662DA">
        <w:rPr>
          <w:rFonts w:ascii="Arial" w:hAnsi="Arial" w:cs="Arial"/>
          <w:i/>
          <w:sz w:val="24"/>
          <w:szCs w:val="24"/>
          <w:lang w:val="en-US"/>
        </w:rPr>
        <w:t>Black Administration Act</w:t>
      </w:r>
      <w:r w:rsidR="00666DF2">
        <w:rPr>
          <w:rFonts w:ascii="Arial" w:hAnsi="Arial" w:cs="Arial"/>
          <w:i/>
          <w:sz w:val="24"/>
          <w:szCs w:val="24"/>
          <w:lang w:val="en-US"/>
        </w:rPr>
        <w:t xml:space="preserve"> 38 of 1927</w:t>
      </w:r>
      <w:r w:rsidR="00666DF2">
        <w:rPr>
          <w:rFonts w:ascii="Arial" w:hAnsi="Arial" w:cs="Arial"/>
          <w:sz w:val="24"/>
          <w:szCs w:val="24"/>
          <w:lang w:val="en-US"/>
        </w:rPr>
        <w:t xml:space="preserve"> (herein referred to as ‘BAA’)</w:t>
      </w:r>
      <w:r w:rsidR="00C53FA5">
        <w:rPr>
          <w:rFonts w:ascii="Arial" w:hAnsi="Arial" w:cs="Arial"/>
          <w:sz w:val="24"/>
          <w:szCs w:val="24"/>
          <w:lang w:val="en-US"/>
        </w:rPr>
        <w:t xml:space="preserve"> which favored males.</w:t>
      </w:r>
      <w:r w:rsidR="00C53FA5">
        <w:rPr>
          <w:rStyle w:val="FootnoteReference"/>
          <w:rFonts w:ascii="Arial" w:hAnsi="Arial" w:cs="Arial"/>
          <w:sz w:val="24"/>
          <w:szCs w:val="24"/>
          <w:lang w:val="en-US"/>
        </w:rPr>
        <w:footnoteReference w:id="10"/>
      </w:r>
      <w:r w:rsidR="00C53FA5">
        <w:rPr>
          <w:rFonts w:ascii="Arial" w:hAnsi="Arial" w:cs="Arial"/>
          <w:sz w:val="24"/>
          <w:szCs w:val="24"/>
          <w:lang w:val="en-US"/>
        </w:rPr>
        <w:t xml:space="preserve"> The </w:t>
      </w:r>
      <w:r w:rsidR="006C3E9A">
        <w:rPr>
          <w:rFonts w:ascii="Arial" w:hAnsi="Arial" w:cs="Arial"/>
          <w:sz w:val="24"/>
          <w:szCs w:val="24"/>
          <w:lang w:val="en-US"/>
        </w:rPr>
        <w:t>case had 2 other cases to be heard included at the behest of the chief justice due to all involving customary law intest</w:t>
      </w:r>
      <w:r w:rsidR="004758ED">
        <w:rPr>
          <w:rFonts w:ascii="Arial" w:hAnsi="Arial" w:cs="Arial"/>
          <w:sz w:val="24"/>
          <w:szCs w:val="24"/>
          <w:lang w:val="en-US"/>
        </w:rPr>
        <w:t>ate succession:</w:t>
      </w:r>
    </w:p>
    <w:p w:rsidR="00E632B5" w:rsidRDefault="00E632B5" w:rsidP="00666DF2">
      <w:pPr>
        <w:pStyle w:val="ListParagraph"/>
        <w:jc w:val="both"/>
        <w:outlineLvl w:val="1"/>
        <w:rPr>
          <w:rFonts w:ascii="Arial" w:hAnsi="Arial" w:cs="Arial"/>
          <w:sz w:val="24"/>
          <w:szCs w:val="24"/>
          <w:lang w:val="en-US"/>
        </w:rPr>
      </w:pPr>
    </w:p>
    <w:p w:rsidR="004758ED" w:rsidRDefault="004758ED" w:rsidP="00925EE6">
      <w:pPr>
        <w:pStyle w:val="ListParagraph"/>
        <w:numPr>
          <w:ilvl w:val="0"/>
          <w:numId w:val="14"/>
        </w:numPr>
        <w:jc w:val="both"/>
        <w:rPr>
          <w:rFonts w:ascii="Arial" w:hAnsi="Arial" w:cs="Arial"/>
          <w:sz w:val="24"/>
          <w:szCs w:val="24"/>
          <w:lang w:val="en-US"/>
        </w:rPr>
      </w:pPr>
      <w:proofErr w:type="spellStart"/>
      <w:r w:rsidRPr="004758ED">
        <w:rPr>
          <w:rFonts w:ascii="Arial" w:hAnsi="Arial" w:cs="Arial"/>
          <w:i/>
          <w:sz w:val="24"/>
          <w:szCs w:val="24"/>
          <w:lang w:val="en-US"/>
        </w:rPr>
        <w:t>Bhe</w:t>
      </w:r>
      <w:proofErr w:type="spellEnd"/>
      <w:r w:rsidRPr="004758ED">
        <w:rPr>
          <w:rFonts w:ascii="Arial" w:hAnsi="Arial" w:cs="Arial"/>
          <w:i/>
          <w:sz w:val="24"/>
          <w:szCs w:val="24"/>
          <w:lang w:val="en-US"/>
        </w:rPr>
        <w:t xml:space="preserve"> v Magistrate </w:t>
      </w:r>
      <w:proofErr w:type="spellStart"/>
      <w:r w:rsidRPr="004758ED">
        <w:rPr>
          <w:rFonts w:ascii="Arial" w:hAnsi="Arial" w:cs="Arial"/>
          <w:i/>
          <w:sz w:val="24"/>
          <w:szCs w:val="24"/>
          <w:lang w:val="en-US"/>
        </w:rPr>
        <w:t>Khayelisha</w:t>
      </w:r>
      <w:proofErr w:type="spellEnd"/>
      <w:r w:rsidRPr="004758ED">
        <w:rPr>
          <w:rFonts w:ascii="Arial" w:hAnsi="Arial" w:cs="Arial"/>
          <w:i/>
          <w:sz w:val="24"/>
          <w:szCs w:val="24"/>
          <w:lang w:val="en-US"/>
        </w:rPr>
        <w:t xml:space="preserve"> BCLR (1) (CC)</w:t>
      </w:r>
      <w:r w:rsidRPr="004758ED">
        <w:rPr>
          <w:rFonts w:ascii="Arial" w:hAnsi="Arial" w:cs="Arial"/>
          <w:sz w:val="24"/>
          <w:szCs w:val="24"/>
          <w:lang w:val="en-US"/>
        </w:rPr>
        <w:t xml:space="preserve"> (herein referred to as ‘</w:t>
      </w:r>
      <w:proofErr w:type="spellStart"/>
      <w:r w:rsidRPr="004758ED">
        <w:rPr>
          <w:rFonts w:ascii="Arial" w:hAnsi="Arial" w:cs="Arial"/>
          <w:sz w:val="24"/>
          <w:szCs w:val="24"/>
          <w:lang w:val="en-US"/>
        </w:rPr>
        <w:t>Bhe</w:t>
      </w:r>
      <w:proofErr w:type="spellEnd"/>
      <w:r w:rsidRPr="004758ED">
        <w:rPr>
          <w:rFonts w:ascii="Arial" w:hAnsi="Arial" w:cs="Arial"/>
          <w:sz w:val="24"/>
          <w:szCs w:val="24"/>
          <w:lang w:val="en-US"/>
        </w:rPr>
        <w:t xml:space="preserve"> case’)</w:t>
      </w:r>
    </w:p>
    <w:p w:rsidR="004758ED" w:rsidRPr="004758ED" w:rsidRDefault="004758ED" w:rsidP="00925EE6">
      <w:pPr>
        <w:pStyle w:val="ListParagraph"/>
        <w:numPr>
          <w:ilvl w:val="0"/>
          <w:numId w:val="14"/>
        </w:numPr>
        <w:jc w:val="both"/>
        <w:rPr>
          <w:rFonts w:ascii="Arial" w:hAnsi="Arial" w:cs="Arial"/>
          <w:sz w:val="24"/>
          <w:szCs w:val="24"/>
          <w:lang w:val="en-US"/>
        </w:rPr>
      </w:pPr>
      <w:r>
        <w:rPr>
          <w:rFonts w:ascii="Arial" w:hAnsi="Arial" w:cs="Arial"/>
          <w:i/>
          <w:sz w:val="24"/>
          <w:szCs w:val="24"/>
          <w:lang w:val="en-US"/>
        </w:rPr>
        <w:t xml:space="preserve">Charlotte </w:t>
      </w:r>
      <w:proofErr w:type="spellStart"/>
      <w:r>
        <w:rPr>
          <w:rFonts w:ascii="Arial" w:hAnsi="Arial" w:cs="Arial"/>
          <w:i/>
          <w:sz w:val="24"/>
          <w:szCs w:val="24"/>
          <w:lang w:val="en-US"/>
        </w:rPr>
        <w:t>Shibi</w:t>
      </w:r>
      <w:proofErr w:type="spellEnd"/>
      <w:r>
        <w:rPr>
          <w:rFonts w:ascii="Arial" w:hAnsi="Arial" w:cs="Arial"/>
          <w:i/>
          <w:sz w:val="24"/>
          <w:szCs w:val="24"/>
          <w:lang w:val="en-US"/>
        </w:rPr>
        <w:t xml:space="preserve"> v </w:t>
      </w:r>
      <w:proofErr w:type="spellStart"/>
      <w:r>
        <w:rPr>
          <w:rFonts w:ascii="Arial" w:hAnsi="Arial" w:cs="Arial"/>
          <w:i/>
          <w:sz w:val="24"/>
          <w:szCs w:val="24"/>
          <w:lang w:val="en-US"/>
        </w:rPr>
        <w:t>Mantabeni</w:t>
      </w:r>
      <w:proofErr w:type="spellEnd"/>
      <w:r>
        <w:rPr>
          <w:rFonts w:ascii="Arial" w:hAnsi="Arial" w:cs="Arial"/>
          <w:i/>
          <w:sz w:val="24"/>
          <w:szCs w:val="24"/>
          <w:lang w:val="en-US"/>
        </w:rPr>
        <w:t xml:space="preserve"> Freddy </w:t>
      </w:r>
      <w:proofErr w:type="spellStart"/>
      <w:r>
        <w:rPr>
          <w:rFonts w:ascii="Arial" w:hAnsi="Arial" w:cs="Arial"/>
          <w:i/>
          <w:sz w:val="24"/>
          <w:szCs w:val="24"/>
          <w:lang w:val="en-US"/>
        </w:rPr>
        <w:t>Sithole</w:t>
      </w:r>
      <w:proofErr w:type="spellEnd"/>
      <w:r>
        <w:rPr>
          <w:rFonts w:ascii="Arial" w:hAnsi="Arial" w:cs="Arial"/>
          <w:i/>
          <w:sz w:val="24"/>
          <w:szCs w:val="24"/>
          <w:lang w:val="en-US"/>
        </w:rPr>
        <w:t xml:space="preserve"> and others (herein </w:t>
      </w:r>
      <w:proofErr w:type="spellStart"/>
      <w:r>
        <w:rPr>
          <w:rFonts w:ascii="Arial" w:hAnsi="Arial" w:cs="Arial"/>
          <w:i/>
          <w:sz w:val="24"/>
          <w:szCs w:val="24"/>
          <w:lang w:val="en-US"/>
        </w:rPr>
        <w:t>reffered</w:t>
      </w:r>
      <w:proofErr w:type="spellEnd"/>
      <w:r>
        <w:rPr>
          <w:rFonts w:ascii="Arial" w:hAnsi="Arial" w:cs="Arial"/>
          <w:i/>
          <w:sz w:val="24"/>
          <w:szCs w:val="24"/>
          <w:lang w:val="en-US"/>
        </w:rPr>
        <w:t xml:space="preserve"> to as ‘</w:t>
      </w:r>
      <w:proofErr w:type="spellStart"/>
      <w:r>
        <w:rPr>
          <w:rFonts w:ascii="Arial" w:hAnsi="Arial" w:cs="Arial"/>
          <w:i/>
          <w:sz w:val="24"/>
          <w:szCs w:val="24"/>
          <w:lang w:val="en-US"/>
        </w:rPr>
        <w:t>Shibi</w:t>
      </w:r>
      <w:proofErr w:type="spellEnd"/>
      <w:r>
        <w:rPr>
          <w:rFonts w:ascii="Arial" w:hAnsi="Arial" w:cs="Arial"/>
          <w:i/>
          <w:sz w:val="24"/>
          <w:szCs w:val="24"/>
          <w:lang w:val="en-US"/>
        </w:rPr>
        <w:t xml:space="preserve"> case’)</w:t>
      </w:r>
    </w:p>
    <w:p w:rsidR="004758ED" w:rsidRPr="004758ED" w:rsidRDefault="004758ED" w:rsidP="00925EE6">
      <w:pPr>
        <w:pStyle w:val="ListParagraph"/>
        <w:numPr>
          <w:ilvl w:val="0"/>
          <w:numId w:val="14"/>
        </w:numPr>
        <w:jc w:val="both"/>
        <w:rPr>
          <w:rFonts w:ascii="Arial" w:hAnsi="Arial" w:cs="Arial"/>
          <w:sz w:val="24"/>
          <w:szCs w:val="24"/>
          <w:lang w:val="en-US"/>
        </w:rPr>
      </w:pPr>
      <w:r>
        <w:rPr>
          <w:rFonts w:ascii="Arial" w:hAnsi="Arial" w:cs="Arial"/>
          <w:i/>
          <w:sz w:val="24"/>
          <w:szCs w:val="24"/>
          <w:lang w:val="en-US"/>
        </w:rPr>
        <w:t>Application for direct access brought by The South African human rights commission and the Woman’s legal center trust</w:t>
      </w:r>
      <w:r w:rsidR="00E33F56">
        <w:rPr>
          <w:rFonts w:ascii="Arial" w:hAnsi="Arial" w:cs="Arial"/>
          <w:i/>
          <w:sz w:val="24"/>
          <w:szCs w:val="24"/>
          <w:lang w:val="en-US"/>
        </w:rPr>
        <w:t>.</w:t>
      </w:r>
      <w:r w:rsidR="00E33F56">
        <w:rPr>
          <w:rStyle w:val="FootnoteReference"/>
          <w:rFonts w:ascii="Arial" w:hAnsi="Arial" w:cs="Arial"/>
          <w:i/>
          <w:sz w:val="24"/>
          <w:szCs w:val="24"/>
          <w:lang w:val="en-US"/>
        </w:rPr>
        <w:footnoteReference w:id="11"/>
      </w:r>
      <w:r>
        <w:rPr>
          <w:rFonts w:ascii="Arial" w:hAnsi="Arial" w:cs="Arial"/>
          <w:i/>
          <w:sz w:val="24"/>
          <w:szCs w:val="24"/>
          <w:lang w:val="en-US"/>
        </w:rPr>
        <w:t xml:space="preserve"> </w:t>
      </w:r>
    </w:p>
    <w:p w:rsidR="00E01C70" w:rsidRDefault="00E01C70" w:rsidP="00925EE6">
      <w:pPr>
        <w:pStyle w:val="ListParagraph"/>
        <w:jc w:val="both"/>
        <w:rPr>
          <w:rFonts w:ascii="Arial" w:hAnsi="Arial" w:cs="Arial"/>
          <w:sz w:val="24"/>
          <w:szCs w:val="24"/>
          <w:lang w:val="en-US"/>
        </w:rPr>
      </w:pPr>
    </w:p>
    <w:p w:rsidR="00666DF2" w:rsidRDefault="00925EE6" w:rsidP="00925EE6">
      <w:pPr>
        <w:ind w:left="720"/>
        <w:jc w:val="both"/>
        <w:rPr>
          <w:rFonts w:ascii="Arial" w:hAnsi="Arial" w:cs="Arial"/>
          <w:b/>
          <w:sz w:val="24"/>
          <w:szCs w:val="24"/>
          <w:lang w:val="en-US"/>
        </w:rPr>
      </w:pPr>
      <w:r>
        <w:rPr>
          <w:rFonts w:ascii="Arial" w:hAnsi="Arial" w:cs="Arial"/>
          <w:b/>
          <w:sz w:val="24"/>
          <w:szCs w:val="24"/>
          <w:lang w:val="en-US"/>
        </w:rPr>
        <w:t>Question</w:t>
      </w:r>
      <w:r w:rsidRPr="00925EE6">
        <w:rPr>
          <w:rFonts w:ascii="Arial" w:hAnsi="Arial" w:cs="Arial"/>
          <w:b/>
          <w:sz w:val="24"/>
          <w:szCs w:val="24"/>
          <w:lang w:val="en-US"/>
        </w:rPr>
        <w:t xml:space="preserve"> before the court </w:t>
      </w:r>
    </w:p>
    <w:p w:rsidR="00925EE6" w:rsidRDefault="002E2149" w:rsidP="00925EE6">
      <w:pPr>
        <w:ind w:left="720"/>
        <w:jc w:val="both"/>
        <w:rPr>
          <w:rFonts w:ascii="Arial" w:hAnsi="Arial" w:cs="Arial"/>
          <w:sz w:val="24"/>
          <w:szCs w:val="24"/>
          <w:lang w:val="en-US"/>
        </w:rPr>
      </w:pPr>
      <w:r>
        <w:rPr>
          <w:rFonts w:ascii="Arial" w:hAnsi="Arial" w:cs="Arial"/>
          <w:sz w:val="24"/>
          <w:szCs w:val="24"/>
          <w:lang w:val="en-US"/>
        </w:rPr>
        <w:t xml:space="preserve">The court was asked </w:t>
      </w:r>
      <w:r w:rsidRPr="002E2149">
        <w:rPr>
          <w:rFonts w:ascii="Arial" w:hAnsi="Arial" w:cs="Arial"/>
          <w:sz w:val="24"/>
          <w:szCs w:val="24"/>
          <w:lang w:val="en-US"/>
        </w:rPr>
        <w:t>to confirm an order from the Cape High C</w:t>
      </w:r>
      <w:r w:rsidR="00F11592">
        <w:rPr>
          <w:rFonts w:ascii="Arial" w:hAnsi="Arial" w:cs="Arial"/>
          <w:sz w:val="24"/>
          <w:szCs w:val="24"/>
          <w:lang w:val="en-US"/>
        </w:rPr>
        <w:t>ourt</w:t>
      </w:r>
      <w:r w:rsidR="000D5858">
        <w:rPr>
          <w:rFonts w:ascii="Arial" w:hAnsi="Arial" w:cs="Arial"/>
          <w:sz w:val="24"/>
          <w:szCs w:val="24"/>
          <w:lang w:val="en-US"/>
        </w:rPr>
        <w:t xml:space="preserve"> in the </w:t>
      </w:r>
      <w:proofErr w:type="spellStart"/>
      <w:r w:rsidR="000D5858" w:rsidRPr="009B4A72">
        <w:rPr>
          <w:rFonts w:ascii="Arial" w:hAnsi="Arial" w:cs="Arial"/>
          <w:i/>
          <w:sz w:val="24"/>
          <w:szCs w:val="24"/>
          <w:lang w:val="en-US"/>
        </w:rPr>
        <w:t>Bhe</w:t>
      </w:r>
      <w:proofErr w:type="spellEnd"/>
      <w:r w:rsidR="000D5858" w:rsidRPr="009B4A72">
        <w:rPr>
          <w:rFonts w:ascii="Arial" w:hAnsi="Arial" w:cs="Arial"/>
          <w:i/>
          <w:sz w:val="24"/>
          <w:szCs w:val="24"/>
          <w:lang w:val="en-US"/>
        </w:rPr>
        <w:t xml:space="preserve"> case</w:t>
      </w:r>
      <w:r w:rsidR="000D5858">
        <w:rPr>
          <w:rFonts w:ascii="Arial" w:hAnsi="Arial" w:cs="Arial"/>
          <w:sz w:val="24"/>
          <w:szCs w:val="24"/>
          <w:lang w:val="en-US"/>
        </w:rPr>
        <w:t>,</w:t>
      </w:r>
      <w:r>
        <w:rPr>
          <w:rStyle w:val="FootnoteReference"/>
          <w:rFonts w:ascii="Arial" w:hAnsi="Arial" w:cs="Arial"/>
          <w:sz w:val="24"/>
          <w:szCs w:val="24"/>
          <w:lang w:val="en-US"/>
        </w:rPr>
        <w:footnoteReference w:id="12"/>
      </w:r>
      <w:r w:rsidR="00F11592">
        <w:rPr>
          <w:rFonts w:ascii="Arial" w:hAnsi="Arial" w:cs="Arial"/>
          <w:sz w:val="24"/>
          <w:szCs w:val="24"/>
          <w:lang w:val="en-US"/>
        </w:rPr>
        <w:t xml:space="preserve"> declared unconstitutional </w:t>
      </w:r>
      <w:r w:rsidR="00F11592" w:rsidRPr="009B4A72">
        <w:rPr>
          <w:rFonts w:ascii="Arial" w:hAnsi="Arial" w:cs="Arial"/>
          <w:i/>
          <w:sz w:val="24"/>
          <w:szCs w:val="24"/>
          <w:lang w:val="en-US"/>
        </w:rPr>
        <w:t>s23</w:t>
      </w:r>
      <w:r w:rsidR="00FC4ABB" w:rsidRPr="009B4A72">
        <w:rPr>
          <w:rFonts w:ascii="Arial" w:hAnsi="Arial" w:cs="Arial"/>
          <w:i/>
          <w:sz w:val="24"/>
          <w:szCs w:val="24"/>
          <w:lang w:val="en-US"/>
        </w:rPr>
        <w:t xml:space="preserve"> </w:t>
      </w:r>
      <w:r w:rsidR="00F11592" w:rsidRPr="009B4A72">
        <w:rPr>
          <w:rFonts w:ascii="Arial" w:hAnsi="Arial" w:cs="Arial"/>
          <w:i/>
          <w:sz w:val="24"/>
          <w:szCs w:val="24"/>
          <w:lang w:val="en-US"/>
        </w:rPr>
        <w:t xml:space="preserve">(10(a), (c) </w:t>
      </w:r>
      <w:r w:rsidR="00F11592" w:rsidRPr="009B4A72">
        <w:rPr>
          <w:rFonts w:ascii="Arial" w:hAnsi="Arial" w:cs="Arial"/>
          <w:sz w:val="24"/>
          <w:szCs w:val="24"/>
          <w:lang w:val="en-US"/>
        </w:rPr>
        <w:t>and</w:t>
      </w:r>
      <w:r w:rsidR="00F11592" w:rsidRPr="009B4A72">
        <w:rPr>
          <w:rFonts w:ascii="Arial" w:hAnsi="Arial" w:cs="Arial"/>
          <w:i/>
          <w:sz w:val="24"/>
          <w:szCs w:val="24"/>
          <w:lang w:val="en-US"/>
        </w:rPr>
        <w:t xml:space="preserve"> (e)</w:t>
      </w:r>
      <w:r w:rsidR="00F11592">
        <w:rPr>
          <w:rFonts w:ascii="Arial" w:hAnsi="Arial" w:cs="Arial"/>
          <w:sz w:val="24"/>
          <w:szCs w:val="24"/>
          <w:lang w:val="en-US"/>
        </w:rPr>
        <w:t xml:space="preserve"> of the </w:t>
      </w:r>
      <w:r w:rsidR="00F11592" w:rsidRPr="009B4A72">
        <w:rPr>
          <w:rFonts w:ascii="Arial" w:hAnsi="Arial" w:cs="Arial"/>
          <w:i/>
          <w:sz w:val="24"/>
          <w:szCs w:val="24"/>
          <w:lang w:val="en-US"/>
        </w:rPr>
        <w:t>BAA</w:t>
      </w:r>
      <w:r w:rsidR="00574A74">
        <w:rPr>
          <w:rFonts w:ascii="Arial" w:hAnsi="Arial" w:cs="Arial"/>
          <w:sz w:val="24"/>
          <w:szCs w:val="24"/>
          <w:lang w:val="en-US"/>
        </w:rPr>
        <w:t xml:space="preserve"> </w:t>
      </w:r>
      <w:r w:rsidR="000D5858">
        <w:rPr>
          <w:rFonts w:ascii="Arial" w:hAnsi="Arial" w:cs="Arial"/>
          <w:sz w:val="24"/>
          <w:szCs w:val="24"/>
          <w:lang w:val="en-US"/>
        </w:rPr>
        <w:t>w</w:t>
      </w:r>
      <w:r w:rsidR="00574A74">
        <w:rPr>
          <w:rFonts w:ascii="Arial" w:hAnsi="Arial" w:cs="Arial"/>
          <w:sz w:val="24"/>
          <w:szCs w:val="24"/>
          <w:lang w:val="en-US"/>
        </w:rPr>
        <w:t>hich informed the system of intestate succession</w:t>
      </w:r>
      <w:r w:rsidR="00F11592">
        <w:rPr>
          <w:rFonts w:ascii="Arial" w:hAnsi="Arial" w:cs="Arial"/>
          <w:sz w:val="24"/>
          <w:szCs w:val="24"/>
          <w:lang w:val="en-US"/>
        </w:rPr>
        <w:t>, also included was</w:t>
      </w:r>
      <w:r w:rsidR="000D5858">
        <w:rPr>
          <w:rFonts w:ascii="Arial" w:hAnsi="Arial" w:cs="Arial"/>
          <w:sz w:val="24"/>
          <w:szCs w:val="24"/>
          <w:lang w:val="en-US"/>
        </w:rPr>
        <w:t xml:space="preserve"> regulation </w:t>
      </w:r>
      <w:r w:rsidR="000D5858" w:rsidRPr="009B4A72">
        <w:rPr>
          <w:rFonts w:ascii="Arial" w:hAnsi="Arial" w:cs="Arial"/>
          <w:i/>
          <w:sz w:val="24"/>
          <w:szCs w:val="24"/>
          <w:lang w:val="en-US"/>
        </w:rPr>
        <w:t>S 2(e</w:t>
      </w:r>
      <w:r w:rsidR="000D5858">
        <w:rPr>
          <w:rFonts w:ascii="Arial" w:hAnsi="Arial" w:cs="Arial"/>
          <w:sz w:val="24"/>
          <w:szCs w:val="24"/>
          <w:lang w:val="en-US"/>
        </w:rPr>
        <w:t>)</w:t>
      </w:r>
      <w:r w:rsidR="00F11592">
        <w:rPr>
          <w:rFonts w:ascii="Arial" w:hAnsi="Arial" w:cs="Arial"/>
          <w:sz w:val="24"/>
          <w:szCs w:val="24"/>
          <w:lang w:val="en-US"/>
        </w:rPr>
        <w:t xml:space="preserve"> of the Regulation of the </w:t>
      </w:r>
      <w:r w:rsidR="00F11592" w:rsidRPr="006F446B">
        <w:rPr>
          <w:rFonts w:ascii="Arial" w:hAnsi="Arial" w:cs="Arial"/>
          <w:i/>
          <w:sz w:val="24"/>
          <w:szCs w:val="24"/>
          <w:lang w:val="en-US"/>
        </w:rPr>
        <w:t>A</w:t>
      </w:r>
      <w:r w:rsidR="006F446B">
        <w:rPr>
          <w:rFonts w:ascii="Arial" w:hAnsi="Arial" w:cs="Arial"/>
          <w:i/>
          <w:sz w:val="24"/>
          <w:szCs w:val="24"/>
          <w:lang w:val="en-US"/>
        </w:rPr>
        <w:t>dministration and D</w:t>
      </w:r>
      <w:r w:rsidR="00F11592" w:rsidRPr="006F446B">
        <w:rPr>
          <w:rFonts w:ascii="Arial" w:hAnsi="Arial" w:cs="Arial"/>
          <w:i/>
          <w:sz w:val="24"/>
          <w:szCs w:val="24"/>
          <w:lang w:val="en-US"/>
        </w:rPr>
        <w:t>istribution of the Estate of Deceased Blacks</w:t>
      </w:r>
      <w:r w:rsidR="006F5E0B">
        <w:rPr>
          <w:rFonts w:ascii="Arial" w:hAnsi="Arial" w:cs="Arial"/>
          <w:i/>
          <w:sz w:val="24"/>
          <w:szCs w:val="24"/>
          <w:lang w:val="en-US"/>
        </w:rPr>
        <w:t xml:space="preserve"> </w:t>
      </w:r>
      <w:r w:rsidR="006F5E0B">
        <w:rPr>
          <w:rFonts w:ascii="Arial" w:hAnsi="Arial" w:cs="Arial"/>
          <w:sz w:val="24"/>
          <w:szCs w:val="24"/>
          <w:lang w:val="en-US"/>
        </w:rPr>
        <w:t>these promote and give force to the rule of male primogeniture</w:t>
      </w:r>
      <w:r w:rsidR="00574A74">
        <w:rPr>
          <w:rFonts w:ascii="Arial" w:hAnsi="Arial" w:cs="Arial"/>
          <w:sz w:val="24"/>
          <w:szCs w:val="24"/>
          <w:lang w:val="en-US"/>
        </w:rPr>
        <w:t xml:space="preserve">. This disqualified the daughters of the deceased in the </w:t>
      </w:r>
      <w:proofErr w:type="spellStart"/>
      <w:r w:rsidR="00574A74" w:rsidRPr="00574A74">
        <w:rPr>
          <w:rFonts w:ascii="Arial" w:hAnsi="Arial" w:cs="Arial"/>
          <w:i/>
          <w:sz w:val="24"/>
          <w:szCs w:val="24"/>
          <w:lang w:val="en-US"/>
        </w:rPr>
        <w:t>Bhe</w:t>
      </w:r>
      <w:proofErr w:type="spellEnd"/>
      <w:r w:rsidR="00574A74" w:rsidRPr="00574A74">
        <w:rPr>
          <w:rFonts w:ascii="Arial" w:hAnsi="Arial" w:cs="Arial"/>
          <w:i/>
          <w:sz w:val="24"/>
          <w:szCs w:val="24"/>
          <w:lang w:val="en-US"/>
        </w:rPr>
        <w:t xml:space="preserve"> case</w:t>
      </w:r>
      <w:r w:rsidR="00574A74">
        <w:rPr>
          <w:rFonts w:ascii="Arial" w:hAnsi="Arial" w:cs="Arial"/>
          <w:sz w:val="24"/>
          <w:szCs w:val="24"/>
          <w:lang w:val="en-US"/>
        </w:rPr>
        <w:t xml:space="preserve"> from inheriting from their father</w:t>
      </w:r>
      <w:r w:rsidR="000D5858">
        <w:rPr>
          <w:rFonts w:ascii="Arial" w:hAnsi="Arial" w:cs="Arial"/>
          <w:sz w:val="24"/>
          <w:szCs w:val="24"/>
          <w:lang w:val="en-US"/>
        </w:rPr>
        <w:t xml:space="preserve"> in favor of the deceased father inheriting instead</w:t>
      </w:r>
      <w:r w:rsidR="000D5858" w:rsidRPr="009B4A72">
        <w:rPr>
          <w:rFonts w:ascii="Arial" w:hAnsi="Arial" w:cs="Arial"/>
          <w:i/>
          <w:sz w:val="24"/>
          <w:szCs w:val="24"/>
          <w:lang w:val="en-US"/>
        </w:rPr>
        <w:t>.</w:t>
      </w:r>
      <w:r w:rsidR="000D5858" w:rsidRPr="009B4A72">
        <w:rPr>
          <w:rStyle w:val="FootnoteReference"/>
          <w:rFonts w:ascii="Arial" w:hAnsi="Arial" w:cs="Arial"/>
          <w:i/>
          <w:sz w:val="24"/>
          <w:szCs w:val="24"/>
          <w:lang w:val="en-US"/>
        </w:rPr>
        <w:footnoteReference w:id="13"/>
      </w:r>
      <w:r w:rsidR="00574A74" w:rsidRPr="009B4A72">
        <w:rPr>
          <w:rFonts w:ascii="Arial" w:hAnsi="Arial" w:cs="Arial"/>
          <w:i/>
          <w:sz w:val="24"/>
          <w:szCs w:val="24"/>
          <w:lang w:val="en-US"/>
        </w:rPr>
        <w:t xml:space="preserve"> </w:t>
      </w:r>
      <w:r w:rsidR="000D5858" w:rsidRPr="009B4A72">
        <w:rPr>
          <w:rFonts w:ascii="Arial" w:hAnsi="Arial" w:cs="Arial"/>
          <w:i/>
          <w:sz w:val="24"/>
          <w:szCs w:val="24"/>
          <w:lang w:val="en-US"/>
        </w:rPr>
        <w:t>Section 1(4)</w:t>
      </w:r>
      <w:r w:rsidR="006A6247" w:rsidRPr="009B4A72">
        <w:rPr>
          <w:rFonts w:ascii="Arial" w:hAnsi="Arial" w:cs="Arial"/>
          <w:i/>
          <w:sz w:val="24"/>
          <w:szCs w:val="24"/>
          <w:lang w:val="en-US"/>
        </w:rPr>
        <w:t xml:space="preserve"> </w:t>
      </w:r>
      <w:r w:rsidR="000D5858" w:rsidRPr="009B4A72">
        <w:rPr>
          <w:rFonts w:ascii="Arial" w:hAnsi="Arial" w:cs="Arial"/>
          <w:i/>
          <w:sz w:val="24"/>
          <w:szCs w:val="24"/>
          <w:lang w:val="en-US"/>
        </w:rPr>
        <w:t>(b) of th</w:t>
      </w:r>
      <w:r w:rsidR="00FC4ABB" w:rsidRPr="009B4A72">
        <w:rPr>
          <w:rFonts w:ascii="Arial" w:hAnsi="Arial" w:cs="Arial"/>
          <w:i/>
          <w:sz w:val="24"/>
          <w:szCs w:val="24"/>
          <w:lang w:val="en-US"/>
        </w:rPr>
        <w:t>e intestate Succession Act</w:t>
      </w:r>
      <w:r w:rsidR="00FC4ABB">
        <w:rPr>
          <w:rFonts w:ascii="Arial" w:hAnsi="Arial" w:cs="Arial"/>
          <w:sz w:val="24"/>
          <w:szCs w:val="24"/>
          <w:lang w:val="en-US"/>
        </w:rPr>
        <w:t xml:space="preserve"> was </w:t>
      </w:r>
      <w:r w:rsidR="000D5858">
        <w:rPr>
          <w:rFonts w:ascii="Arial" w:hAnsi="Arial" w:cs="Arial"/>
          <w:sz w:val="24"/>
          <w:szCs w:val="24"/>
          <w:lang w:val="en-US"/>
        </w:rPr>
        <w:t>declared unconstitutional</w:t>
      </w:r>
      <w:r w:rsidR="00B51725">
        <w:rPr>
          <w:rFonts w:ascii="Arial" w:hAnsi="Arial" w:cs="Arial"/>
          <w:sz w:val="24"/>
          <w:szCs w:val="24"/>
          <w:lang w:val="en-US"/>
        </w:rPr>
        <w:t>.</w:t>
      </w:r>
      <w:r w:rsidR="00B51725">
        <w:rPr>
          <w:rStyle w:val="FootnoteReference"/>
          <w:rFonts w:ascii="Arial" w:hAnsi="Arial" w:cs="Arial"/>
          <w:sz w:val="24"/>
          <w:szCs w:val="24"/>
          <w:lang w:val="en-US"/>
        </w:rPr>
        <w:footnoteReference w:id="14"/>
      </w:r>
    </w:p>
    <w:p w:rsidR="006F446B" w:rsidRDefault="006F446B" w:rsidP="00925EE6">
      <w:pPr>
        <w:ind w:left="720"/>
        <w:jc w:val="both"/>
        <w:rPr>
          <w:rFonts w:ascii="Arial" w:hAnsi="Arial" w:cs="Arial"/>
          <w:sz w:val="24"/>
          <w:szCs w:val="24"/>
          <w:lang w:val="en-US"/>
        </w:rPr>
      </w:pPr>
    </w:p>
    <w:p w:rsidR="006F446B" w:rsidRDefault="006F446B" w:rsidP="00925EE6">
      <w:pPr>
        <w:ind w:left="720"/>
        <w:jc w:val="both"/>
        <w:rPr>
          <w:rFonts w:ascii="Arial" w:hAnsi="Arial" w:cs="Arial"/>
          <w:b/>
          <w:sz w:val="24"/>
          <w:szCs w:val="24"/>
          <w:lang w:val="en-US"/>
        </w:rPr>
      </w:pPr>
      <w:r w:rsidRPr="006F446B">
        <w:rPr>
          <w:rFonts w:ascii="Arial" w:hAnsi="Arial" w:cs="Arial"/>
          <w:b/>
          <w:sz w:val="24"/>
          <w:szCs w:val="24"/>
          <w:lang w:val="en-US"/>
        </w:rPr>
        <w:t xml:space="preserve">Judgement </w:t>
      </w:r>
    </w:p>
    <w:p w:rsidR="00B51725" w:rsidRPr="00B51725" w:rsidRDefault="00B51725" w:rsidP="00925EE6">
      <w:pPr>
        <w:ind w:left="720"/>
        <w:jc w:val="both"/>
        <w:rPr>
          <w:rFonts w:ascii="Arial" w:hAnsi="Arial" w:cs="Arial"/>
          <w:sz w:val="24"/>
          <w:szCs w:val="24"/>
          <w:lang w:val="en-US"/>
        </w:rPr>
      </w:pPr>
      <w:r w:rsidRPr="00B51725">
        <w:rPr>
          <w:rFonts w:ascii="Arial" w:hAnsi="Arial" w:cs="Arial"/>
          <w:sz w:val="24"/>
          <w:szCs w:val="24"/>
          <w:lang w:val="en-US"/>
        </w:rPr>
        <w:t xml:space="preserve">The court upheld the challenge and struck down the statutory provisions and regulations, and placed an interim solution that, until these defects are fixed through legislation the distribution of black estates will be governed by </w:t>
      </w:r>
      <w:r w:rsidRPr="009B4A72">
        <w:rPr>
          <w:rFonts w:ascii="Arial" w:hAnsi="Arial" w:cs="Arial"/>
          <w:i/>
          <w:sz w:val="24"/>
          <w:szCs w:val="24"/>
          <w:lang w:val="en-US"/>
        </w:rPr>
        <w:t>S 1</w:t>
      </w:r>
      <w:r w:rsidRPr="00B51725">
        <w:rPr>
          <w:rFonts w:ascii="Arial" w:hAnsi="Arial" w:cs="Arial"/>
          <w:sz w:val="24"/>
          <w:szCs w:val="24"/>
          <w:lang w:val="en-US"/>
        </w:rPr>
        <w:t xml:space="preserve"> of the </w:t>
      </w:r>
      <w:r w:rsidRPr="00B51725">
        <w:rPr>
          <w:rFonts w:ascii="Arial" w:hAnsi="Arial" w:cs="Arial"/>
          <w:i/>
          <w:sz w:val="24"/>
          <w:szCs w:val="24"/>
          <w:lang w:val="en-US"/>
        </w:rPr>
        <w:t xml:space="preserve">intestate </w:t>
      </w:r>
      <w:r w:rsidR="0058514A" w:rsidRPr="00B51725">
        <w:rPr>
          <w:rFonts w:ascii="Arial" w:hAnsi="Arial" w:cs="Arial"/>
          <w:i/>
          <w:sz w:val="24"/>
          <w:szCs w:val="24"/>
          <w:lang w:val="en-US"/>
        </w:rPr>
        <w:t>succession</w:t>
      </w:r>
      <w:r w:rsidRPr="00B51725">
        <w:rPr>
          <w:rFonts w:ascii="Arial" w:hAnsi="Arial" w:cs="Arial"/>
          <w:i/>
          <w:sz w:val="24"/>
          <w:szCs w:val="24"/>
          <w:lang w:val="en-US"/>
        </w:rPr>
        <w:t xml:space="preserve"> act 81 of 1987</w:t>
      </w:r>
    </w:p>
    <w:p w:rsidR="006F446B" w:rsidRDefault="006A6247" w:rsidP="00925EE6">
      <w:pPr>
        <w:ind w:left="720"/>
        <w:jc w:val="both"/>
        <w:rPr>
          <w:rFonts w:ascii="Arial" w:hAnsi="Arial" w:cs="Arial"/>
          <w:sz w:val="24"/>
          <w:szCs w:val="24"/>
          <w:lang w:val="en-US"/>
        </w:rPr>
      </w:pPr>
      <w:r>
        <w:rPr>
          <w:rFonts w:ascii="Arial" w:hAnsi="Arial" w:cs="Arial"/>
          <w:sz w:val="24"/>
          <w:szCs w:val="24"/>
          <w:lang w:val="en-US"/>
        </w:rPr>
        <w:t>The provisions are said to violate the following rights of the constitution:</w:t>
      </w:r>
    </w:p>
    <w:p w:rsidR="006A6247" w:rsidRDefault="006A6247" w:rsidP="006A6247">
      <w:pPr>
        <w:pStyle w:val="ListParagraph"/>
        <w:numPr>
          <w:ilvl w:val="0"/>
          <w:numId w:val="15"/>
        </w:numPr>
        <w:jc w:val="both"/>
        <w:rPr>
          <w:rFonts w:ascii="Arial" w:hAnsi="Arial" w:cs="Arial"/>
          <w:sz w:val="24"/>
          <w:szCs w:val="24"/>
          <w:lang w:val="en-US"/>
        </w:rPr>
      </w:pPr>
      <w:r>
        <w:rPr>
          <w:rFonts w:ascii="Arial" w:hAnsi="Arial" w:cs="Arial"/>
          <w:sz w:val="24"/>
          <w:szCs w:val="24"/>
          <w:lang w:val="en-US"/>
        </w:rPr>
        <w:lastRenderedPageBreak/>
        <w:t xml:space="preserve">Human dignity </w:t>
      </w:r>
    </w:p>
    <w:p w:rsidR="006A6247" w:rsidRDefault="006A6247" w:rsidP="006A6247">
      <w:pPr>
        <w:pStyle w:val="ListParagraph"/>
        <w:numPr>
          <w:ilvl w:val="0"/>
          <w:numId w:val="15"/>
        </w:numPr>
        <w:jc w:val="both"/>
        <w:rPr>
          <w:rFonts w:ascii="Arial" w:hAnsi="Arial" w:cs="Arial"/>
          <w:sz w:val="24"/>
          <w:szCs w:val="24"/>
          <w:lang w:val="en-US"/>
        </w:rPr>
      </w:pPr>
      <w:r>
        <w:rPr>
          <w:rFonts w:ascii="Arial" w:hAnsi="Arial" w:cs="Arial"/>
          <w:sz w:val="24"/>
          <w:szCs w:val="24"/>
          <w:lang w:val="en-US"/>
        </w:rPr>
        <w:t xml:space="preserve">The right to equality </w:t>
      </w:r>
    </w:p>
    <w:p w:rsidR="006A6247" w:rsidRDefault="006A6247" w:rsidP="006A6247">
      <w:pPr>
        <w:pStyle w:val="ListParagraph"/>
        <w:numPr>
          <w:ilvl w:val="0"/>
          <w:numId w:val="15"/>
        </w:numPr>
        <w:jc w:val="both"/>
        <w:rPr>
          <w:rFonts w:ascii="Arial" w:hAnsi="Arial" w:cs="Arial"/>
          <w:sz w:val="24"/>
          <w:szCs w:val="24"/>
          <w:lang w:val="en-US"/>
        </w:rPr>
      </w:pPr>
      <w:r>
        <w:rPr>
          <w:rFonts w:ascii="Arial" w:hAnsi="Arial" w:cs="Arial"/>
          <w:sz w:val="24"/>
          <w:szCs w:val="24"/>
          <w:lang w:val="en-US"/>
        </w:rPr>
        <w:t xml:space="preserve">The rights of Children </w:t>
      </w:r>
    </w:p>
    <w:p w:rsidR="006A6247" w:rsidRDefault="006A6247" w:rsidP="006A6247">
      <w:pPr>
        <w:ind w:left="1080"/>
        <w:jc w:val="both"/>
        <w:rPr>
          <w:rFonts w:ascii="Arial" w:hAnsi="Arial" w:cs="Arial"/>
          <w:sz w:val="24"/>
          <w:szCs w:val="24"/>
          <w:lang w:val="en-US"/>
        </w:rPr>
      </w:pPr>
    </w:p>
    <w:p w:rsidR="006A6247" w:rsidRDefault="006C4A1D" w:rsidP="006A6247">
      <w:pPr>
        <w:ind w:left="1080"/>
        <w:jc w:val="both"/>
        <w:rPr>
          <w:rFonts w:ascii="Arial" w:hAnsi="Arial" w:cs="Arial"/>
          <w:sz w:val="24"/>
          <w:szCs w:val="24"/>
          <w:lang w:val="en-US"/>
        </w:rPr>
      </w:pPr>
      <w:r>
        <w:rPr>
          <w:rFonts w:ascii="Arial" w:hAnsi="Arial" w:cs="Arial"/>
          <w:sz w:val="24"/>
          <w:szCs w:val="24"/>
          <w:lang w:val="en-US"/>
        </w:rPr>
        <w:t xml:space="preserve">Male primogeniture comes about as a need for someone who will fill the role of the family head should they die. </w:t>
      </w:r>
      <w:r w:rsidR="00DE5610">
        <w:rPr>
          <w:rFonts w:ascii="Arial" w:hAnsi="Arial" w:cs="Arial"/>
          <w:sz w:val="24"/>
          <w:szCs w:val="24"/>
          <w:lang w:val="en-US"/>
        </w:rPr>
        <w:t>Someone</w:t>
      </w:r>
      <w:r w:rsidR="001B3AD8">
        <w:rPr>
          <w:rFonts w:ascii="Arial" w:hAnsi="Arial" w:cs="Arial"/>
          <w:sz w:val="24"/>
          <w:szCs w:val="24"/>
          <w:lang w:val="en-US"/>
        </w:rPr>
        <w:t xml:space="preserve"> from the family of the deceased must emerge as the head. The courts advanced sound reasoning</w:t>
      </w:r>
      <w:r w:rsidR="00C57130">
        <w:rPr>
          <w:rFonts w:ascii="Arial" w:hAnsi="Arial" w:cs="Arial"/>
          <w:sz w:val="24"/>
          <w:szCs w:val="24"/>
          <w:lang w:val="en-US"/>
        </w:rPr>
        <w:t xml:space="preserve"> in its minority judgement</w:t>
      </w:r>
      <w:r w:rsidR="001B3AD8">
        <w:rPr>
          <w:rFonts w:ascii="Arial" w:hAnsi="Arial" w:cs="Arial"/>
          <w:sz w:val="24"/>
          <w:szCs w:val="24"/>
          <w:lang w:val="en-US"/>
        </w:rPr>
        <w:t xml:space="preserve"> on the matter of the eldest child being given this responsibility</w:t>
      </w:r>
      <w:r w:rsidR="00C57130">
        <w:rPr>
          <w:rFonts w:ascii="Arial" w:hAnsi="Arial" w:cs="Arial"/>
          <w:sz w:val="24"/>
          <w:szCs w:val="24"/>
          <w:lang w:val="en-US"/>
        </w:rPr>
        <w:t xml:space="preserve"> (which can be seen to discriminate against the younger children)</w:t>
      </w:r>
      <w:r w:rsidR="001B3AD8">
        <w:rPr>
          <w:rFonts w:ascii="Arial" w:hAnsi="Arial" w:cs="Arial"/>
          <w:sz w:val="24"/>
          <w:szCs w:val="24"/>
          <w:lang w:val="en-US"/>
        </w:rPr>
        <w:t>, saying that this gives legal certainty in a possibility of conflicting claims to the position</w:t>
      </w:r>
      <w:r w:rsidR="00C57130">
        <w:rPr>
          <w:rFonts w:ascii="Arial" w:hAnsi="Arial" w:cs="Arial"/>
          <w:sz w:val="24"/>
          <w:szCs w:val="24"/>
          <w:lang w:val="en-US"/>
        </w:rPr>
        <w:t xml:space="preserve">, </w:t>
      </w:r>
      <w:r w:rsidR="00C57130">
        <w:rPr>
          <w:rFonts w:ascii="Arial" w:hAnsi="Arial" w:cs="Arial"/>
          <w:sz w:val="24"/>
          <w:szCs w:val="24"/>
          <w:lang w:val="en-US"/>
        </w:rPr>
        <w:t>The responsibility</w:t>
      </w:r>
      <w:r w:rsidR="009134A1">
        <w:rPr>
          <w:rFonts w:ascii="Arial" w:hAnsi="Arial" w:cs="Arial"/>
          <w:sz w:val="24"/>
          <w:szCs w:val="24"/>
          <w:lang w:val="en-US"/>
        </w:rPr>
        <w:t xml:space="preserve"> passes on to the next eldest should the eldest not be available.</w:t>
      </w:r>
      <w:r w:rsidR="00EA6B1C">
        <w:rPr>
          <w:rStyle w:val="FootnoteReference"/>
          <w:rFonts w:ascii="Arial" w:hAnsi="Arial" w:cs="Arial"/>
          <w:sz w:val="24"/>
          <w:szCs w:val="24"/>
          <w:lang w:val="en-US"/>
        </w:rPr>
        <w:footnoteReference w:id="15"/>
      </w:r>
      <w:r w:rsidR="001B3AD8">
        <w:rPr>
          <w:rFonts w:ascii="Arial" w:hAnsi="Arial" w:cs="Arial"/>
          <w:sz w:val="24"/>
          <w:szCs w:val="24"/>
          <w:lang w:val="en-US"/>
        </w:rPr>
        <w:t xml:space="preserve"> </w:t>
      </w:r>
      <w:r w:rsidR="00086CBF">
        <w:rPr>
          <w:rFonts w:ascii="Arial" w:hAnsi="Arial" w:cs="Arial"/>
          <w:sz w:val="24"/>
          <w:szCs w:val="24"/>
          <w:lang w:val="en-US"/>
        </w:rPr>
        <w:t>The courts says this person will not be stepping into this position to benefit from the inheritance but will be in a facilitation role of the responsibilities associated with heirship.</w:t>
      </w:r>
      <w:r w:rsidR="00086CBF">
        <w:rPr>
          <w:rStyle w:val="FootnoteReference"/>
          <w:rFonts w:ascii="Arial" w:hAnsi="Arial" w:cs="Arial"/>
          <w:sz w:val="24"/>
          <w:szCs w:val="24"/>
          <w:lang w:val="en-US"/>
        </w:rPr>
        <w:footnoteReference w:id="16"/>
      </w:r>
    </w:p>
    <w:p w:rsidR="00086CBF" w:rsidRDefault="00086CBF" w:rsidP="006A6247">
      <w:pPr>
        <w:ind w:left="1080"/>
        <w:jc w:val="both"/>
        <w:rPr>
          <w:rFonts w:ascii="Arial" w:hAnsi="Arial" w:cs="Arial"/>
          <w:sz w:val="24"/>
          <w:szCs w:val="24"/>
          <w:lang w:val="en-US"/>
        </w:rPr>
      </w:pPr>
      <w:r>
        <w:rPr>
          <w:rFonts w:ascii="Arial" w:hAnsi="Arial" w:cs="Arial"/>
          <w:sz w:val="24"/>
          <w:szCs w:val="24"/>
          <w:lang w:val="en-US"/>
        </w:rPr>
        <w:t xml:space="preserve">The role however was only </w:t>
      </w:r>
      <w:r w:rsidR="00801318">
        <w:rPr>
          <w:rFonts w:ascii="Arial" w:hAnsi="Arial" w:cs="Arial"/>
          <w:sz w:val="24"/>
          <w:szCs w:val="24"/>
          <w:lang w:val="en-US"/>
        </w:rPr>
        <w:t xml:space="preserve">advanced only males, and cascades down from the </w:t>
      </w:r>
      <w:r w:rsidR="00F90443">
        <w:rPr>
          <w:rFonts w:ascii="Arial" w:hAnsi="Arial" w:cs="Arial"/>
          <w:sz w:val="24"/>
          <w:szCs w:val="24"/>
          <w:lang w:val="en-US"/>
        </w:rPr>
        <w:t>eldest</w:t>
      </w:r>
      <w:r w:rsidR="00801318">
        <w:rPr>
          <w:rFonts w:ascii="Arial" w:hAnsi="Arial" w:cs="Arial"/>
          <w:sz w:val="24"/>
          <w:szCs w:val="24"/>
          <w:lang w:val="en-US"/>
        </w:rPr>
        <w:t xml:space="preserve"> son and if they are not available shifts down to the next available eldest son. Should there be no sons this responsibility moves to the father of the deceased, if he is not available it shifts to his other son and seeks sons under that branch of the family.</w:t>
      </w:r>
      <w:r w:rsidR="00801318">
        <w:rPr>
          <w:rStyle w:val="FootnoteReference"/>
          <w:rFonts w:ascii="Arial" w:hAnsi="Arial" w:cs="Arial"/>
          <w:sz w:val="24"/>
          <w:szCs w:val="24"/>
          <w:lang w:val="en-US"/>
        </w:rPr>
        <w:footnoteReference w:id="17"/>
      </w:r>
      <w:r w:rsidR="00801318">
        <w:rPr>
          <w:rFonts w:ascii="Arial" w:hAnsi="Arial" w:cs="Arial"/>
          <w:sz w:val="24"/>
          <w:szCs w:val="24"/>
          <w:lang w:val="en-US"/>
        </w:rPr>
        <w:t xml:space="preserve"> This clearly violates the right to equality and dignity of woman. The rule might have </w:t>
      </w:r>
      <w:r w:rsidR="00C57130">
        <w:rPr>
          <w:rFonts w:ascii="Arial" w:hAnsi="Arial" w:cs="Arial"/>
          <w:sz w:val="24"/>
          <w:szCs w:val="24"/>
          <w:lang w:val="en-US"/>
        </w:rPr>
        <w:t xml:space="preserve">found credence in the system of communal leaving based on reciprocal obligations, but in a modern constitutional state </w:t>
      </w:r>
      <w:r w:rsidR="00F90443">
        <w:rPr>
          <w:rFonts w:ascii="Arial" w:hAnsi="Arial" w:cs="Arial"/>
          <w:sz w:val="24"/>
          <w:szCs w:val="24"/>
          <w:lang w:val="en-US"/>
        </w:rPr>
        <w:t xml:space="preserve">it violates the rights of woman. </w:t>
      </w:r>
    </w:p>
    <w:p w:rsidR="00F90443" w:rsidRDefault="00F90443" w:rsidP="006A6247">
      <w:pPr>
        <w:ind w:left="1080"/>
        <w:jc w:val="both"/>
        <w:rPr>
          <w:rFonts w:ascii="Arial" w:hAnsi="Arial" w:cs="Arial"/>
          <w:sz w:val="24"/>
          <w:szCs w:val="24"/>
          <w:lang w:val="en-US"/>
        </w:rPr>
      </w:pPr>
      <w:proofErr w:type="spellStart"/>
      <w:r w:rsidRPr="009B4A72">
        <w:rPr>
          <w:rFonts w:ascii="Arial" w:hAnsi="Arial" w:cs="Arial"/>
          <w:i/>
          <w:sz w:val="24"/>
          <w:szCs w:val="24"/>
          <w:lang w:val="en-US"/>
        </w:rPr>
        <w:t>Ngcobo</w:t>
      </w:r>
      <w:proofErr w:type="spellEnd"/>
      <w:r w:rsidRPr="009B4A72">
        <w:rPr>
          <w:rFonts w:ascii="Arial" w:hAnsi="Arial" w:cs="Arial"/>
          <w:i/>
          <w:sz w:val="24"/>
          <w:szCs w:val="24"/>
          <w:lang w:val="en-US"/>
        </w:rPr>
        <w:t xml:space="preserve"> J</w:t>
      </w:r>
      <w:r>
        <w:rPr>
          <w:rFonts w:ascii="Arial" w:hAnsi="Arial" w:cs="Arial"/>
          <w:sz w:val="24"/>
          <w:szCs w:val="24"/>
          <w:lang w:val="en-US"/>
        </w:rPr>
        <w:t xml:space="preserve"> </w:t>
      </w:r>
      <w:r w:rsidR="0018470B">
        <w:rPr>
          <w:rFonts w:ascii="Arial" w:hAnsi="Arial" w:cs="Arial"/>
          <w:sz w:val="24"/>
          <w:szCs w:val="24"/>
          <w:lang w:val="en-US"/>
        </w:rPr>
        <w:t xml:space="preserve">in his </w:t>
      </w:r>
      <w:r w:rsidR="007B5C61">
        <w:rPr>
          <w:rFonts w:ascii="Arial" w:hAnsi="Arial" w:cs="Arial"/>
          <w:sz w:val="24"/>
          <w:szCs w:val="24"/>
          <w:lang w:val="en-US"/>
        </w:rPr>
        <w:t xml:space="preserve">dissenting opinion </w:t>
      </w:r>
      <w:r>
        <w:rPr>
          <w:rFonts w:ascii="Arial" w:hAnsi="Arial" w:cs="Arial"/>
          <w:sz w:val="24"/>
          <w:szCs w:val="24"/>
          <w:lang w:val="en-US"/>
        </w:rPr>
        <w:t xml:space="preserve">reminded the court that it has a constitutional mandate to </w:t>
      </w:r>
      <w:r w:rsidR="00E02CF6">
        <w:rPr>
          <w:rFonts w:ascii="Arial" w:hAnsi="Arial" w:cs="Arial"/>
          <w:sz w:val="24"/>
          <w:szCs w:val="24"/>
          <w:lang w:val="en-US"/>
        </w:rPr>
        <w:t xml:space="preserve">develop customary law to bring it in line with </w:t>
      </w:r>
      <w:r w:rsidR="00C77183">
        <w:rPr>
          <w:rFonts w:ascii="Arial" w:hAnsi="Arial" w:cs="Arial"/>
          <w:sz w:val="24"/>
          <w:szCs w:val="24"/>
          <w:lang w:val="en-US"/>
        </w:rPr>
        <w:t xml:space="preserve">spirit, purports and objects of </w:t>
      </w:r>
      <w:r w:rsidR="00E02CF6">
        <w:rPr>
          <w:rFonts w:ascii="Arial" w:hAnsi="Arial" w:cs="Arial"/>
          <w:sz w:val="24"/>
          <w:szCs w:val="24"/>
          <w:lang w:val="en-US"/>
        </w:rPr>
        <w:t>the Bill of rights (right to equality). For reasons above mentioned he submitted that Pri</w:t>
      </w:r>
      <w:r w:rsidR="00741A3F">
        <w:rPr>
          <w:rFonts w:ascii="Arial" w:hAnsi="Arial" w:cs="Arial"/>
          <w:sz w:val="24"/>
          <w:szCs w:val="24"/>
          <w:lang w:val="en-US"/>
        </w:rPr>
        <w:t>m</w:t>
      </w:r>
      <w:r w:rsidR="00E02CF6">
        <w:rPr>
          <w:rFonts w:ascii="Arial" w:hAnsi="Arial" w:cs="Arial"/>
          <w:sz w:val="24"/>
          <w:szCs w:val="24"/>
          <w:lang w:val="en-US"/>
        </w:rPr>
        <w:t xml:space="preserve">ogeniture should not be invalidated but should be development and </w:t>
      </w:r>
      <w:r w:rsidR="00741A3F">
        <w:rPr>
          <w:rFonts w:ascii="Arial" w:hAnsi="Arial" w:cs="Arial"/>
          <w:sz w:val="24"/>
          <w:szCs w:val="24"/>
          <w:lang w:val="en-US"/>
        </w:rPr>
        <w:t xml:space="preserve">only </w:t>
      </w:r>
      <w:r w:rsidR="00E02CF6">
        <w:rPr>
          <w:rFonts w:ascii="Arial" w:hAnsi="Arial" w:cs="Arial"/>
          <w:sz w:val="24"/>
          <w:szCs w:val="24"/>
          <w:lang w:val="en-US"/>
        </w:rPr>
        <w:t>the offending provisions be struck down</w:t>
      </w:r>
      <w:r w:rsidR="00817DE3">
        <w:rPr>
          <w:rFonts w:ascii="Arial" w:hAnsi="Arial" w:cs="Arial"/>
          <w:sz w:val="24"/>
          <w:szCs w:val="24"/>
          <w:lang w:val="en-US"/>
        </w:rPr>
        <w:t>.</w:t>
      </w:r>
      <w:r w:rsidR="00817DE3">
        <w:rPr>
          <w:rStyle w:val="FootnoteReference"/>
          <w:rFonts w:ascii="Arial" w:hAnsi="Arial" w:cs="Arial"/>
          <w:sz w:val="24"/>
          <w:szCs w:val="24"/>
          <w:lang w:val="en-US"/>
        </w:rPr>
        <w:footnoteReference w:id="18"/>
      </w:r>
      <w:r w:rsidR="00E02CF6">
        <w:rPr>
          <w:rFonts w:ascii="Arial" w:hAnsi="Arial" w:cs="Arial"/>
          <w:sz w:val="24"/>
          <w:szCs w:val="24"/>
          <w:lang w:val="en-US"/>
        </w:rPr>
        <w:t xml:space="preserve"> </w:t>
      </w:r>
    </w:p>
    <w:p w:rsidR="00925EE6" w:rsidRDefault="00925EE6" w:rsidP="004320E8">
      <w:pPr>
        <w:jc w:val="both"/>
        <w:rPr>
          <w:rFonts w:ascii="Arial" w:hAnsi="Arial" w:cs="Arial"/>
          <w:b/>
          <w:sz w:val="24"/>
          <w:szCs w:val="24"/>
          <w:lang w:val="en-US"/>
        </w:rPr>
      </w:pPr>
    </w:p>
    <w:p w:rsidR="00583A48" w:rsidRDefault="00583A48" w:rsidP="004320E8">
      <w:pPr>
        <w:jc w:val="both"/>
        <w:rPr>
          <w:rFonts w:ascii="Arial" w:hAnsi="Arial" w:cs="Arial"/>
          <w:b/>
          <w:sz w:val="24"/>
          <w:szCs w:val="24"/>
          <w:lang w:val="en-US"/>
        </w:rPr>
      </w:pPr>
    </w:p>
    <w:p w:rsidR="00583A48" w:rsidRDefault="00583A48" w:rsidP="004320E8">
      <w:pPr>
        <w:jc w:val="both"/>
        <w:rPr>
          <w:rFonts w:ascii="Arial" w:hAnsi="Arial" w:cs="Arial"/>
          <w:b/>
          <w:sz w:val="24"/>
          <w:szCs w:val="24"/>
          <w:lang w:val="en-US"/>
        </w:rPr>
      </w:pPr>
    </w:p>
    <w:p w:rsidR="00583A48" w:rsidRDefault="00583A48" w:rsidP="004320E8">
      <w:pPr>
        <w:jc w:val="both"/>
        <w:rPr>
          <w:rFonts w:ascii="Arial" w:hAnsi="Arial" w:cs="Arial"/>
          <w:b/>
          <w:sz w:val="24"/>
          <w:szCs w:val="24"/>
          <w:lang w:val="en-US"/>
        </w:rPr>
      </w:pPr>
    </w:p>
    <w:p w:rsidR="00583A48" w:rsidRPr="00925EE6" w:rsidRDefault="00583A48" w:rsidP="004320E8">
      <w:pPr>
        <w:jc w:val="both"/>
        <w:rPr>
          <w:rFonts w:ascii="Arial" w:hAnsi="Arial" w:cs="Arial"/>
          <w:b/>
          <w:sz w:val="24"/>
          <w:szCs w:val="24"/>
          <w:lang w:val="en-US"/>
        </w:rPr>
      </w:pPr>
    </w:p>
    <w:p w:rsidR="00547D42" w:rsidRDefault="00547D42" w:rsidP="00094C7B">
      <w:pPr>
        <w:pStyle w:val="Heading1"/>
        <w:ind w:left="720"/>
        <w:jc w:val="both"/>
        <w:rPr>
          <w:rFonts w:ascii="Arial" w:hAnsi="Arial" w:cs="Arial"/>
          <w:b/>
          <w:color w:val="auto"/>
          <w:sz w:val="24"/>
          <w:szCs w:val="24"/>
          <w:lang w:val="en-US"/>
        </w:rPr>
      </w:pPr>
      <w:bookmarkStart w:id="3" w:name="_Toc57128487"/>
      <w:r w:rsidRPr="00632CC2">
        <w:rPr>
          <w:rFonts w:ascii="Arial" w:hAnsi="Arial" w:cs="Arial"/>
          <w:b/>
          <w:color w:val="auto"/>
          <w:sz w:val="24"/>
          <w:szCs w:val="24"/>
          <w:lang w:val="en-US"/>
        </w:rPr>
        <w:lastRenderedPageBreak/>
        <w:t>Question 2</w:t>
      </w:r>
      <w:bookmarkEnd w:id="3"/>
    </w:p>
    <w:p w:rsidR="001F25CD" w:rsidRDefault="001F25CD" w:rsidP="001F25CD">
      <w:pPr>
        <w:ind w:left="720"/>
        <w:jc w:val="both"/>
        <w:rPr>
          <w:rFonts w:ascii="Arial" w:hAnsi="Arial" w:cs="Arial"/>
          <w:b/>
          <w:sz w:val="24"/>
          <w:szCs w:val="24"/>
          <w:lang w:val="en-US"/>
        </w:rPr>
      </w:pPr>
    </w:p>
    <w:p w:rsidR="001F25CD" w:rsidRPr="001F25CD" w:rsidRDefault="001F25CD" w:rsidP="001F25CD">
      <w:pPr>
        <w:ind w:left="720"/>
        <w:jc w:val="both"/>
        <w:rPr>
          <w:rFonts w:ascii="Arial" w:hAnsi="Arial" w:cs="Arial"/>
          <w:b/>
          <w:sz w:val="24"/>
          <w:szCs w:val="24"/>
          <w:lang w:val="en-US"/>
        </w:rPr>
      </w:pPr>
      <w:r w:rsidRPr="00583A48">
        <w:rPr>
          <w:rFonts w:ascii="Arial" w:hAnsi="Arial" w:cs="Arial"/>
          <w:b/>
          <w:sz w:val="24"/>
          <w:szCs w:val="24"/>
          <w:lang w:val="en-US"/>
        </w:rPr>
        <w:t xml:space="preserve">Brief facts </w:t>
      </w:r>
    </w:p>
    <w:p w:rsidR="00547D42" w:rsidRPr="000A2E04" w:rsidRDefault="0077204F" w:rsidP="00094C7B">
      <w:pPr>
        <w:ind w:left="720"/>
        <w:jc w:val="both"/>
        <w:rPr>
          <w:rFonts w:ascii="Arial" w:hAnsi="Arial" w:cs="Arial"/>
          <w:sz w:val="24"/>
          <w:szCs w:val="24"/>
          <w:lang w:val="en-US"/>
        </w:rPr>
      </w:pPr>
      <w:r>
        <w:rPr>
          <w:rFonts w:ascii="Arial" w:hAnsi="Arial" w:cs="Arial"/>
          <w:sz w:val="24"/>
          <w:szCs w:val="24"/>
          <w:lang w:val="en-US"/>
        </w:rPr>
        <w:t>Th</w:t>
      </w:r>
      <w:r w:rsidR="00D70BAC">
        <w:rPr>
          <w:rFonts w:ascii="Arial" w:hAnsi="Arial" w:cs="Arial"/>
          <w:sz w:val="24"/>
          <w:szCs w:val="24"/>
          <w:lang w:val="en-US"/>
        </w:rPr>
        <w:t>is is a case that originates from the Land Claims Court (herein referred to as ‘LCC’)</w:t>
      </w:r>
      <w:r w:rsidR="00277582">
        <w:rPr>
          <w:rFonts w:ascii="Arial" w:hAnsi="Arial" w:cs="Arial"/>
          <w:sz w:val="24"/>
          <w:szCs w:val="24"/>
          <w:lang w:val="en-US"/>
        </w:rPr>
        <w:t xml:space="preserve">. The </w:t>
      </w:r>
      <w:proofErr w:type="spellStart"/>
      <w:r w:rsidR="00277582">
        <w:rPr>
          <w:rFonts w:ascii="Arial" w:hAnsi="Arial" w:cs="Arial"/>
          <w:sz w:val="24"/>
          <w:szCs w:val="24"/>
          <w:lang w:val="en-US"/>
        </w:rPr>
        <w:t>Ritchterveld</w:t>
      </w:r>
      <w:proofErr w:type="spellEnd"/>
      <w:r w:rsidR="00277582">
        <w:rPr>
          <w:rFonts w:ascii="Arial" w:hAnsi="Arial" w:cs="Arial"/>
          <w:sz w:val="24"/>
          <w:szCs w:val="24"/>
          <w:lang w:val="en-US"/>
        </w:rPr>
        <w:t xml:space="preserve"> community</w:t>
      </w:r>
      <w:r w:rsidR="00725D46">
        <w:rPr>
          <w:rFonts w:ascii="Arial" w:hAnsi="Arial" w:cs="Arial"/>
          <w:sz w:val="24"/>
          <w:szCs w:val="24"/>
          <w:lang w:val="en-US"/>
        </w:rPr>
        <w:t xml:space="preserve"> (herein </w:t>
      </w:r>
      <w:proofErr w:type="spellStart"/>
      <w:r w:rsidR="00725D46">
        <w:rPr>
          <w:rFonts w:ascii="Arial" w:hAnsi="Arial" w:cs="Arial"/>
          <w:sz w:val="24"/>
          <w:szCs w:val="24"/>
          <w:lang w:val="en-US"/>
        </w:rPr>
        <w:t>refered</w:t>
      </w:r>
      <w:proofErr w:type="spellEnd"/>
      <w:r w:rsidR="00725D46">
        <w:rPr>
          <w:rFonts w:ascii="Arial" w:hAnsi="Arial" w:cs="Arial"/>
          <w:sz w:val="24"/>
          <w:szCs w:val="24"/>
          <w:lang w:val="en-US"/>
        </w:rPr>
        <w:t xml:space="preserve"> to as ‘the community’)</w:t>
      </w:r>
      <w:r w:rsidR="00277582">
        <w:rPr>
          <w:rFonts w:ascii="Arial" w:hAnsi="Arial" w:cs="Arial"/>
          <w:sz w:val="24"/>
          <w:szCs w:val="24"/>
          <w:lang w:val="en-US"/>
        </w:rPr>
        <w:t xml:space="preserve"> applied to the LCC under the provisions of the </w:t>
      </w:r>
      <w:r w:rsidR="00277582">
        <w:rPr>
          <w:rFonts w:ascii="Arial" w:hAnsi="Arial" w:cs="Arial"/>
          <w:i/>
          <w:sz w:val="24"/>
          <w:szCs w:val="24"/>
          <w:lang w:val="en-US"/>
        </w:rPr>
        <w:t xml:space="preserve">Restitution of Land Rights Act, </w:t>
      </w:r>
      <w:r w:rsidR="00277582">
        <w:rPr>
          <w:rFonts w:ascii="Arial" w:hAnsi="Arial" w:cs="Arial"/>
          <w:sz w:val="24"/>
          <w:szCs w:val="24"/>
          <w:lang w:val="en-US"/>
        </w:rPr>
        <w:t xml:space="preserve">the claim was dismissed. The </w:t>
      </w:r>
      <w:r w:rsidR="00277582" w:rsidRPr="00277582">
        <w:rPr>
          <w:rFonts w:ascii="Arial" w:hAnsi="Arial" w:cs="Arial"/>
          <w:i/>
          <w:sz w:val="24"/>
          <w:szCs w:val="24"/>
          <w:lang w:val="en-US"/>
        </w:rPr>
        <w:t>SCA</w:t>
      </w:r>
      <w:r w:rsidR="000A2E04">
        <w:rPr>
          <w:rFonts w:ascii="Arial" w:hAnsi="Arial" w:cs="Arial"/>
          <w:i/>
          <w:sz w:val="24"/>
          <w:szCs w:val="24"/>
          <w:lang w:val="en-US"/>
        </w:rPr>
        <w:t xml:space="preserve"> </w:t>
      </w:r>
      <w:r w:rsidR="000A2E04">
        <w:rPr>
          <w:rFonts w:ascii="Arial" w:hAnsi="Arial" w:cs="Arial"/>
          <w:sz w:val="24"/>
          <w:szCs w:val="24"/>
          <w:lang w:val="en-US"/>
        </w:rPr>
        <w:t>granted leave to appeal and set the LCC’s order and granted relief.</w:t>
      </w:r>
      <w:r w:rsidR="000A2E04">
        <w:rPr>
          <w:rStyle w:val="FootnoteReference"/>
          <w:rFonts w:ascii="Arial" w:hAnsi="Arial" w:cs="Arial"/>
          <w:sz w:val="24"/>
          <w:szCs w:val="24"/>
          <w:lang w:val="en-US"/>
        </w:rPr>
        <w:footnoteReference w:id="19"/>
      </w:r>
      <w:r w:rsidR="000A2E04">
        <w:rPr>
          <w:rFonts w:ascii="Arial" w:hAnsi="Arial" w:cs="Arial"/>
          <w:sz w:val="24"/>
          <w:szCs w:val="24"/>
          <w:lang w:val="en-US"/>
        </w:rPr>
        <w:t xml:space="preserve"> The matter was subsequently appealed at the constitutional court with the 1</w:t>
      </w:r>
      <w:r w:rsidR="000A2E04" w:rsidRPr="000A2E04">
        <w:rPr>
          <w:rFonts w:ascii="Arial" w:hAnsi="Arial" w:cs="Arial"/>
          <w:sz w:val="24"/>
          <w:szCs w:val="24"/>
          <w:vertAlign w:val="superscript"/>
          <w:lang w:val="en-US"/>
        </w:rPr>
        <w:t>st</w:t>
      </w:r>
      <w:r w:rsidR="000A2E04">
        <w:rPr>
          <w:rFonts w:ascii="Arial" w:hAnsi="Arial" w:cs="Arial"/>
          <w:sz w:val="24"/>
          <w:szCs w:val="24"/>
          <w:lang w:val="en-US"/>
        </w:rPr>
        <w:t xml:space="preserve"> Appellant being </w:t>
      </w:r>
      <w:proofErr w:type="spellStart"/>
      <w:r w:rsidR="000A2E04">
        <w:rPr>
          <w:rFonts w:ascii="Arial" w:hAnsi="Arial" w:cs="Arial"/>
          <w:sz w:val="24"/>
          <w:szCs w:val="24"/>
          <w:lang w:val="en-US"/>
        </w:rPr>
        <w:t>Alexkor</w:t>
      </w:r>
      <w:proofErr w:type="spellEnd"/>
      <w:r w:rsidR="000A2E04">
        <w:rPr>
          <w:rFonts w:ascii="Arial" w:hAnsi="Arial" w:cs="Arial"/>
          <w:sz w:val="24"/>
          <w:szCs w:val="24"/>
          <w:lang w:val="en-US"/>
        </w:rPr>
        <w:t xml:space="preserve"> (to whom the land in question is registered) and the second being the government. </w:t>
      </w:r>
    </w:p>
    <w:p w:rsidR="00583A48" w:rsidRDefault="00725D46" w:rsidP="00094C7B">
      <w:pPr>
        <w:ind w:left="720"/>
        <w:jc w:val="both"/>
        <w:rPr>
          <w:rFonts w:ascii="Arial" w:hAnsi="Arial" w:cs="Arial"/>
          <w:sz w:val="24"/>
          <w:szCs w:val="24"/>
          <w:lang w:val="en-US"/>
        </w:rPr>
      </w:pPr>
      <w:r>
        <w:rPr>
          <w:rFonts w:ascii="Arial" w:hAnsi="Arial" w:cs="Arial"/>
          <w:sz w:val="24"/>
          <w:szCs w:val="24"/>
          <w:lang w:val="en-US"/>
        </w:rPr>
        <w:t xml:space="preserve">The LCC confined itself to deciding whether the community </w:t>
      </w:r>
      <w:r w:rsidR="0086643B">
        <w:rPr>
          <w:rFonts w:ascii="Arial" w:hAnsi="Arial" w:cs="Arial"/>
          <w:sz w:val="24"/>
          <w:szCs w:val="24"/>
          <w:lang w:val="en-US"/>
        </w:rPr>
        <w:t xml:space="preserve">met the requirement of </w:t>
      </w:r>
      <w:proofErr w:type="gramStart"/>
      <w:r w:rsidR="0086643B">
        <w:rPr>
          <w:rFonts w:ascii="Arial" w:hAnsi="Arial" w:cs="Arial"/>
          <w:sz w:val="24"/>
          <w:szCs w:val="24"/>
          <w:lang w:val="en-US"/>
        </w:rPr>
        <w:t>S2(</w:t>
      </w:r>
      <w:proofErr w:type="gramEnd"/>
      <w:r w:rsidR="0086643B">
        <w:rPr>
          <w:rFonts w:ascii="Arial" w:hAnsi="Arial" w:cs="Arial"/>
          <w:sz w:val="24"/>
          <w:szCs w:val="24"/>
          <w:lang w:val="en-US"/>
        </w:rPr>
        <w:t>1) that states that community was dispossessed of the right to land after the 19</w:t>
      </w:r>
      <w:r w:rsidR="0086643B" w:rsidRPr="0086643B">
        <w:rPr>
          <w:rFonts w:ascii="Arial" w:hAnsi="Arial" w:cs="Arial"/>
          <w:sz w:val="24"/>
          <w:szCs w:val="24"/>
          <w:vertAlign w:val="superscript"/>
          <w:lang w:val="en-US"/>
        </w:rPr>
        <w:t>th</w:t>
      </w:r>
      <w:r w:rsidR="0086643B">
        <w:rPr>
          <w:rFonts w:ascii="Arial" w:hAnsi="Arial" w:cs="Arial"/>
          <w:sz w:val="24"/>
          <w:szCs w:val="24"/>
          <w:lang w:val="en-US"/>
        </w:rPr>
        <w:t xml:space="preserve"> June 1913 as a past racially discriminatory law or practice.</w:t>
      </w:r>
      <w:r w:rsidR="0086643B">
        <w:rPr>
          <w:rStyle w:val="FootnoteReference"/>
          <w:rFonts w:ascii="Arial" w:hAnsi="Arial" w:cs="Arial"/>
          <w:sz w:val="24"/>
          <w:szCs w:val="24"/>
          <w:lang w:val="en-US"/>
        </w:rPr>
        <w:footnoteReference w:id="20"/>
      </w:r>
      <w:r w:rsidR="0086643B">
        <w:rPr>
          <w:rFonts w:ascii="Arial" w:hAnsi="Arial" w:cs="Arial"/>
          <w:sz w:val="24"/>
          <w:szCs w:val="24"/>
          <w:lang w:val="en-US"/>
        </w:rPr>
        <w:t xml:space="preserve"> According to the LCC the community failed to prove that the dispossession was a result of a discriminatory law or practice</w:t>
      </w:r>
      <w:r w:rsidR="00026DB6">
        <w:rPr>
          <w:rFonts w:ascii="Arial" w:hAnsi="Arial" w:cs="Arial"/>
          <w:sz w:val="24"/>
          <w:szCs w:val="24"/>
          <w:lang w:val="en-US"/>
        </w:rPr>
        <w:t xml:space="preserve"> and that the community only occupied the land for less </w:t>
      </w:r>
      <w:proofErr w:type="spellStart"/>
      <w:r w:rsidR="00026DB6">
        <w:rPr>
          <w:rFonts w:ascii="Arial" w:hAnsi="Arial" w:cs="Arial"/>
          <w:sz w:val="24"/>
          <w:szCs w:val="24"/>
          <w:lang w:val="en-US"/>
        </w:rPr>
        <w:t>that</w:t>
      </w:r>
      <w:proofErr w:type="spellEnd"/>
      <w:r w:rsidR="00026DB6">
        <w:rPr>
          <w:rFonts w:ascii="Arial" w:hAnsi="Arial" w:cs="Arial"/>
          <w:sz w:val="24"/>
          <w:szCs w:val="24"/>
          <w:lang w:val="en-US"/>
        </w:rPr>
        <w:t xml:space="preserve"> 10 years prior to dispossession</w:t>
      </w:r>
      <w:r w:rsidR="0086643B">
        <w:rPr>
          <w:rFonts w:ascii="Arial" w:hAnsi="Arial" w:cs="Arial"/>
          <w:sz w:val="24"/>
          <w:szCs w:val="24"/>
          <w:lang w:val="en-US"/>
        </w:rPr>
        <w:t>.</w:t>
      </w:r>
      <w:r w:rsidR="0086643B">
        <w:rPr>
          <w:rStyle w:val="FootnoteReference"/>
          <w:rFonts w:ascii="Arial" w:hAnsi="Arial" w:cs="Arial"/>
          <w:sz w:val="24"/>
          <w:szCs w:val="24"/>
          <w:lang w:val="en-US"/>
        </w:rPr>
        <w:footnoteReference w:id="21"/>
      </w:r>
    </w:p>
    <w:p w:rsidR="00026DB6" w:rsidRDefault="00026DB6" w:rsidP="00094C7B">
      <w:pPr>
        <w:ind w:left="720"/>
        <w:jc w:val="both"/>
        <w:rPr>
          <w:rFonts w:ascii="Arial" w:hAnsi="Arial" w:cs="Arial"/>
          <w:sz w:val="24"/>
          <w:szCs w:val="24"/>
          <w:lang w:val="en-US"/>
        </w:rPr>
      </w:pPr>
      <w:r>
        <w:rPr>
          <w:rFonts w:ascii="Arial" w:hAnsi="Arial" w:cs="Arial"/>
          <w:sz w:val="24"/>
          <w:szCs w:val="24"/>
          <w:lang w:val="en-US"/>
        </w:rPr>
        <w:t xml:space="preserve">The SCA found that the community was in exclusive possession of the land prior to </w:t>
      </w:r>
      <w:proofErr w:type="gramStart"/>
      <w:r>
        <w:rPr>
          <w:rFonts w:ascii="Arial" w:hAnsi="Arial" w:cs="Arial"/>
          <w:sz w:val="24"/>
          <w:szCs w:val="24"/>
          <w:lang w:val="en-US"/>
        </w:rPr>
        <w:t>the and</w:t>
      </w:r>
      <w:proofErr w:type="gramEnd"/>
      <w:r>
        <w:rPr>
          <w:rFonts w:ascii="Arial" w:hAnsi="Arial" w:cs="Arial"/>
          <w:sz w:val="24"/>
          <w:szCs w:val="24"/>
          <w:lang w:val="en-US"/>
        </w:rPr>
        <w:t xml:space="preserve"> its annexation by the British Crown in 1847. It held that these rights are similar to those property rights offered by common law </w:t>
      </w:r>
      <w:r w:rsidR="004D59D6">
        <w:rPr>
          <w:rFonts w:ascii="Arial" w:hAnsi="Arial" w:cs="Arial"/>
          <w:sz w:val="24"/>
          <w:szCs w:val="24"/>
          <w:lang w:val="en-US"/>
        </w:rPr>
        <w:t>and that the community was dispossessed of these rights through a racially discriminatory act or practice that complied with the act.</w:t>
      </w:r>
      <w:r w:rsidR="004D59D6">
        <w:rPr>
          <w:rStyle w:val="FootnoteReference"/>
          <w:rFonts w:ascii="Arial" w:hAnsi="Arial" w:cs="Arial"/>
          <w:sz w:val="24"/>
          <w:szCs w:val="24"/>
          <w:lang w:val="en-US"/>
        </w:rPr>
        <w:footnoteReference w:id="22"/>
      </w:r>
    </w:p>
    <w:p w:rsidR="00957F92" w:rsidRDefault="007C5D4D" w:rsidP="00AF1D54">
      <w:pPr>
        <w:ind w:left="720"/>
        <w:jc w:val="both"/>
        <w:rPr>
          <w:rFonts w:ascii="Arial" w:hAnsi="Arial" w:cs="Arial"/>
          <w:sz w:val="24"/>
          <w:szCs w:val="24"/>
          <w:lang w:val="en-US"/>
        </w:rPr>
      </w:pPr>
      <w:r>
        <w:rPr>
          <w:rFonts w:ascii="Arial" w:hAnsi="Arial" w:cs="Arial"/>
          <w:sz w:val="24"/>
          <w:szCs w:val="24"/>
          <w:lang w:val="en-US"/>
        </w:rPr>
        <w:t>One of the issues was the law to be applied to events that took place prior to the interim constitution</w:t>
      </w:r>
      <w:r w:rsidR="00C47B1E">
        <w:rPr>
          <w:rFonts w:ascii="Arial" w:hAnsi="Arial" w:cs="Arial"/>
          <w:sz w:val="24"/>
          <w:szCs w:val="24"/>
          <w:lang w:val="en-US"/>
        </w:rPr>
        <w:t>.</w:t>
      </w:r>
      <w:r w:rsidR="003F3A9A">
        <w:rPr>
          <w:rFonts w:ascii="Arial" w:hAnsi="Arial" w:cs="Arial"/>
          <w:sz w:val="24"/>
          <w:szCs w:val="24"/>
          <w:lang w:val="en-US"/>
        </w:rPr>
        <w:t xml:space="preserve"> The court had to also determine the nature of the right to land and whether this right survived annexation</w:t>
      </w:r>
      <w:r w:rsidR="009F1C6C">
        <w:rPr>
          <w:rStyle w:val="FootnoteReference"/>
          <w:rFonts w:ascii="Arial" w:hAnsi="Arial" w:cs="Arial"/>
          <w:sz w:val="24"/>
          <w:szCs w:val="24"/>
          <w:lang w:val="en-US"/>
        </w:rPr>
        <w:footnoteReference w:id="23"/>
      </w:r>
      <w:r w:rsidR="009F1C6C">
        <w:rPr>
          <w:rFonts w:ascii="Arial" w:hAnsi="Arial" w:cs="Arial"/>
          <w:sz w:val="24"/>
          <w:szCs w:val="24"/>
          <w:lang w:val="en-US"/>
        </w:rPr>
        <w:t xml:space="preserve"> the court stated that the rights to land </w:t>
      </w:r>
      <w:proofErr w:type="spellStart"/>
      <w:r w:rsidR="009F1C6C">
        <w:rPr>
          <w:rFonts w:ascii="Arial" w:hAnsi="Arial" w:cs="Arial"/>
          <w:sz w:val="24"/>
          <w:szCs w:val="24"/>
          <w:lang w:val="en-US"/>
        </w:rPr>
        <w:t>thet</w:t>
      </w:r>
      <w:proofErr w:type="spellEnd"/>
      <w:r w:rsidR="009F1C6C">
        <w:rPr>
          <w:rFonts w:ascii="Arial" w:hAnsi="Arial" w:cs="Arial"/>
          <w:sz w:val="24"/>
          <w:szCs w:val="24"/>
          <w:lang w:val="en-US"/>
        </w:rPr>
        <w:t xml:space="preserve"> the community had and now to be determined must be determined through customary l</w:t>
      </w:r>
      <w:r w:rsidR="007016B9">
        <w:rPr>
          <w:rFonts w:ascii="Arial" w:hAnsi="Arial" w:cs="Arial"/>
          <w:sz w:val="24"/>
          <w:szCs w:val="24"/>
          <w:lang w:val="en-US"/>
        </w:rPr>
        <w:t xml:space="preserve">aw and not common law. The court eventually found that the community’s right to the land was not extinguished as no steps </w:t>
      </w:r>
      <w:r w:rsidR="001F25CD">
        <w:rPr>
          <w:rFonts w:ascii="Arial" w:hAnsi="Arial" w:cs="Arial"/>
          <w:sz w:val="24"/>
          <w:szCs w:val="24"/>
          <w:lang w:val="en-US"/>
        </w:rPr>
        <w:t>were</w:t>
      </w:r>
      <w:r w:rsidR="007016B9">
        <w:rPr>
          <w:rFonts w:ascii="Arial" w:hAnsi="Arial" w:cs="Arial"/>
          <w:sz w:val="24"/>
          <w:szCs w:val="24"/>
          <w:lang w:val="en-US"/>
        </w:rPr>
        <w:t xml:space="preserve"> taken to extinguish these rights </w:t>
      </w:r>
      <w:r w:rsidR="00266171">
        <w:rPr>
          <w:rStyle w:val="FootnoteReference"/>
          <w:rFonts w:ascii="Arial" w:hAnsi="Arial" w:cs="Arial"/>
          <w:sz w:val="24"/>
          <w:szCs w:val="24"/>
          <w:lang w:val="en-US"/>
        </w:rPr>
        <w:footnoteReference w:id="24"/>
      </w:r>
      <w:r w:rsidR="003F3A9A">
        <w:rPr>
          <w:rFonts w:ascii="Arial" w:hAnsi="Arial" w:cs="Arial"/>
          <w:sz w:val="24"/>
          <w:szCs w:val="24"/>
          <w:lang w:val="en-US"/>
        </w:rPr>
        <w:tab/>
      </w:r>
    </w:p>
    <w:p w:rsidR="00AF1D54" w:rsidRDefault="00AF1D54" w:rsidP="00AF1D54">
      <w:pPr>
        <w:ind w:left="720"/>
        <w:jc w:val="both"/>
        <w:rPr>
          <w:rFonts w:ascii="Arial" w:hAnsi="Arial" w:cs="Arial"/>
          <w:sz w:val="24"/>
          <w:szCs w:val="24"/>
          <w:lang w:val="en-US"/>
        </w:rPr>
      </w:pPr>
    </w:p>
    <w:p w:rsidR="00700F15" w:rsidRDefault="00700F15" w:rsidP="00AF1D54">
      <w:pPr>
        <w:ind w:left="720"/>
        <w:jc w:val="both"/>
        <w:rPr>
          <w:rFonts w:ascii="Arial" w:hAnsi="Arial" w:cs="Arial"/>
          <w:sz w:val="24"/>
          <w:szCs w:val="24"/>
          <w:lang w:val="en-US"/>
        </w:rPr>
      </w:pPr>
      <w:r>
        <w:rPr>
          <w:rFonts w:ascii="Arial" w:hAnsi="Arial" w:cs="Arial"/>
          <w:sz w:val="24"/>
          <w:szCs w:val="24"/>
          <w:lang w:val="en-US"/>
        </w:rPr>
        <w:t>Another concept that deserves attention in t</w:t>
      </w:r>
      <w:r w:rsidR="000171CA">
        <w:rPr>
          <w:rFonts w:ascii="Arial" w:hAnsi="Arial" w:cs="Arial"/>
          <w:sz w:val="24"/>
          <w:szCs w:val="24"/>
          <w:lang w:val="en-US"/>
        </w:rPr>
        <w:t>he context of the question at ha</w:t>
      </w:r>
      <w:r>
        <w:rPr>
          <w:rFonts w:ascii="Arial" w:hAnsi="Arial" w:cs="Arial"/>
          <w:sz w:val="24"/>
          <w:szCs w:val="24"/>
          <w:lang w:val="en-US"/>
        </w:rPr>
        <w:t>nd is Living customary law (customary law that is seen through the lived experiences of the people)</w:t>
      </w:r>
      <w:r w:rsidR="000171CA">
        <w:rPr>
          <w:rFonts w:ascii="Arial" w:hAnsi="Arial" w:cs="Arial"/>
          <w:sz w:val="24"/>
          <w:szCs w:val="24"/>
          <w:lang w:val="en-US"/>
        </w:rPr>
        <w:t>, the constitutional assembly committed to protect Africa’s diverse cultures and ensure application of customary law.</w:t>
      </w:r>
      <w:r w:rsidR="000171CA">
        <w:rPr>
          <w:rStyle w:val="FootnoteReference"/>
          <w:rFonts w:ascii="Arial" w:hAnsi="Arial" w:cs="Arial"/>
          <w:sz w:val="24"/>
          <w:szCs w:val="24"/>
          <w:lang w:val="en-US"/>
        </w:rPr>
        <w:footnoteReference w:id="25"/>
      </w:r>
      <w:r w:rsidR="000171CA">
        <w:rPr>
          <w:rFonts w:ascii="Arial" w:hAnsi="Arial" w:cs="Arial"/>
          <w:sz w:val="24"/>
          <w:szCs w:val="24"/>
          <w:lang w:val="en-US"/>
        </w:rPr>
        <w:t xml:space="preserve"> </w:t>
      </w:r>
    </w:p>
    <w:p w:rsidR="00AF1D54" w:rsidRDefault="00563110" w:rsidP="00AF1D54">
      <w:pPr>
        <w:ind w:left="720"/>
        <w:jc w:val="both"/>
        <w:rPr>
          <w:rFonts w:ascii="Arial" w:hAnsi="Arial" w:cs="Arial"/>
          <w:sz w:val="24"/>
          <w:szCs w:val="24"/>
          <w:lang w:val="en-US"/>
        </w:rPr>
      </w:pPr>
      <w:r>
        <w:rPr>
          <w:rFonts w:ascii="Arial" w:hAnsi="Arial" w:cs="Arial"/>
          <w:sz w:val="24"/>
          <w:szCs w:val="24"/>
          <w:lang w:val="en-US"/>
        </w:rPr>
        <w:t xml:space="preserve">After the </w:t>
      </w:r>
      <w:proofErr w:type="spellStart"/>
      <w:r>
        <w:rPr>
          <w:rFonts w:ascii="Arial" w:hAnsi="Arial" w:cs="Arial"/>
          <w:sz w:val="24"/>
          <w:szCs w:val="24"/>
          <w:lang w:val="en-US"/>
        </w:rPr>
        <w:t>regonition</w:t>
      </w:r>
      <w:proofErr w:type="spellEnd"/>
      <w:r>
        <w:rPr>
          <w:rFonts w:ascii="Arial" w:hAnsi="Arial" w:cs="Arial"/>
          <w:sz w:val="24"/>
          <w:szCs w:val="24"/>
          <w:lang w:val="en-US"/>
        </w:rPr>
        <w:t xml:space="preserve"> of customary law by the constitution </w:t>
      </w:r>
    </w:p>
    <w:p w:rsidR="00AF1D54" w:rsidRDefault="00AF1D54" w:rsidP="00AF1D54">
      <w:pPr>
        <w:ind w:left="720"/>
        <w:jc w:val="both"/>
        <w:rPr>
          <w:rFonts w:ascii="Arial" w:hAnsi="Arial" w:cs="Arial"/>
          <w:sz w:val="24"/>
          <w:szCs w:val="24"/>
          <w:lang w:val="en-US"/>
        </w:rPr>
      </w:pPr>
    </w:p>
    <w:p w:rsidR="00065505" w:rsidRDefault="00065505" w:rsidP="00094C7B">
      <w:pPr>
        <w:ind w:left="720"/>
        <w:jc w:val="both"/>
        <w:rPr>
          <w:rFonts w:ascii="Arial" w:hAnsi="Arial" w:cs="Arial"/>
          <w:sz w:val="24"/>
          <w:szCs w:val="24"/>
          <w:lang w:val="en-US"/>
        </w:rPr>
      </w:pPr>
    </w:p>
    <w:p w:rsidR="00547D42" w:rsidRPr="00632CC2" w:rsidRDefault="00547D42" w:rsidP="00094C7B">
      <w:pPr>
        <w:pStyle w:val="Heading1"/>
        <w:ind w:left="720"/>
        <w:jc w:val="both"/>
        <w:rPr>
          <w:rFonts w:ascii="Arial" w:hAnsi="Arial" w:cs="Arial"/>
          <w:b/>
          <w:color w:val="auto"/>
          <w:sz w:val="24"/>
          <w:szCs w:val="24"/>
          <w:lang w:val="en-US"/>
        </w:rPr>
      </w:pPr>
      <w:bookmarkStart w:id="4" w:name="_Toc57128488"/>
      <w:r w:rsidRPr="00632CC2">
        <w:rPr>
          <w:rFonts w:ascii="Arial" w:hAnsi="Arial" w:cs="Arial"/>
          <w:b/>
          <w:color w:val="auto"/>
          <w:sz w:val="24"/>
          <w:szCs w:val="24"/>
          <w:lang w:val="en-US"/>
        </w:rPr>
        <w:t>Question 3</w:t>
      </w:r>
      <w:bookmarkEnd w:id="4"/>
    </w:p>
    <w:p w:rsidR="00547D42" w:rsidRPr="00632CC2" w:rsidRDefault="00547D42" w:rsidP="00094C7B">
      <w:pPr>
        <w:ind w:left="720"/>
        <w:jc w:val="both"/>
        <w:rPr>
          <w:rFonts w:ascii="Arial" w:hAnsi="Arial" w:cs="Arial"/>
          <w:sz w:val="24"/>
          <w:szCs w:val="24"/>
          <w:lang w:val="en-US"/>
        </w:rPr>
      </w:pPr>
    </w:p>
    <w:p w:rsidR="00782CE8" w:rsidRPr="002A3343" w:rsidRDefault="00782CE8" w:rsidP="002A3343">
      <w:pPr>
        <w:pStyle w:val="ListParagraph"/>
        <w:numPr>
          <w:ilvl w:val="0"/>
          <w:numId w:val="3"/>
        </w:numPr>
        <w:ind w:left="1440"/>
        <w:jc w:val="both"/>
        <w:outlineLvl w:val="1"/>
        <w:rPr>
          <w:rFonts w:ascii="Arial" w:hAnsi="Arial" w:cs="Arial"/>
          <w:sz w:val="24"/>
          <w:szCs w:val="24"/>
          <w:lang w:val="en-US"/>
        </w:rPr>
      </w:pPr>
      <w:bookmarkStart w:id="5" w:name="_Toc57128489"/>
      <w:bookmarkEnd w:id="5"/>
    </w:p>
    <w:p w:rsidR="00782CE8" w:rsidRPr="00782CE8" w:rsidRDefault="002A3343" w:rsidP="00094C7B">
      <w:pPr>
        <w:pStyle w:val="ListParagraph"/>
        <w:ind w:left="1440"/>
        <w:jc w:val="both"/>
        <w:rPr>
          <w:rFonts w:ascii="Arial" w:hAnsi="Arial" w:cs="Arial"/>
          <w:sz w:val="24"/>
          <w:szCs w:val="24"/>
          <w:lang w:val="en-US"/>
        </w:rPr>
      </w:pPr>
      <w:r>
        <w:rPr>
          <w:rFonts w:ascii="Arial" w:hAnsi="Arial" w:cs="Arial"/>
          <w:sz w:val="24"/>
          <w:szCs w:val="24"/>
          <w:lang w:val="en-US"/>
        </w:rPr>
        <w:t>T</w:t>
      </w:r>
      <w:r w:rsidR="00782CE8" w:rsidRPr="00782CE8">
        <w:rPr>
          <w:rFonts w:ascii="Arial" w:hAnsi="Arial" w:cs="Arial"/>
          <w:sz w:val="24"/>
          <w:szCs w:val="24"/>
          <w:lang w:val="en-US"/>
        </w:rPr>
        <w:t>he deceased entered in terms of Xitsonga law into marriages with 2 woman, the 1</w:t>
      </w:r>
      <w:r w:rsidR="00782CE8" w:rsidRPr="00782CE8">
        <w:rPr>
          <w:rFonts w:ascii="Arial" w:hAnsi="Arial" w:cs="Arial"/>
          <w:sz w:val="24"/>
          <w:szCs w:val="24"/>
          <w:vertAlign w:val="superscript"/>
          <w:lang w:val="en-US"/>
        </w:rPr>
        <w:t>st</w:t>
      </w:r>
      <w:r w:rsidR="00782CE8" w:rsidRPr="00782CE8">
        <w:rPr>
          <w:rFonts w:ascii="Arial" w:hAnsi="Arial" w:cs="Arial"/>
          <w:sz w:val="24"/>
          <w:szCs w:val="24"/>
          <w:lang w:val="en-US"/>
        </w:rPr>
        <w:t xml:space="preserve"> of which was not registered and produced 3 children. Unbeknownst to the 1</w:t>
      </w:r>
      <w:r w:rsidR="00782CE8" w:rsidRPr="00782CE8">
        <w:rPr>
          <w:rFonts w:ascii="Arial" w:hAnsi="Arial" w:cs="Arial"/>
          <w:sz w:val="24"/>
          <w:szCs w:val="24"/>
          <w:vertAlign w:val="superscript"/>
          <w:lang w:val="en-US"/>
        </w:rPr>
        <w:t>st</w:t>
      </w:r>
      <w:r w:rsidR="00782CE8" w:rsidRPr="00782CE8">
        <w:rPr>
          <w:rFonts w:ascii="Arial" w:hAnsi="Arial" w:cs="Arial"/>
          <w:sz w:val="24"/>
          <w:szCs w:val="24"/>
          <w:lang w:val="en-US"/>
        </w:rPr>
        <w:t xml:space="preserve"> wife the deceased concluded another marriage under the RCMA and registered it. Upon his death the 1</w:t>
      </w:r>
      <w:r w:rsidR="00782CE8" w:rsidRPr="00782CE8">
        <w:rPr>
          <w:rFonts w:ascii="Arial" w:hAnsi="Arial" w:cs="Arial"/>
          <w:sz w:val="24"/>
          <w:szCs w:val="24"/>
          <w:vertAlign w:val="superscript"/>
          <w:lang w:val="en-US"/>
        </w:rPr>
        <w:t>st</w:t>
      </w:r>
      <w:r w:rsidR="00782CE8" w:rsidRPr="00782CE8">
        <w:rPr>
          <w:rFonts w:ascii="Arial" w:hAnsi="Arial" w:cs="Arial"/>
          <w:sz w:val="24"/>
          <w:szCs w:val="24"/>
          <w:lang w:val="en-US"/>
        </w:rPr>
        <w:t xml:space="preserve"> wife attempted to register her marriage to the deceased, in the process found out about the 2</w:t>
      </w:r>
      <w:r w:rsidR="00782CE8" w:rsidRPr="00782CE8">
        <w:rPr>
          <w:rFonts w:ascii="Arial" w:hAnsi="Arial" w:cs="Arial"/>
          <w:sz w:val="24"/>
          <w:szCs w:val="24"/>
          <w:vertAlign w:val="superscript"/>
          <w:lang w:val="en-US"/>
        </w:rPr>
        <w:t>nd</w:t>
      </w:r>
      <w:r w:rsidR="00782CE8" w:rsidRPr="00782CE8">
        <w:rPr>
          <w:rFonts w:ascii="Arial" w:hAnsi="Arial" w:cs="Arial"/>
          <w:sz w:val="24"/>
          <w:szCs w:val="24"/>
          <w:lang w:val="en-US"/>
        </w:rPr>
        <w:t xml:space="preserve"> wife, the 1</w:t>
      </w:r>
      <w:r w:rsidR="00782CE8" w:rsidRPr="00782CE8">
        <w:rPr>
          <w:rFonts w:ascii="Arial" w:hAnsi="Arial" w:cs="Arial"/>
          <w:sz w:val="24"/>
          <w:szCs w:val="24"/>
          <w:vertAlign w:val="superscript"/>
          <w:lang w:val="en-US"/>
        </w:rPr>
        <w:t>st</w:t>
      </w:r>
      <w:r w:rsidR="00782CE8" w:rsidRPr="00782CE8">
        <w:rPr>
          <w:rFonts w:ascii="Arial" w:hAnsi="Arial" w:cs="Arial"/>
          <w:sz w:val="24"/>
          <w:szCs w:val="24"/>
          <w:lang w:val="en-US"/>
        </w:rPr>
        <w:t xml:space="preserve"> wife approached the court to invalidate the marriage of the second wife and regist</w:t>
      </w:r>
      <w:r w:rsidR="00F91449">
        <w:rPr>
          <w:rFonts w:ascii="Arial" w:hAnsi="Arial" w:cs="Arial"/>
          <w:sz w:val="24"/>
          <w:szCs w:val="24"/>
          <w:lang w:val="en-US"/>
        </w:rPr>
        <w:t>er her marriage to the deceased.</w:t>
      </w:r>
      <w:r w:rsidR="00F91449">
        <w:rPr>
          <w:rStyle w:val="FootnoteReference"/>
          <w:rFonts w:ascii="Arial" w:hAnsi="Arial" w:cs="Arial"/>
          <w:sz w:val="24"/>
          <w:szCs w:val="24"/>
          <w:lang w:val="en-US"/>
        </w:rPr>
        <w:footnoteReference w:id="26"/>
      </w:r>
    </w:p>
    <w:p w:rsidR="00782CE8" w:rsidRPr="00782CE8" w:rsidRDefault="00782CE8" w:rsidP="00094C7B">
      <w:pPr>
        <w:pStyle w:val="ListParagraph"/>
        <w:ind w:left="1440"/>
        <w:jc w:val="both"/>
        <w:rPr>
          <w:rFonts w:ascii="Arial" w:hAnsi="Arial" w:cs="Arial"/>
          <w:b/>
          <w:sz w:val="24"/>
          <w:szCs w:val="24"/>
          <w:lang w:val="en-US"/>
        </w:rPr>
      </w:pPr>
    </w:p>
    <w:p w:rsidR="003D74B7" w:rsidRDefault="00495773" w:rsidP="00094C7B">
      <w:pPr>
        <w:pStyle w:val="ListParagraph"/>
        <w:ind w:left="1440"/>
        <w:jc w:val="both"/>
        <w:rPr>
          <w:rFonts w:ascii="Arial" w:hAnsi="Arial" w:cs="Arial"/>
          <w:sz w:val="24"/>
          <w:szCs w:val="24"/>
          <w:lang w:val="en-US"/>
        </w:rPr>
      </w:pPr>
      <w:r w:rsidRPr="00632CC2">
        <w:rPr>
          <w:rFonts w:ascii="Arial" w:hAnsi="Arial" w:cs="Arial"/>
          <w:sz w:val="24"/>
          <w:szCs w:val="24"/>
          <w:lang w:val="en-US"/>
        </w:rPr>
        <w:t xml:space="preserve">The </w:t>
      </w:r>
      <w:r w:rsidR="00BB7AF9" w:rsidRPr="00632CC2">
        <w:rPr>
          <w:rFonts w:ascii="Arial" w:hAnsi="Arial" w:cs="Arial"/>
          <w:sz w:val="24"/>
          <w:szCs w:val="24"/>
          <w:lang w:val="en-US"/>
        </w:rPr>
        <w:t xml:space="preserve">Question before the court was whether </w:t>
      </w:r>
      <w:r w:rsidR="00BB7AF9" w:rsidRPr="009B4A72">
        <w:rPr>
          <w:rFonts w:ascii="Arial" w:hAnsi="Arial" w:cs="Arial"/>
          <w:i/>
          <w:sz w:val="24"/>
          <w:szCs w:val="24"/>
          <w:lang w:val="en-US"/>
        </w:rPr>
        <w:t>Section 7(6)</w:t>
      </w:r>
      <w:r w:rsidR="00BB7AF9" w:rsidRPr="00632CC2">
        <w:rPr>
          <w:rFonts w:ascii="Arial" w:hAnsi="Arial" w:cs="Arial"/>
          <w:sz w:val="24"/>
          <w:szCs w:val="24"/>
          <w:lang w:val="en-US"/>
        </w:rPr>
        <w:t xml:space="preserve"> </w:t>
      </w:r>
      <w:r w:rsidR="00E04BA2">
        <w:rPr>
          <w:rFonts w:ascii="Arial" w:hAnsi="Arial" w:cs="Arial"/>
          <w:sz w:val="24"/>
          <w:szCs w:val="24"/>
          <w:lang w:val="en-US"/>
        </w:rPr>
        <w:t xml:space="preserve">of </w:t>
      </w:r>
      <w:r w:rsidR="00E04BA2" w:rsidRPr="009B4A72">
        <w:rPr>
          <w:rFonts w:ascii="Arial" w:hAnsi="Arial" w:cs="Arial"/>
          <w:b/>
          <w:i/>
          <w:sz w:val="24"/>
          <w:szCs w:val="24"/>
          <w:lang w:val="en-US"/>
        </w:rPr>
        <w:t>RCMA</w:t>
      </w:r>
      <w:r w:rsidR="00E04BA2" w:rsidRPr="009B4A72">
        <w:rPr>
          <w:rFonts w:ascii="Arial" w:hAnsi="Arial" w:cs="Arial"/>
          <w:i/>
          <w:sz w:val="24"/>
          <w:szCs w:val="24"/>
          <w:lang w:val="en-US"/>
        </w:rPr>
        <w:t xml:space="preserve"> </w:t>
      </w:r>
      <w:r w:rsidR="00BB7AF9" w:rsidRPr="00632CC2">
        <w:rPr>
          <w:rFonts w:ascii="Arial" w:hAnsi="Arial" w:cs="Arial"/>
          <w:sz w:val="24"/>
          <w:szCs w:val="24"/>
          <w:lang w:val="en-US"/>
        </w:rPr>
        <w:t>imposed on the husband the requirement of the 1</w:t>
      </w:r>
      <w:r w:rsidR="00BB7AF9" w:rsidRPr="00632CC2">
        <w:rPr>
          <w:rFonts w:ascii="Arial" w:hAnsi="Arial" w:cs="Arial"/>
          <w:sz w:val="24"/>
          <w:szCs w:val="24"/>
          <w:vertAlign w:val="superscript"/>
          <w:lang w:val="en-US"/>
        </w:rPr>
        <w:t>st</w:t>
      </w:r>
      <w:r w:rsidR="00BB7AF9" w:rsidRPr="00632CC2">
        <w:rPr>
          <w:rFonts w:ascii="Arial" w:hAnsi="Arial" w:cs="Arial"/>
          <w:sz w:val="24"/>
          <w:szCs w:val="24"/>
          <w:lang w:val="en-US"/>
        </w:rPr>
        <w:t xml:space="preserve"> wife </w:t>
      </w:r>
      <w:r w:rsidR="008C1B1C" w:rsidRPr="00632CC2">
        <w:rPr>
          <w:rFonts w:ascii="Arial" w:hAnsi="Arial" w:cs="Arial"/>
          <w:sz w:val="24"/>
          <w:szCs w:val="24"/>
          <w:lang w:val="en-US"/>
        </w:rPr>
        <w:t>to enter into a valid 2</w:t>
      </w:r>
      <w:r w:rsidR="008C1B1C" w:rsidRPr="00632CC2">
        <w:rPr>
          <w:rFonts w:ascii="Arial" w:hAnsi="Arial" w:cs="Arial"/>
          <w:sz w:val="24"/>
          <w:szCs w:val="24"/>
          <w:vertAlign w:val="superscript"/>
          <w:lang w:val="en-US"/>
        </w:rPr>
        <w:t>nd</w:t>
      </w:r>
      <w:r w:rsidR="008C1B1C" w:rsidRPr="00632CC2">
        <w:rPr>
          <w:rFonts w:ascii="Arial" w:hAnsi="Arial" w:cs="Arial"/>
          <w:sz w:val="24"/>
          <w:szCs w:val="24"/>
          <w:lang w:val="en-US"/>
        </w:rPr>
        <w:t xml:space="preserve"> marriage</w:t>
      </w:r>
      <w:r w:rsidR="001C572E" w:rsidRPr="00632CC2">
        <w:rPr>
          <w:rFonts w:ascii="Arial" w:hAnsi="Arial" w:cs="Arial"/>
          <w:sz w:val="24"/>
          <w:szCs w:val="24"/>
          <w:lang w:val="en-US"/>
        </w:rPr>
        <w:t xml:space="preserve">, even though this section only deals with the matrimonial </w:t>
      </w:r>
      <w:r w:rsidR="00BA1AA7" w:rsidRPr="00632CC2">
        <w:rPr>
          <w:rFonts w:ascii="Arial" w:hAnsi="Arial" w:cs="Arial"/>
          <w:sz w:val="24"/>
          <w:szCs w:val="24"/>
          <w:lang w:val="en-US"/>
        </w:rPr>
        <w:t>syst</w:t>
      </w:r>
      <w:r w:rsidR="002E2D4C">
        <w:rPr>
          <w:rFonts w:ascii="Arial" w:hAnsi="Arial" w:cs="Arial"/>
          <w:sz w:val="24"/>
          <w:szCs w:val="24"/>
          <w:lang w:val="en-US"/>
        </w:rPr>
        <w:t>em used in a customary marriage.</w:t>
      </w:r>
      <w:r w:rsidR="002E2D4C">
        <w:rPr>
          <w:rStyle w:val="FootnoteReference"/>
          <w:rFonts w:ascii="Arial" w:hAnsi="Arial" w:cs="Arial"/>
          <w:sz w:val="24"/>
          <w:szCs w:val="24"/>
          <w:lang w:val="en-US"/>
        </w:rPr>
        <w:footnoteReference w:id="27"/>
      </w:r>
      <w:r w:rsidR="00907794">
        <w:rPr>
          <w:rFonts w:ascii="Arial" w:hAnsi="Arial" w:cs="Arial"/>
          <w:sz w:val="24"/>
          <w:szCs w:val="24"/>
          <w:lang w:val="en-US"/>
        </w:rPr>
        <w:t xml:space="preserve"> The </w:t>
      </w:r>
      <w:r w:rsidR="00B22E21">
        <w:rPr>
          <w:rFonts w:ascii="Arial" w:hAnsi="Arial" w:cs="Arial"/>
          <w:sz w:val="24"/>
          <w:szCs w:val="24"/>
          <w:lang w:val="en-US"/>
        </w:rPr>
        <w:t>court decided that</w:t>
      </w:r>
      <w:r w:rsidR="007225CE">
        <w:rPr>
          <w:rFonts w:ascii="Arial" w:hAnsi="Arial" w:cs="Arial"/>
          <w:sz w:val="24"/>
          <w:szCs w:val="24"/>
          <w:lang w:val="en-US"/>
        </w:rPr>
        <w:t xml:space="preserve"> the marriage is indeed a valid marriage </w:t>
      </w:r>
      <w:r w:rsidR="00E04BA2">
        <w:rPr>
          <w:rFonts w:ascii="Arial" w:hAnsi="Arial" w:cs="Arial"/>
          <w:sz w:val="24"/>
          <w:szCs w:val="24"/>
          <w:lang w:val="en-US"/>
        </w:rPr>
        <w:t xml:space="preserve">although the matrimonial system that will be used is a </w:t>
      </w:r>
      <w:r w:rsidR="00094C7B">
        <w:rPr>
          <w:rFonts w:ascii="Arial" w:hAnsi="Arial" w:cs="Arial"/>
          <w:sz w:val="24"/>
          <w:szCs w:val="24"/>
          <w:lang w:val="en-US"/>
        </w:rPr>
        <w:t>marriage out of community of p</w:t>
      </w:r>
      <w:r w:rsidR="00B22E21">
        <w:rPr>
          <w:rFonts w:ascii="Arial" w:hAnsi="Arial" w:cs="Arial"/>
          <w:sz w:val="24"/>
          <w:szCs w:val="24"/>
          <w:lang w:val="en-US"/>
        </w:rPr>
        <w:t>roperty as consent was not sort.</w:t>
      </w:r>
      <w:r w:rsidR="00B22E21">
        <w:rPr>
          <w:rStyle w:val="FootnoteReference"/>
          <w:rFonts w:ascii="Arial" w:hAnsi="Arial" w:cs="Arial"/>
          <w:sz w:val="24"/>
          <w:szCs w:val="24"/>
          <w:lang w:val="en-US"/>
        </w:rPr>
        <w:footnoteReference w:id="28"/>
      </w:r>
      <w:r w:rsidR="00E87962">
        <w:rPr>
          <w:rFonts w:ascii="Arial" w:hAnsi="Arial" w:cs="Arial"/>
          <w:sz w:val="24"/>
          <w:szCs w:val="24"/>
          <w:lang w:val="en-US"/>
        </w:rPr>
        <w:t xml:space="preserve"> </w:t>
      </w:r>
    </w:p>
    <w:p w:rsidR="00CA2C61" w:rsidRDefault="00E87962" w:rsidP="00B84DDC">
      <w:pPr>
        <w:pStyle w:val="ListParagraph"/>
        <w:ind w:left="1440"/>
        <w:jc w:val="both"/>
        <w:rPr>
          <w:rFonts w:ascii="Arial" w:hAnsi="Arial" w:cs="Arial"/>
          <w:sz w:val="24"/>
          <w:szCs w:val="24"/>
          <w:lang w:val="en-US"/>
        </w:rPr>
      </w:pPr>
      <w:r>
        <w:rPr>
          <w:rFonts w:ascii="Arial" w:hAnsi="Arial" w:cs="Arial"/>
          <w:sz w:val="24"/>
          <w:szCs w:val="24"/>
          <w:lang w:val="en-US"/>
        </w:rPr>
        <w:t xml:space="preserve">The appellant’s marriage complies with </w:t>
      </w:r>
      <w:r w:rsidRPr="009B4A72">
        <w:rPr>
          <w:rFonts w:ascii="Arial" w:hAnsi="Arial" w:cs="Arial"/>
          <w:i/>
          <w:sz w:val="24"/>
          <w:szCs w:val="24"/>
          <w:lang w:val="en-US"/>
        </w:rPr>
        <w:t xml:space="preserve">section 3 </w:t>
      </w:r>
      <w:r>
        <w:rPr>
          <w:rFonts w:ascii="Arial" w:hAnsi="Arial" w:cs="Arial"/>
          <w:sz w:val="24"/>
          <w:szCs w:val="24"/>
          <w:lang w:val="en-US"/>
        </w:rPr>
        <w:t>of</w:t>
      </w:r>
      <w:r w:rsidRPr="009B4A72">
        <w:rPr>
          <w:rFonts w:ascii="Arial" w:hAnsi="Arial" w:cs="Arial"/>
          <w:i/>
          <w:sz w:val="24"/>
          <w:szCs w:val="24"/>
          <w:lang w:val="en-US"/>
        </w:rPr>
        <w:t xml:space="preserve"> </w:t>
      </w:r>
      <w:r w:rsidRPr="009B4A72">
        <w:rPr>
          <w:rFonts w:ascii="Arial" w:hAnsi="Arial" w:cs="Arial"/>
          <w:b/>
          <w:i/>
          <w:sz w:val="24"/>
          <w:szCs w:val="24"/>
          <w:lang w:val="en-US"/>
        </w:rPr>
        <w:t>RCMA</w:t>
      </w:r>
      <w:r>
        <w:rPr>
          <w:rFonts w:ascii="Arial" w:hAnsi="Arial" w:cs="Arial"/>
          <w:b/>
          <w:sz w:val="24"/>
          <w:szCs w:val="24"/>
          <w:lang w:val="en-US"/>
        </w:rPr>
        <w:t xml:space="preserve"> </w:t>
      </w:r>
      <w:r w:rsidR="00417321">
        <w:rPr>
          <w:rFonts w:ascii="Arial" w:hAnsi="Arial" w:cs="Arial"/>
          <w:sz w:val="24"/>
          <w:szCs w:val="24"/>
          <w:lang w:val="en-US"/>
        </w:rPr>
        <w:t>which</w:t>
      </w:r>
      <w:r>
        <w:rPr>
          <w:rFonts w:ascii="Arial" w:hAnsi="Arial" w:cs="Arial"/>
          <w:sz w:val="24"/>
          <w:szCs w:val="24"/>
          <w:lang w:val="en-US"/>
        </w:rPr>
        <w:t xml:space="preserve"> are:</w:t>
      </w:r>
      <w:r w:rsidR="00B84DDC">
        <w:rPr>
          <w:rFonts w:ascii="Arial" w:hAnsi="Arial" w:cs="Arial"/>
          <w:sz w:val="24"/>
          <w:szCs w:val="24"/>
          <w:lang w:val="en-US"/>
        </w:rPr>
        <w:t xml:space="preserve"> both </w:t>
      </w:r>
      <w:r w:rsidR="00500383">
        <w:rPr>
          <w:rFonts w:ascii="Arial" w:hAnsi="Arial" w:cs="Arial"/>
          <w:sz w:val="24"/>
          <w:szCs w:val="24"/>
          <w:lang w:val="en-US"/>
        </w:rPr>
        <w:t xml:space="preserve">parties </w:t>
      </w:r>
      <w:r w:rsidR="00B84DDC">
        <w:rPr>
          <w:rFonts w:ascii="Arial" w:hAnsi="Arial" w:cs="Arial"/>
          <w:sz w:val="24"/>
          <w:szCs w:val="24"/>
          <w:lang w:val="en-US"/>
        </w:rPr>
        <w:t>are above the age of 18,</w:t>
      </w:r>
      <w:r w:rsidR="00B84DDC">
        <w:rPr>
          <w:rStyle w:val="FootnoteReference"/>
          <w:rFonts w:ascii="Arial" w:hAnsi="Arial" w:cs="Arial"/>
          <w:sz w:val="24"/>
          <w:szCs w:val="24"/>
          <w:lang w:val="en-US"/>
        </w:rPr>
        <w:footnoteReference w:id="29"/>
      </w:r>
      <w:r w:rsidR="00417321">
        <w:rPr>
          <w:rFonts w:ascii="Arial" w:hAnsi="Arial" w:cs="Arial"/>
          <w:sz w:val="24"/>
          <w:szCs w:val="24"/>
          <w:lang w:val="en-US"/>
        </w:rPr>
        <w:t xml:space="preserve"> </w:t>
      </w:r>
      <w:r w:rsidR="00B84DDC">
        <w:rPr>
          <w:rFonts w:ascii="Arial" w:hAnsi="Arial" w:cs="Arial"/>
          <w:sz w:val="24"/>
          <w:szCs w:val="24"/>
          <w:lang w:val="en-US"/>
        </w:rPr>
        <w:t xml:space="preserve"> </w:t>
      </w:r>
      <w:r w:rsidR="00500383">
        <w:rPr>
          <w:rFonts w:ascii="Arial" w:hAnsi="Arial" w:cs="Arial"/>
          <w:sz w:val="24"/>
          <w:szCs w:val="24"/>
          <w:lang w:val="en-US"/>
        </w:rPr>
        <w:t>they must consent to the marriage being a customary marriage,</w:t>
      </w:r>
      <w:r w:rsidR="00500383">
        <w:rPr>
          <w:rStyle w:val="FootnoteReference"/>
          <w:rFonts w:ascii="Arial" w:hAnsi="Arial" w:cs="Arial"/>
          <w:sz w:val="24"/>
          <w:szCs w:val="24"/>
          <w:lang w:val="en-US"/>
        </w:rPr>
        <w:footnoteReference w:id="30"/>
      </w:r>
      <w:r w:rsidR="001E1037">
        <w:rPr>
          <w:rFonts w:ascii="Arial" w:hAnsi="Arial" w:cs="Arial"/>
          <w:sz w:val="24"/>
          <w:szCs w:val="24"/>
          <w:lang w:val="en-US"/>
        </w:rPr>
        <w:t xml:space="preserve"> and the marriage must be negotiated and entered into or celebrated according to customary law.</w:t>
      </w:r>
      <w:r w:rsidR="001E1037">
        <w:rPr>
          <w:rStyle w:val="FootnoteReference"/>
          <w:rFonts w:ascii="Arial" w:hAnsi="Arial" w:cs="Arial"/>
          <w:sz w:val="24"/>
          <w:szCs w:val="24"/>
          <w:lang w:val="en-US"/>
        </w:rPr>
        <w:footnoteReference w:id="31"/>
      </w:r>
      <w:r w:rsidR="00216F98">
        <w:rPr>
          <w:rFonts w:ascii="Arial" w:hAnsi="Arial" w:cs="Arial"/>
          <w:sz w:val="24"/>
          <w:szCs w:val="24"/>
          <w:lang w:val="en-US"/>
        </w:rPr>
        <w:t xml:space="preserve"> </w:t>
      </w:r>
    </w:p>
    <w:p w:rsidR="00870B09" w:rsidRDefault="00216F98" w:rsidP="00B84DDC">
      <w:pPr>
        <w:pStyle w:val="ListParagraph"/>
        <w:ind w:left="1440"/>
        <w:jc w:val="both"/>
        <w:rPr>
          <w:rFonts w:ascii="Arial" w:hAnsi="Arial" w:cs="Arial"/>
          <w:sz w:val="24"/>
          <w:szCs w:val="24"/>
          <w:lang w:val="en-US"/>
        </w:rPr>
      </w:pPr>
      <w:r>
        <w:rPr>
          <w:rFonts w:ascii="Arial" w:hAnsi="Arial" w:cs="Arial"/>
          <w:sz w:val="24"/>
          <w:szCs w:val="24"/>
          <w:lang w:val="en-US"/>
        </w:rPr>
        <w:t xml:space="preserve">The court </w:t>
      </w:r>
      <w:r w:rsidR="00CA2C61">
        <w:rPr>
          <w:rFonts w:ascii="Arial" w:hAnsi="Arial" w:cs="Arial"/>
          <w:sz w:val="24"/>
          <w:szCs w:val="24"/>
          <w:lang w:val="en-US"/>
        </w:rPr>
        <w:t xml:space="preserve">correctly found that </w:t>
      </w:r>
      <w:r w:rsidR="00CA2C61" w:rsidRPr="009B4A72">
        <w:rPr>
          <w:rFonts w:ascii="Arial" w:hAnsi="Arial" w:cs="Arial"/>
          <w:i/>
          <w:sz w:val="24"/>
          <w:szCs w:val="24"/>
          <w:lang w:val="en-US"/>
        </w:rPr>
        <w:t>S7</w:t>
      </w:r>
      <w:r w:rsidR="00BF121C" w:rsidRPr="009B4A72">
        <w:rPr>
          <w:rFonts w:ascii="Arial" w:hAnsi="Arial" w:cs="Arial"/>
          <w:i/>
          <w:sz w:val="24"/>
          <w:szCs w:val="24"/>
          <w:lang w:val="en-US"/>
        </w:rPr>
        <w:t xml:space="preserve"> </w:t>
      </w:r>
      <w:r w:rsidR="00CA2C61" w:rsidRPr="009B4A72">
        <w:rPr>
          <w:rFonts w:ascii="Arial" w:hAnsi="Arial" w:cs="Arial"/>
          <w:i/>
          <w:sz w:val="24"/>
          <w:szCs w:val="24"/>
          <w:lang w:val="en-US"/>
        </w:rPr>
        <w:t>(6)</w:t>
      </w:r>
      <w:r w:rsidR="00CA2C61">
        <w:rPr>
          <w:rFonts w:ascii="Arial" w:hAnsi="Arial" w:cs="Arial"/>
          <w:sz w:val="24"/>
          <w:szCs w:val="24"/>
          <w:lang w:val="en-US"/>
        </w:rPr>
        <w:t xml:space="preserve"> and </w:t>
      </w:r>
      <w:r w:rsidR="00CA2C61" w:rsidRPr="009B4A72">
        <w:rPr>
          <w:rFonts w:ascii="Arial" w:hAnsi="Arial" w:cs="Arial"/>
          <w:i/>
          <w:sz w:val="24"/>
          <w:szCs w:val="24"/>
          <w:lang w:val="en-US"/>
        </w:rPr>
        <w:t>S3</w:t>
      </w:r>
      <w:r w:rsidR="00CA2C61">
        <w:rPr>
          <w:rFonts w:ascii="Arial" w:hAnsi="Arial" w:cs="Arial"/>
          <w:sz w:val="24"/>
          <w:szCs w:val="24"/>
          <w:lang w:val="en-US"/>
        </w:rPr>
        <w:t xml:space="preserve"> </w:t>
      </w:r>
      <w:r w:rsidR="00FE136E">
        <w:rPr>
          <w:rFonts w:ascii="Arial" w:hAnsi="Arial" w:cs="Arial"/>
          <w:sz w:val="24"/>
          <w:szCs w:val="24"/>
          <w:lang w:val="en-US"/>
        </w:rPr>
        <w:t xml:space="preserve">are not related or linked </w:t>
      </w:r>
      <w:r w:rsidR="00D46EDC">
        <w:rPr>
          <w:rFonts w:ascii="Arial" w:hAnsi="Arial" w:cs="Arial"/>
          <w:sz w:val="24"/>
          <w:szCs w:val="24"/>
          <w:lang w:val="en-US"/>
        </w:rPr>
        <w:t>and the context of the act leads to the conclusion that S7</w:t>
      </w:r>
      <w:r w:rsidR="00C076DB">
        <w:rPr>
          <w:rFonts w:ascii="Arial" w:hAnsi="Arial" w:cs="Arial"/>
          <w:sz w:val="24"/>
          <w:szCs w:val="24"/>
          <w:lang w:val="en-US"/>
        </w:rPr>
        <w:t xml:space="preserve"> </w:t>
      </w:r>
      <w:r w:rsidR="00D46EDC">
        <w:rPr>
          <w:rFonts w:ascii="Arial" w:hAnsi="Arial" w:cs="Arial"/>
          <w:sz w:val="24"/>
          <w:szCs w:val="24"/>
          <w:lang w:val="en-US"/>
        </w:rPr>
        <w:t xml:space="preserve">(6) was not meant to invalidate a marriage </w:t>
      </w:r>
      <w:r w:rsidR="00951B9F">
        <w:rPr>
          <w:rFonts w:ascii="Arial" w:hAnsi="Arial" w:cs="Arial"/>
          <w:sz w:val="24"/>
          <w:szCs w:val="24"/>
          <w:lang w:val="en-US"/>
        </w:rPr>
        <w:t>which</w:t>
      </w:r>
      <w:r w:rsidR="00D46EDC">
        <w:rPr>
          <w:rFonts w:ascii="Arial" w:hAnsi="Arial" w:cs="Arial"/>
          <w:sz w:val="24"/>
          <w:szCs w:val="24"/>
          <w:lang w:val="en-US"/>
        </w:rPr>
        <w:t xml:space="preserve"> complies with </w:t>
      </w:r>
      <w:r w:rsidR="00D46EDC" w:rsidRPr="009B4A72">
        <w:rPr>
          <w:rFonts w:ascii="Arial" w:hAnsi="Arial" w:cs="Arial"/>
          <w:i/>
          <w:sz w:val="24"/>
          <w:szCs w:val="24"/>
          <w:lang w:val="en-US"/>
        </w:rPr>
        <w:t>S</w:t>
      </w:r>
      <w:r w:rsidR="000D130D" w:rsidRPr="009B4A72">
        <w:rPr>
          <w:rFonts w:ascii="Arial" w:hAnsi="Arial" w:cs="Arial"/>
          <w:i/>
          <w:sz w:val="24"/>
          <w:szCs w:val="24"/>
          <w:lang w:val="en-US"/>
        </w:rPr>
        <w:t>3</w:t>
      </w:r>
      <w:r w:rsidR="000D130D">
        <w:rPr>
          <w:rFonts w:ascii="Arial" w:hAnsi="Arial" w:cs="Arial"/>
          <w:sz w:val="24"/>
          <w:szCs w:val="24"/>
          <w:lang w:val="en-US"/>
        </w:rPr>
        <w:t>.</w:t>
      </w:r>
      <w:r w:rsidR="000D130D">
        <w:rPr>
          <w:rStyle w:val="FootnoteReference"/>
          <w:rFonts w:ascii="Arial" w:hAnsi="Arial" w:cs="Arial"/>
          <w:sz w:val="24"/>
          <w:szCs w:val="24"/>
          <w:lang w:val="en-US"/>
        </w:rPr>
        <w:footnoteReference w:id="32"/>
      </w:r>
      <w:r w:rsidR="00994C7A">
        <w:rPr>
          <w:rFonts w:ascii="Arial" w:hAnsi="Arial" w:cs="Arial"/>
          <w:sz w:val="24"/>
          <w:szCs w:val="24"/>
          <w:lang w:val="en-US"/>
        </w:rPr>
        <w:t xml:space="preserve"> </w:t>
      </w:r>
      <w:r w:rsidR="004E5C30">
        <w:rPr>
          <w:rFonts w:ascii="Arial" w:hAnsi="Arial" w:cs="Arial"/>
          <w:sz w:val="24"/>
          <w:szCs w:val="24"/>
          <w:lang w:val="en-US"/>
        </w:rPr>
        <w:t xml:space="preserve">The court </w:t>
      </w:r>
      <w:r w:rsidR="00EA374E">
        <w:rPr>
          <w:rFonts w:ascii="Arial" w:hAnsi="Arial" w:cs="Arial"/>
          <w:sz w:val="24"/>
          <w:szCs w:val="24"/>
          <w:lang w:val="en-US"/>
        </w:rPr>
        <w:t>mentions</w:t>
      </w:r>
      <w:r w:rsidR="00782431">
        <w:rPr>
          <w:rFonts w:ascii="Arial" w:hAnsi="Arial" w:cs="Arial"/>
          <w:sz w:val="24"/>
          <w:szCs w:val="24"/>
          <w:lang w:val="en-US"/>
        </w:rPr>
        <w:t xml:space="preserve"> that the act is intended to protect all women in a </w:t>
      </w:r>
      <w:r w:rsidR="00622234" w:rsidRPr="00622234">
        <w:rPr>
          <w:rFonts w:ascii="Arial" w:hAnsi="Arial" w:cs="Arial"/>
          <w:sz w:val="24"/>
          <w:szCs w:val="24"/>
          <w:lang w:val="en-US"/>
        </w:rPr>
        <w:t>polygynous </w:t>
      </w:r>
      <w:r w:rsidR="00782431">
        <w:rPr>
          <w:rFonts w:ascii="Arial" w:hAnsi="Arial" w:cs="Arial"/>
          <w:sz w:val="24"/>
          <w:szCs w:val="24"/>
          <w:lang w:val="en-US"/>
        </w:rPr>
        <w:t>marriage and not only the 1</w:t>
      </w:r>
      <w:r w:rsidR="00782431" w:rsidRPr="00782431">
        <w:rPr>
          <w:rFonts w:ascii="Arial" w:hAnsi="Arial" w:cs="Arial"/>
          <w:sz w:val="24"/>
          <w:szCs w:val="24"/>
          <w:vertAlign w:val="superscript"/>
          <w:lang w:val="en-US"/>
        </w:rPr>
        <w:t>st</w:t>
      </w:r>
      <w:r w:rsidR="00782431">
        <w:rPr>
          <w:rFonts w:ascii="Arial" w:hAnsi="Arial" w:cs="Arial"/>
          <w:sz w:val="24"/>
          <w:szCs w:val="24"/>
          <w:lang w:val="en-US"/>
        </w:rPr>
        <w:t xml:space="preserve"> wife</w:t>
      </w:r>
      <w:r w:rsidR="00DA3295">
        <w:rPr>
          <w:rFonts w:ascii="Arial" w:hAnsi="Arial" w:cs="Arial"/>
          <w:sz w:val="24"/>
          <w:szCs w:val="24"/>
          <w:lang w:val="en-US"/>
        </w:rPr>
        <w:t>,</w:t>
      </w:r>
      <w:r w:rsidR="00D2119B">
        <w:rPr>
          <w:rStyle w:val="FootnoteReference"/>
          <w:rFonts w:ascii="Arial" w:hAnsi="Arial" w:cs="Arial"/>
          <w:sz w:val="24"/>
          <w:szCs w:val="24"/>
          <w:lang w:val="en-US"/>
        </w:rPr>
        <w:footnoteReference w:id="33"/>
      </w:r>
      <w:r w:rsidR="00DA3295">
        <w:rPr>
          <w:rFonts w:ascii="Arial" w:hAnsi="Arial" w:cs="Arial"/>
          <w:sz w:val="24"/>
          <w:szCs w:val="24"/>
          <w:lang w:val="en-US"/>
        </w:rPr>
        <w:t xml:space="preserve"> </w:t>
      </w:r>
      <w:r w:rsidR="00870B09">
        <w:rPr>
          <w:rFonts w:ascii="Arial" w:hAnsi="Arial" w:cs="Arial"/>
          <w:sz w:val="24"/>
          <w:szCs w:val="24"/>
          <w:lang w:val="en-US"/>
        </w:rPr>
        <w:t xml:space="preserve">this complies with the </w:t>
      </w:r>
      <w:r w:rsidR="00E05FC0">
        <w:rPr>
          <w:rFonts w:ascii="Arial" w:hAnsi="Arial" w:cs="Arial"/>
          <w:sz w:val="24"/>
          <w:szCs w:val="24"/>
          <w:lang w:val="en-US"/>
        </w:rPr>
        <w:t xml:space="preserve">constitutional requirement that all legislation be interpreted in accordance with the spirit and purports of the constitution as well as the </w:t>
      </w:r>
      <w:r w:rsidR="006F70A1">
        <w:rPr>
          <w:rFonts w:ascii="Arial" w:hAnsi="Arial" w:cs="Arial"/>
          <w:sz w:val="24"/>
          <w:szCs w:val="24"/>
          <w:lang w:val="en-US"/>
        </w:rPr>
        <w:t>bill of rights</w:t>
      </w:r>
      <w:r w:rsidR="00DA3295">
        <w:rPr>
          <w:rFonts w:ascii="Arial" w:hAnsi="Arial" w:cs="Arial"/>
          <w:sz w:val="24"/>
          <w:szCs w:val="24"/>
          <w:lang w:val="en-US"/>
        </w:rPr>
        <w:t xml:space="preserve"> which prescribes equality and dignity for all</w:t>
      </w:r>
      <w:r w:rsidR="00782431">
        <w:rPr>
          <w:rFonts w:ascii="Arial" w:hAnsi="Arial" w:cs="Arial"/>
          <w:sz w:val="24"/>
          <w:szCs w:val="24"/>
          <w:lang w:val="en-US"/>
        </w:rPr>
        <w:t>.</w:t>
      </w:r>
      <w:r w:rsidR="00DA3295">
        <w:rPr>
          <w:rFonts w:ascii="Arial" w:hAnsi="Arial" w:cs="Arial"/>
          <w:sz w:val="24"/>
          <w:szCs w:val="24"/>
          <w:lang w:val="en-US"/>
        </w:rPr>
        <w:t xml:space="preserve"> </w:t>
      </w:r>
      <w:r w:rsidR="00D46744">
        <w:rPr>
          <w:rFonts w:ascii="Arial" w:hAnsi="Arial" w:cs="Arial"/>
          <w:sz w:val="24"/>
          <w:szCs w:val="24"/>
          <w:lang w:val="en-US"/>
        </w:rPr>
        <w:t>R</w:t>
      </w:r>
      <w:r w:rsidR="00D1736F">
        <w:rPr>
          <w:rFonts w:ascii="Arial" w:hAnsi="Arial" w:cs="Arial"/>
          <w:sz w:val="24"/>
          <w:szCs w:val="24"/>
          <w:lang w:val="en-US"/>
        </w:rPr>
        <w:t xml:space="preserve">eading non-compliance to </w:t>
      </w:r>
      <w:r w:rsidR="00D1736F" w:rsidRPr="009B4A72">
        <w:rPr>
          <w:rFonts w:ascii="Arial" w:hAnsi="Arial" w:cs="Arial"/>
          <w:i/>
          <w:sz w:val="24"/>
          <w:szCs w:val="24"/>
          <w:lang w:val="en-US"/>
        </w:rPr>
        <w:t>S 7(6)</w:t>
      </w:r>
      <w:r w:rsidR="00D46744">
        <w:rPr>
          <w:rFonts w:ascii="Arial" w:hAnsi="Arial" w:cs="Arial"/>
          <w:sz w:val="24"/>
          <w:szCs w:val="24"/>
          <w:lang w:val="en-US"/>
        </w:rPr>
        <w:t xml:space="preserve"> </w:t>
      </w:r>
      <w:r w:rsidR="00632F40">
        <w:rPr>
          <w:rFonts w:ascii="Arial" w:hAnsi="Arial" w:cs="Arial"/>
          <w:sz w:val="24"/>
          <w:szCs w:val="24"/>
          <w:lang w:val="en-US"/>
        </w:rPr>
        <w:t xml:space="preserve">as </w:t>
      </w:r>
      <w:r w:rsidR="00D46744">
        <w:rPr>
          <w:rFonts w:ascii="Arial" w:hAnsi="Arial" w:cs="Arial"/>
          <w:sz w:val="24"/>
          <w:szCs w:val="24"/>
          <w:lang w:val="en-US"/>
        </w:rPr>
        <w:t xml:space="preserve">nullifying a marriage that was concluded in accordance with the provisions of S3 because the husband failed to apply to court </w:t>
      </w:r>
      <w:r w:rsidR="00632F40">
        <w:rPr>
          <w:rFonts w:ascii="Arial" w:hAnsi="Arial" w:cs="Arial"/>
          <w:sz w:val="24"/>
          <w:szCs w:val="24"/>
          <w:lang w:val="en-US"/>
        </w:rPr>
        <w:t xml:space="preserve">(be it </w:t>
      </w:r>
      <w:r w:rsidR="00FF25AD">
        <w:rPr>
          <w:rFonts w:ascii="Arial" w:hAnsi="Arial" w:cs="Arial"/>
          <w:sz w:val="24"/>
          <w:szCs w:val="24"/>
          <w:lang w:val="en-US"/>
        </w:rPr>
        <w:t>due to</w:t>
      </w:r>
      <w:r w:rsidR="00632F40">
        <w:rPr>
          <w:rFonts w:ascii="Arial" w:hAnsi="Arial" w:cs="Arial"/>
          <w:sz w:val="24"/>
          <w:szCs w:val="24"/>
          <w:lang w:val="en-US"/>
        </w:rPr>
        <w:t xml:space="preserve"> ignorance or deliberately) </w:t>
      </w:r>
      <w:r w:rsidR="00D46744">
        <w:rPr>
          <w:rFonts w:ascii="Arial" w:hAnsi="Arial" w:cs="Arial"/>
          <w:sz w:val="24"/>
          <w:szCs w:val="24"/>
          <w:lang w:val="en-US"/>
        </w:rPr>
        <w:t xml:space="preserve">in accordance </w:t>
      </w:r>
      <w:r w:rsidR="00D46744">
        <w:rPr>
          <w:rFonts w:ascii="Arial" w:hAnsi="Arial" w:cs="Arial"/>
          <w:sz w:val="24"/>
          <w:szCs w:val="24"/>
          <w:lang w:val="en-US"/>
        </w:rPr>
        <w:lastRenderedPageBreak/>
        <w:t xml:space="preserve">with </w:t>
      </w:r>
      <w:r w:rsidR="00D46744" w:rsidRPr="009B4A72">
        <w:rPr>
          <w:rFonts w:ascii="Arial" w:hAnsi="Arial" w:cs="Arial"/>
          <w:i/>
          <w:sz w:val="24"/>
          <w:szCs w:val="24"/>
          <w:lang w:val="en-US"/>
        </w:rPr>
        <w:t>S 7(6)</w:t>
      </w:r>
      <w:r w:rsidR="00D46744">
        <w:rPr>
          <w:rFonts w:ascii="Arial" w:hAnsi="Arial" w:cs="Arial"/>
          <w:sz w:val="24"/>
          <w:szCs w:val="24"/>
          <w:lang w:val="en-US"/>
        </w:rPr>
        <w:t xml:space="preserve"> would violate </w:t>
      </w:r>
      <w:r w:rsidR="005167E0">
        <w:rPr>
          <w:rFonts w:ascii="Arial" w:hAnsi="Arial" w:cs="Arial"/>
          <w:sz w:val="24"/>
          <w:szCs w:val="24"/>
          <w:lang w:val="en-US"/>
        </w:rPr>
        <w:t>good faith</w:t>
      </w:r>
      <w:r w:rsidR="00D46744">
        <w:rPr>
          <w:rFonts w:ascii="Arial" w:hAnsi="Arial" w:cs="Arial"/>
          <w:sz w:val="24"/>
          <w:szCs w:val="24"/>
          <w:lang w:val="en-US"/>
        </w:rPr>
        <w:t xml:space="preserve"> second and subsequent wife’</w:t>
      </w:r>
      <w:r w:rsidR="00F55DA7">
        <w:rPr>
          <w:rFonts w:ascii="Arial" w:hAnsi="Arial" w:cs="Arial"/>
          <w:sz w:val="24"/>
          <w:szCs w:val="24"/>
          <w:lang w:val="en-US"/>
        </w:rPr>
        <w:t>s right to dignity, fairness,</w:t>
      </w:r>
      <w:r w:rsidR="00632F40">
        <w:rPr>
          <w:rFonts w:ascii="Arial" w:hAnsi="Arial" w:cs="Arial"/>
          <w:sz w:val="24"/>
          <w:szCs w:val="24"/>
          <w:lang w:val="en-US"/>
        </w:rPr>
        <w:t xml:space="preserve"> equality </w:t>
      </w:r>
      <w:r w:rsidR="00FF25AD">
        <w:rPr>
          <w:rFonts w:ascii="Arial" w:hAnsi="Arial" w:cs="Arial"/>
          <w:sz w:val="24"/>
          <w:szCs w:val="24"/>
          <w:lang w:val="en-US"/>
        </w:rPr>
        <w:t>and protection afforded by the constitution.</w:t>
      </w:r>
      <w:r w:rsidR="00FF25AD">
        <w:rPr>
          <w:rStyle w:val="FootnoteReference"/>
          <w:rFonts w:ascii="Arial" w:hAnsi="Arial" w:cs="Arial"/>
          <w:sz w:val="24"/>
          <w:szCs w:val="24"/>
          <w:lang w:val="en-US"/>
        </w:rPr>
        <w:footnoteReference w:id="34"/>
      </w:r>
      <w:r w:rsidR="00F55DA7">
        <w:rPr>
          <w:rFonts w:ascii="Arial" w:hAnsi="Arial" w:cs="Arial"/>
          <w:sz w:val="24"/>
          <w:szCs w:val="24"/>
          <w:lang w:val="en-US"/>
        </w:rPr>
        <w:t xml:space="preserve"> </w:t>
      </w:r>
      <w:r w:rsidR="00D91539">
        <w:rPr>
          <w:rFonts w:ascii="Arial" w:hAnsi="Arial" w:cs="Arial"/>
          <w:sz w:val="24"/>
          <w:szCs w:val="24"/>
          <w:lang w:val="en-US"/>
        </w:rPr>
        <w:t xml:space="preserve">The </w:t>
      </w:r>
      <w:r w:rsidR="00C05007">
        <w:rPr>
          <w:rFonts w:ascii="Arial" w:hAnsi="Arial" w:cs="Arial"/>
          <w:sz w:val="24"/>
          <w:szCs w:val="24"/>
          <w:lang w:val="en-US"/>
        </w:rPr>
        <w:t xml:space="preserve">court </w:t>
      </w:r>
      <w:r w:rsidR="00E23C1C">
        <w:rPr>
          <w:rFonts w:ascii="Arial" w:hAnsi="Arial" w:cs="Arial"/>
          <w:sz w:val="24"/>
          <w:szCs w:val="24"/>
          <w:lang w:val="en-US"/>
        </w:rPr>
        <w:t>had</w:t>
      </w:r>
      <w:r w:rsidR="00C05007">
        <w:rPr>
          <w:rFonts w:ascii="Arial" w:hAnsi="Arial" w:cs="Arial"/>
          <w:sz w:val="24"/>
          <w:szCs w:val="24"/>
          <w:lang w:val="en-US"/>
        </w:rPr>
        <w:t xml:space="preserve"> sight of the class of woman this interpretation </w:t>
      </w:r>
      <w:r w:rsidR="00887AF9">
        <w:rPr>
          <w:rFonts w:ascii="Arial" w:hAnsi="Arial" w:cs="Arial"/>
          <w:sz w:val="24"/>
          <w:szCs w:val="24"/>
          <w:lang w:val="en-US"/>
        </w:rPr>
        <w:t>could affect, “they least likely to have knowledge and resources”</w:t>
      </w:r>
      <w:r w:rsidR="00EF0DAD">
        <w:rPr>
          <w:rFonts w:ascii="Arial" w:hAnsi="Arial" w:cs="Arial"/>
          <w:sz w:val="24"/>
          <w:szCs w:val="24"/>
          <w:lang w:val="en-US"/>
        </w:rPr>
        <w:t xml:space="preserve"> </w:t>
      </w:r>
      <w:r w:rsidR="003B0641">
        <w:rPr>
          <w:rFonts w:ascii="Arial" w:hAnsi="Arial" w:cs="Arial"/>
          <w:sz w:val="24"/>
          <w:szCs w:val="24"/>
          <w:lang w:val="en-US"/>
        </w:rPr>
        <w:t xml:space="preserve">to comply with </w:t>
      </w:r>
      <w:r w:rsidR="003B0641" w:rsidRPr="009B4A72">
        <w:rPr>
          <w:rFonts w:ascii="Arial" w:hAnsi="Arial" w:cs="Arial"/>
          <w:i/>
          <w:sz w:val="24"/>
          <w:szCs w:val="24"/>
          <w:lang w:val="en-US"/>
        </w:rPr>
        <w:t>S7 (6).</w:t>
      </w:r>
      <w:r w:rsidR="003B0641">
        <w:rPr>
          <w:rFonts w:ascii="Arial" w:hAnsi="Arial" w:cs="Arial"/>
          <w:sz w:val="24"/>
          <w:szCs w:val="24"/>
          <w:lang w:val="en-US"/>
        </w:rPr>
        <w:t xml:space="preserve"> So the courts finding will afford these female spouses protection in a </w:t>
      </w:r>
      <w:r w:rsidR="003E132B">
        <w:rPr>
          <w:rFonts w:ascii="Arial" w:hAnsi="Arial" w:cs="Arial"/>
          <w:sz w:val="24"/>
          <w:szCs w:val="24"/>
          <w:lang w:val="en-US"/>
        </w:rPr>
        <w:t>polygynous</w:t>
      </w:r>
      <w:r w:rsidR="003B0641">
        <w:rPr>
          <w:rFonts w:ascii="Arial" w:hAnsi="Arial" w:cs="Arial"/>
          <w:sz w:val="24"/>
          <w:szCs w:val="24"/>
          <w:lang w:val="en-US"/>
        </w:rPr>
        <w:t xml:space="preserve"> marriage</w:t>
      </w:r>
      <w:r w:rsidR="006F3400">
        <w:rPr>
          <w:rFonts w:ascii="Arial" w:hAnsi="Arial" w:cs="Arial"/>
          <w:sz w:val="24"/>
          <w:szCs w:val="24"/>
          <w:lang w:val="en-US"/>
        </w:rPr>
        <w:t>.</w:t>
      </w:r>
      <w:r w:rsidR="006F3400">
        <w:rPr>
          <w:rStyle w:val="FootnoteReference"/>
          <w:rFonts w:ascii="Arial" w:hAnsi="Arial" w:cs="Arial"/>
          <w:sz w:val="24"/>
          <w:szCs w:val="24"/>
          <w:lang w:val="en-US"/>
        </w:rPr>
        <w:footnoteReference w:id="35"/>
      </w:r>
      <w:r w:rsidR="003E29B7">
        <w:rPr>
          <w:rFonts w:ascii="Arial" w:hAnsi="Arial" w:cs="Arial"/>
          <w:sz w:val="24"/>
          <w:szCs w:val="24"/>
          <w:lang w:val="en-US"/>
        </w:rPr>
        <w:t xml:space="preserve"> S 3 protect the second and subsequent </w:t>
      </w:r>
      <w:r w:rsidR="0028109E">
        <w:rPr>
          <w:rFonts w:ascii="Arial" w:hAnsi="Arial" w:cs="Arial"/>
          <w:sz w:val="24"/>
          <w:szCs w:val="24"/>
          <w:lang w:val="en-US"/>
        </w:rPr>
        <w:t xml:space="preserve">wives and S </w:t>
      </w:r>
      <w:r w:rsidR="003E29B7">
        <w:rPr>
          <w:rFonts w:ascii="Arial" w:hAnsi="Arial" w:cs="Arial"/>
          <w:sz w:val="24"/>
          <w:szCs w:val="24"/>
          <w:lang w:val="en-US"/>
        </w:rPr>
        <w:t>7(6) protects the first wife’s proprietary status.</w:t>
      </w:r>
    </w:p>
    <w:p w:rsidR="005C189C" w:rsidRDefault="005C189C" w:rsidP="00B84DDC">
      <w:pPr>
        <w:pStyle w:val="ListParagraph"/>
        <w:ind w:left="1440"/>
        <w:jc w:val="both"/>
        <w:rPr>
          <w:rFonts w:ascii="Arial" w:hAnsi="Arial" w:cs="Arial"/>
          <w:sz w:val="24"/>
          <w:szCs w:val="24"/>
          <w:lang w:val="en-US"/>
        </w:rPr>
      </w:pPr>
    </w:p>
    <w:p w:rsidR="005C189C" w:rsidRDefault="005C189C" w:rsidP="00B84DDC">
      <w:pPr>
        <w:pStyle w:val="ListParagraph"/>
        <w:ind w:left="1440"/>
        <w:jc w:val="both"/>
        <w:rPr>
          <w:rFonts w:ascii="Arial" w:hAnsi="Arial" w:cs="Arial"/>
          <w:sz w:val="24"/>
          <w:szCs w:val="24"/>
          <w:lang w:val="en-US"/>
        </w:rPr>
      </w:pPr>
      <w:r>
        <w:rPr>
          <w:rFonts w:ascii="Arial" w:hAnsi="Arial" w:cs="Arial"/>
          <w:sz w:val="24"/>
          <w:szCs w:val="24"/>
          <w:lang w:val="en-US"/>
        </w:rPr>
        <w:t>The court did not consider the customary requirements that come from Xitsonga customary law</w:t>
      </w:r>
    </w:p>
    <w:p w:rsidR="00FF1236" w:rsidRDefault="00FF1236" w:rsidP="00B84DDC">
      <w:pPr>
        <w:pStyle w:val="ListParagraph"/>
        <w:ind w:left="1440"/>
        <w:jc w:val="both"/>
        <w:rPr>
          <w:rFonts w:ascii="Arial" w:hAnsi="Arial" w:cs="Arial"/>
          <w:sz w:val="24"/>
          <w:szCs w:val="24"/>
          <w:lang w:val="en-US"/>
        </w:rPr>
      </w:pPr>
    </w:p>
    <w:p w:rsidR="006B5491" w:rsidRPr="00632CC2" w:rsidRDefault="006B5491" w:rsidP="00094C7B">
      <w:pPr>
        <w:pStyle w:val="ListParagraph"/>
        <w:numPr>
          <w:ilvl w:val="0"/>
          <w:numId w:val="3"/>
        </w:numPr>
        <w:ind w:left="1440"/>
        <w:jc w:val="both"/>
        <w:outlineLvl w:val="1"/>
        <w:rPr>
          <w:rFonts w:ascii="Arial" w:hAnsi="Arial" w:cs="Arial"/>
          <w:sz w:val="24"/>
          <w:szCs w:val="24"/>
          <w:lang w:val="en-US"/>
        </w:rPr>
      </w:pPr>
      <w:bookmarkStart w:id="6" w:name="_Toc57128490"/>
      <w:bookmarkEnd w:id="6"/>
    </w:p>
    <w:p w:rsidR="00F26B0F" w:rsidRPr="00632CC2" w:rsidRDefault="00EF0C11" w:rsidP="00094C7B">
      <w:pPr>
        <w:pStyle w:val="ListParagraph"/>
        <w:ind w:left="1440"/>
        <w:jc w:val="both"/>
        <w:rPr>
          <w:rFonts w:ascii="Arial" w:hAnsi="Arial" w:cs="Arial"/>
          <w:sz w:val="24"/>
          <w:szCs w:val="24"/>
          <w:lang w:val="en-US"/>
        </w:rPr>
      </w:pPr>
      <w:r>
        <w:rPr>
          <w:rFonts w:ascii="Arial" w:hAnsi="Arial" w:cs="Arial"/>
          <w:sz w:val="24"/>
          <w:szCs w:val="24"/>
          <w:lang w:val="en-US"/>
        </w:rPr>
        <w:t xml:space="preserve">This is an appeal of the above case, this appeal is based on whether </w:t>
      </w:r>
      <w:proofErr w:type="gramStart"/>
      <w:r>
        <w:rPr>
          <w:rFonts w:ascii="Arial" w:hAnsi="Arial" w:cs="Arial"/>
          <w:sz w:val="24"/>
          <w:szCs w:val="24"/>
          <w:lang w:val="en-US"/>
        </w:rPr>
        <w:t>a</w:t>
      </w:r>
      <w:proofErr w:type="gramEnd"/>
      <w:r>
        <w:rPr>
          <w:rFonts w:ascii="Arial" w:hAnsi="Arial" w:cs="Arial"/>
          <w:sz w:val="24"/>
          <w:szCs w:val="24"/>
          <w:lang w:val="en-US"/>
        </w:rPr>
        <w:t xml:space="preserve"> in accordance with Xitsonga custom can the marriage between the deceased and </w:t>
      </w:r>
      <w:proofErr w:type="spellStart"/>
      <w:r>
        <w:rPr>
          <w:rFonts w:ascii="Arial" w:hAnsi="Arial" w:cs="Arial"/>
          <w:sz w:val="24"/>
          <w:szCs w:val="24"/>
          <w:lang w:val="en-US"/>
        </w:rPr>
        <w:t>Ngwenyama</w:t>
      </w:r>
      <w:proofErr w:type="spellEnd"/>
      <w:r>
        <w:rPr>
          <w:rFonts w:ascii="Arial" w:hAnsi="Arial" w:cs="Arial"/>
          <w:sz w:val="24"/>
          <w:szCs w:val="24"/>
          <w:lang w:val="en-US"/>
        </w:rPr>
        <w:t xml:space="preserve"> (second wife) be valid without consent from the 1</w:t>
      </w:r>
      <w:r w:rsidRPr="00EF0C11">
        <w:rPr>
          <w:rFonts w:ascii="Arial" w:hAnsi="Arial" w:cs="Arial"/>
          <w:sz w:val="24"/>
          <w:szCs w:val="24"/>
          <w:vertAlign w:val="superscript"/>
          <w:lang w:val="en-US"/>
        </w:rPr>
        <w:t>st</w:t>
      </w:r>
      <w:r>
        <w:rPr>
          <w:rFonts w:ascii="Arial" w:hAnsi="Arial" w:cs="Arial"/>
          <w:sz w:val="24"/>
          <w:szCs w:val="24"/>
          <w:lang w:val="en-US"/>
        </w:rPr>
        <w:t xml:space="preserve"> wife </w:t>
      </w:r>
      <w:bookmarkStart w:id="7" w:name="_GoBack"/>
      <w:bookmarkEnd w:id="7"/>
    </w:p>
    <w:p w:rsidR="006B5491" w:rsidRPr="00632CC2" w:rsidRDefault="006B5491" w:rsidP="00094C7B">
      <w:pPr>
        <w:pStyle w:val="ListParagraph"/>
        <w:numPr>
          <w:ilvl w:val="0"/>
          <w:numId w:val="3"/>
        </w:numPr>
        <w:ind w:left="1440"/>
        <w:jc w:val="both"/>
        <w:outlineLvl w:val="1"/>
        <w:rPr>
          <w:rFonts w:ascii="Arial" w:hAnsi="Arial" w:cs="Arial"/>
          <w:sz w:val="24"/>
          <w:szCs w:val="24"/>
          <w:lang w:val="en-US"/>
        </w:rPr>
      </w:pPr>
      <w:bookmarkStart w:id="8" w:name="_Toc57128491"/>
      <w:bookmarkEnd w:id="8"/>
    </w:p>
    <w:p w:rsidR="00E85EA6" w:rsidRDefault="009074A6" w:rsidP="00957F92">
      <w:pPr>
        <w:pStyle w:val="ListParagraph"/>
        <w:ind w:left="1440"/>
        <w:jc w:val="both"/>
        <w:rPr>
          <w:rFonts w:ascii="Arial" w:hAnsi="Arial" w:cs="Arial"/>
          <w:sz w:val="24"/>
          <w:szCs w:val="24"/>
          <w:lang w:val="en-US"/>
        </w:rPr>
      </w:pPr>
      <w:r>
        <w:rPr>
          <w:rFonts w:ascii="Arial" w:hAnsi="Arial" w:cs="Arial"/>
          <w:sz w:val="24"/>
          <w:szCs w:val="24"/>
          <w:lang w:val="en-US"/>
        </w:rPr>
        <w:t xml:space="preserve">One of </w:t>
      </w:r>
      <w:r w:rsidR="009740C3">
        <w:rPr>
          <w:rFonts w:ascii="Arial" w:hAnsi="Arial" w:cs="Arial"/>
          <w:sz w:val="24"/>
          <w:szCs w:val="24"/>
          <w:lang w:val="en-US"/>
        </w:rPr>
        <w:t xml:space="preserve">question </w:t>
      </w:r>
      <w:r w:rsidR="00A01F85">
        <w:rPr>
          <w:rFonts w:ascii="Arial" w:hAnsi="Arial" w:cs="Arial"/>
          <w:sz w:val="24"/>
          <w:szCs w:val="24"/>
          <w:lang w:val="en-US"/>
        </w:rPr>
        <w:t xml:space="preserve">the appeal had to answer was whether the Magistrates court was correct in finding that a marriage did indeed exist </w:t>
      </w:r>
      <w:r w:rsidR="00B84D4C">
        <w:rPr>
          <w:rFonts w:ascii="Arial" w:hAnsi="Arial" w:cs="Arial"/>
          <w:sz w:val="24"/>
          <w:szCs w:val="24"/>
          <w:lang w:val="en-US"/>
        </w:rPr>
        <w:t xml:space="preserve">in the absence of both the 2 party’s father’s participation in </w:t>
      </w:r>
      <w:r w:rsidR="00A01F85">
        <w:rPr>
          <w:rFonts w:ascii="Arial" w:hAnsi="Arial" w:cs="Arial"/>
          <w:sz w:val="24"/>
          <w:szCs w:val="24"/>
          <w:lang w:val="en-US"/>
        </w:rPr>
        <w:t xml:space="preserve">the </w:t>
      </w:r>
      <w:proofErr w:type="spellStart"/>
      <w:r w:rsidR="00A01F85" w:rsidRPr="00231A34">
        <w:rPr>
          <w:rFonts w:ascii="Arial" w:hAnsi="Arial" w:cs="Arial"/>
          <w:i/>
          <w:sz w:val="24"/>
          <w:szCs w:val="24"/>
          <w:lang w:val="en-US"/>
        </w:rPr>
        <w:t>lobola</w:t>
      </w:r>
      <w:proofErr w:type="spellEnd"/>
      <w:r w:rsidR="00A01F85">
        <w:rPr>
          <w:rFonts w:ascii="Arial" w:hAnsi="Arial" w:cs="Arial"/>
          <w:sz w:val="24"/>
          <w:szCs w:val="24"/>
          <w:lang w:val="en-US"/>
        </w:rPr>
        <w:t xml:space="preserve"> negotiations</w:t>
      </w:r>
      <w:r w:rsidR="00B84D4C">
        <w:rPr>
          <w:rFonts w:ascii="Arial" w:hAnsi="Arial" w:cs="Arial"/>
          <w:sz w:val="24"/>
          <w:szCs w:val="24"/>
          <w:lang w:val="en-US"/>
        </w:rPr>
        <w:t>, they</w:t>
      </w:r>
      <w:r w:rsidR="00D77270">
        <w:rPr>
          <w:rFonts w:ascii="Arial" w:hAnsi="Arial" w:cs="Arial"/>
          <w:sz w:val="24"/>
          <w:szCs w:val="24"/>
          <w:lang w:val="en-US"/>
        </w:rPr>
        <w:t xml:space="preserve"> were</w:t>
      </w:r>
      <w:r w:rsidR="00A01F85">
        <w:rPr>
          <w:rFonts w:ascii="Arial" w:hAnsi="Arial" w:cs="Arial"/>
          <w:sz w:val="24"/>
          <w:szCs w:val="24"/>
          <w:lang w:val="en-US"/>
        </w:rPr>
        <w:t xml:space="preserve"> conducted between the </w:t>
      </w:r>
      <w:r w:rsidR="00DE6741">
        <w:rPr>
          <w:rFonts w:ascii="Arial" w:hAnsi="Arial" w:cs="Arial"/>
          <w:sz w:val="24"/>
          <w:szCs w:val="24"/>
          <w:lang w:val="en-US"/>
        </w:rPr>
        <w:t xml:space="preserve">prospective </w:t>
      </w:r>
      <w:r w:rsidR="00A01F85">
        <w:rPr>
          <w:rFonts w:ascii="Arial" w:hAnsi="Arial" w:cs="Arial"/>
          <w:sz w:val="24"/>
          <w:szCs w:val="24"/>
          <w:lang w:val="en-US"/>
        </w:rPr>
        <w:t xml:space="preserve">husband and the mother of the </w:t>
      </w:r>
      <w:r w:rsidR="00B84D4C">
        <w:rPr>
          <w:rFonts w:ascii="Arial" w:hAnsi="Arial" w:cs="Arial"/>
          <w:sz w:val="24"/>
          <w:szCs w:val="24"/>
          <w:lang w:val="en-US"/>
        </w:rPr>
        <w:t>female spouse</w:t>
      </w:r>
      <w:r w:rsidR="004F7CBB">
        <w:rPr>
          <w:rFonts w:ascii="Arial" w:hAnsi="Arial" w:cs="Arial"/>
          <w:sz w:val="24"/>
          <w:szCs w:val="24"/>
          <w:lang w:val="en-US"/>
        </w:rPr>
        <w:t>.</w:t>
      </w:r>
      <w:r w:rsidR="007B5C61">
        <w:rPr>
          <w:rFonts w:ascii="Arial" w:hAnsi="Arial" w:cs="Arial"/>
          <w:sz w:val="24"/>
          <w:szCs w:val="24"/>
          <w:lang w:val="en-US"/>
        </w:rPr>
        <w:t xml:space="preserve"> </w:t>
      </w:r>
      <w:r w:rsidR="00BA3E94">
        <w:rPr>
          <w:rFonts w:ascii="Arial" w:hAnsi="Arial" w:cs="Arial"/>
          <w:sz w:val="24"/>
          <w:szCs w:val="24"/>
          <w:lang w:val="en-US"/>
        </w:rPr>
        <w:t xml:space="preserve">This is one of those judgements </w:t>
      </w:r>
      <w:r w:rsidR="00C11CB5">
        <w:rPr>
          <w:rFonts w:ascii="Arial" w:hAnsi="Arial" w:cs="Arial"/>
          <w:sz w:val="24"/>
          <w:szCs w:val="24"/>
          <w:lang w:val="en-US"/>
        </w:rPr>
        <w:t>that is applauded</w:t>
      </w:r>
      <w:r w:rsidR="00E85EA6">
        <w:rPr>
          <w:rFonts w:ascii="Arial" w:hAnsi="Arial" w:cs="Arial"/>
          <w:sz w:val="24"/>
          <w:szCs w:val="24"/>
          <w:lang w:val="en-US"/>
        </w:rPr>
        <w:t xml:space="preserve"> an example of the court</w:t>
      </w:r>
      <w:r w:rsidR="00C11CB5">
        <w:rPr>
          <w:rFonts w:ascii="Arial" w:hAnsi="Arial" w:cs="Arial"/>
          <w:sz w:val="24"/>
          <w:szCs w:val="24"/>
          <w:lang w:val="en-US"/>
        </w:rPr>
        <w:t xml:space="preserve"> advancing</w:t>
      </w:r>
      <w:r w:rsidR="00BA3E94">
        <w:rPr>
          <w:rFonts w:ascii="Arial" w:hAnsi="Arial" w:cs="Arial"/>
          <w:sz w:val="24"/>
          <w:szCs w:val="24"/>
          <w:lang w:val="en-US"/>
        </w:rPr>
        <w:t xml:space="preserve"> the customary law </w:t>
      </w:r>
      <w:r w:rsidR="00C11CB5">
        <w:rPr>
          <w:rFonts w:ascii="Arial" w:hAnsi="Arial" w:cs="Arial"/>
          <w:sz w:val="24"/>
          <w:szCs w:val="24"/>
          <w:lang w:val="en-US"/>
        </w:rPr>
        <w:t xml:space="preserve">and </w:t>
      </w:r>
      <w:r w:rsidR="00BA3E94">
        <w:rPr>
          <w:rFonts w:ascii="Arial" w:hAnsi="Arial" w:cs="Arial"/>
          <w:sz w:val="24"/>
          <w:szCs w:val="24"/>
          <w:lang w:val="en-US"/>
        </w:rPr>
        <w:t>bridge</w:t>
      </w:r>
      <w:r w:rsidR="00C11CB5">
        <w:rPr>
          <w:rFonts w:ascii="Arial" w:hAnsi="Arial" w:cs="Arial"/>
          <w:sz w:val="24"/>
          <w:szCs w:val="24"/>
          <w:lang w:val="en-US"/>
        </w:rPr>
        <w:t>d the g</w:t>
      </w:r>
      <w:r w:rsidR="00BA3E94">
        <w:rPr>
          <w:rFonts w:ascii="Arial" w:hAnsi="Arial" w:cs="Arial"/>
          <w:sz w:val="24"/>
          <w:szCs w:val="24"/>
          <w:lang w:val="en-US"/>
        </w:rPr>
        <w:t xml:space="preserve">ap between </w:t>
      </w:r>
      <w:r w:rsidR="00C11CB5">
        <w:rPr>
          <w:rFonts w:ascii="Arial" w:hAnsi="Arial" w:cs="Arial"/>
          <w:sz w:val="24"/>
          <w:szCs w:val="24"/>
          <w:lang w:val="en-US"/>
        </w:rPr>
        <w:t xml:space="preserve">rigid application of </w:t>
      </w:r>
      <w:r w:rsidR="00BA3E94">
        <w:rPr>
          <w:rFonts w:ascii="Arial" w:hAnsi="Arial" w:cs="Arial"/>
          <w:sz w:val="24"/>
          <w:szCs w:val="24"/>
          <w:lang w:val="en-US"/>
        </w:rPr>
        <w:t>official customary law and lived reality of the people (living customary law)</w:t>
      </w:r>
      <w:r w:rsidR="00C11CB5">
        <w:rPr>
          <w:rFonts w:ascii="Arial" w:hAnsi="Arial" w:cs="Arial"/>
          <w:sz w:val="24"/>
          <w:szCs w:val="24"/>
          <w:lang w:val="en-US"/>
        </w:rPr>
        <w:t>.</w:t>
      </w:r>
      <w:r w:rsidR="00C11CB5">
        <w:rPr>
          <w:rStyle w:val="FootnoteReference"/>
          <w:rFonts w:ascii="Arial" w:hAnsi="Arial" w:cs="Arial"/>
          <w:sz w:val="24"/>
          <w:szCs w:val="24"/>
          <w:lang w:val="en-US"/>
        </w:rPr>
        <w:footnoteReference w:id="36"/>
      </w:r>
    </w:p>
    <w:p w:rsidR="00E85EA6" w:rsidRDefault="00E85EA6" w:rsidP="00094C7B">
      <w:pPr>
        <w:pStyle w:val="ListParagraph"/>
        <w:ind w:left="1440"/>
        <w:jc w:val="both"/>
        <w:rPr>
          <w:rFonts w:ascii="Arial" w:hAnsi="Arial" w:cs="Arial"/>
          <w:sz w:val="24"/>
          <w:szCs w:val="24"/>
          <w:lang w:val="en-US"/>
        </w:rPr>
      </w:pPr>
    </w:p>
    <w:p w:rsidR="00E85EA6" w:rsidRDefault="00E85EA6" w:rsidP="00094C7B">
      <w:pPr>
        <w:pStyle w:val="ListParagraph"/>
        <w:ind w:left="1440"/>
        <w:jc w:val="both"/>
        <w:rPr>
          <w:rFonts w:ascii="Arial" w:hAnsi="Arial" w:cs="Arial"/>
          <w:sz w:val="24"/>
          <w:szCs w:val="24"/>
          <w:lang w:val="en-US"/>
        </w:rPr>
      </w:pPr>
      <w:r>
        <w:rPr>
          <w:rFonts w:ascii="Arial" w:hAnsi="Arial" w:cs="Arial"/>
          <w:sz w:val="24"/>
          <w:szCs w:val="24"/>
          <w:lang w:val="en-US"/>
        </w:rPr>
        <w:t xml:space="preserve">The court in the current case </w:t>
      </w:r>
      <w:r w:rsidR="00991FC4">
        <w:rPr>
          <w:rFonts w:ascii="Arial" w:hAnsi="Arial" w:cs="Arial"/>
          <w:sz w:val="24"/>
          <w:szCs w:val="24"/>
          <w:lang w:val="en-US"/>
        </w:rPr>
        <w:t>held that</w:t>
      </w:r>
      <w:r>
        <w:rPr>
          <w:rFonts w:ascii="Arial" w:hAnsi="Arial" w:cs="Arial"/>
          <w:sz w:val="24"/>
          <w:szCs w:val="24"/>
          <w:lang w:val="en-US"/>
        </w:rPr>
        <w:t xml:space="preserve"> are 2 </w:t>
      </w:r>
      <w:r w:rsidR="00991FC4">
        <w:rPr>
          <w:rFonts w:ascii="Arial" w:hAnsi="Arial" w:cs="Arial"/>
          <w:sz w:val="24"/>
          <w:szCs w:val="24"/>
          <w:lang w:val="en-US"/>
        </w:rPr>
        <w:t>forms of customary law: the official customary law and a living customary law</w:t>
      </w:r>
      <w:r w:rsidR="00991FC4">
        <w:rPr>
          <w:rStyle w:val="FootnoteReference"/>
          <w:rFonts w:ascii="Arial" w:hAnsi="Arial" w:cs="Arial"/>
          <w:sz w:val="24"/>
          <w:szCs w:val="24"/>
          <w:lang w:val="en-US"/>
        </w:rPr>
        <w:footnoteReference w:id="37"/>
      </w:r>
      <w:r w:rsidR="00991FC4">
        <w:rPr>
          <w:rFonts w:ascii="Arial" w:hAnsi="Arial" w:cs="Arial"/>
          <w:sz w:val="24"/>
          <w:szCs w:val="24"/>
          <w:lang w:val="en-US"/>
        </w:rPr>
        <w:t xml:space="preserve">, </w:t>
      </w:r>
      <w:r>
        <w:rPr>
          <w:rFonts w:ascii="Arial" w:hAnsi="Arial" w:cs="Arial"/>
          <w:sz w:val="24"/>
          <w:szCs w:val="24"/>
          <w:lang w:val="en-US"/>
        </w:rPr>
        <w:t>there had to recognize living customary law so as to bring the law closer to the spirit, purport and objects of the bill of rights.</w:t>
      </w:r>
      <w:r>
        <w:rPr>
          <w:rStyle w:val="FootnoteReference"/>
          <w:rFonts w:ascii="Arial" w:hAnsi="Arial" w:cs="Arial"/>
          <w:sz w:val="24"/>
          <w:szCs w:val="24"/>
          <w:lang w:val="en-US"/>
        </w:rPr>
        <w:footnoteReference w:id="38"/>
      </w:r>
      <w:r w:rsidR="0011431B">
        <w:rPr>
          <w:rFonts w:ascii="Arial" w:hAnsi="Arial" w:cs="Arial"/>
          <w:sz w:val="24"/>
          <w:szCs w:val="24"/>
          <w:lang w:val="en-US"/>
        </w:rPr>
        <w:t xml:space="preserve"> </w:t>
      </w:r>
      <w:r w:rsidR="000B0F01">
        <w:rPr>
          <w:rFonts w:ascii="Arial" w:hAnsi="Arial" w:cs="Arial"/>
          <w:sz w:val="24"/>
          <w:szCs w:val="24"/>
          <w:lang w:val="en-US"/>
        </w:rPr>
        <w:t>They found that the need for the father</w:t>
      </w:r>
      <w:r w:rsidR="00E43910">
        <w:rPr>
          <w:rFonts w:ascii="Arial" w:hAnsi="Arial" w:cs="Arial"/>
          <w:sz w:val="24"/>
          <w:szCs w:val="24"/>
          <w:lang w:val="en-US"/>
        </w:rPr>
        <w:t xml:space="preserve"> to be involved they</w:t>
      </w:r>
      <w:r w:rsidR="000B0F01">
        <w:rPr>
          <w:rFonts w:ascii="Arial" w:hAnsi="Arial" w:cs="Arial"/>
          <w:sz w:val="24"/>
          <w:szCs w:val="24"/>
          <w:lang w:val="en-US"/>
        </w:rPr>
        <w:t xml:space="preserve"> opened this function up to the mother as well.   </w:t>
      </w:r>
    </w:p>
    <w:p w:rsidR="000B0F01" w:rsidRDefault="000B0F01" w:rsidP="00094C7B">
      <w:pPr>
        <w:pStyle w:val="ListParagraph"/>
        <w:ind w:left="1440"/>
        <w:jc w:val="both"/>
        <w:rPr>
          <w:rFonts w:ascii="Arial" w:hAnsi="Arial" w:cs="Arial"/>
          <w:sz w:val="24"/>
          <w:szCs w:val="24"/>
          <w:lang w:val="en-US"/>
        </w:rPr>
      </w:pPr>
    </w:p>
    <w:p w:rsidR="00DE6741" w:rsidRPr="004333C2" w:rsidRDefault="0011431B" w:rsidP="005F7FC5">
      <w:pPr>
        <w:pStyle w:val="ListParagraph"/>
        <w:ind w:left="1440"/>
        <w:jc w:val="both"/>
        <w:rPr>
          <w:rFonts w:ascii="Arial" w:hAnsi="Arial" w:cs="Arial"/>
          <w:sz w:val="24"/>
          <w:szCs w:val="24"/>
          <w:lang w:val="en-US"/>
        </w:rPr>
      </w:pPr>
      <w:r>
        <w:rPr>
          <w:rFonts w:ascii="Arial" w:hAnsi="Arial" w:cs="Arial"/>
          <w:sz w:val="24"/>
          <w:szCs w:val="24"/>
          <w:lang w:val="en-US"/>
        </w:rPr>
        <w:t xml:space="preserve">As with </w:t>
      </w:r>
      <w:proofErr w:type="spellStart"/>
      <w:r w:rsidRPr="00A94EBA">
        <w:rPr>
          <w:rFonts w:ascii="Arial" w:hAnsi="Arial" w:cs="Arial"/>
          <w:i/>
          <w:sz w:val="24"/>
          <w:szCs w:val="24"/>
          <w:lang w:val="en-US"/>
        </w:rPr>
        <w:t>Mabuza</w:t>
      </w:r>
      <w:proofErr w:type="spellEnd"/>
      <w:r w:rsidRPr="00A94EBA">
        <w:rPr>
          <w:rFonts w:ascii="Arial" w:hAnsi="Arial" w:cs="Arial"/>
          <w:i/>
          <w:sz w:val="24"/>
          <w:szCs w:val="24"/>
          <w:lang w:val="en-US"/>
        </w:rPr>
        <w:t xml:space="preserve"> v </w:t>
      </w:r>
      <w:proofErr w:type="spellStart"/>
      <w:r w:rsidRPr="00A94EBA">
        <w:rPr>
          <w:rFonts w:ascii="Arial" w:hAnsi="Arial" w:cs="Arial"/>
          <w:i/>
          <w:sz w:val="24"/>
          <w:szCs w:val="24"/>
          <w:lang w:val="en-US"/>
        </w:rPr>
        <w:t>Mbatha</w:t>
      </w:r>
      <w:proofErr w:type="spellEnd"/>
      <w:r w:rsidRPr="00A94EBA">
        <w:rPr>
          <w:rFonts w:ascii="Arial" w:hAnsi="Arial" w:cs="Arial"/>
          <w:i/>
          <w:sz w:val="24"/>
          <w:szCs w:val="24"/>
          <w:lang w:val="en-US"/>
        </w:rPr>
        <w:t xml:space="preserve"> (7) BCLR (7)</w:t>
      </w:r>
      <w:r>
        <w:rPr>
          <w:rFonts w:ascii="Arial" w:hAnsi="Arial" w:cs="Arial"/>
          <w:sz w:val="24"/>
          <w:szCs w:val="24"/>
          <w:lang w:val="en-US"/>
        </w:rPr>
        <w:t xml:space="preserve"> (herein referred to as ‘</w:t>
      </w:r>
      <w:proofErr w:type="spellStart"/>
      <w:r>
        <w:rPr>
          <w:rFonts w:ascii="Arial" w:hAnsi="Arial" w:cs="Arial"/>
          <w:sz w:val="24"/>
          <w:szCs w:val="24"/>
          <w:lang w:val="en-US"/>
        </w:rPr>
        <w:t>Mabuza</w:t>
      </w:r>
      <w:proofErr w:type="spellEnd"/>
      <w:r>
        <w:rPr>
          <w:rFonts w:ascii="Arial" w:hAnsi="Arial" w:cs="Arial"/>
          <w:sz w:val="24"/>
          <w:szCs w:val="24"/>
          <w:lang w:val="en-US"/>
        </w:rPr>
        <w:t xml:space="preserve">’) the current cause advanced customary law, in the </w:t>
      </w:r>
      <w:proofErr w:type="spellStart"/>
      <w:r>
        <w:rPr>
          <w:rFonts w:ascii="Arial" w:hAnsi="Arial" w:cs="Arial"/>
          <w:sz w:val="24"/>
          <w:szCs w:val="24"/>
          <w:lang w:val="en-US"/>
        </w:rPr>
        <w:t>Mabuza</w:t>
      </w:r>
      <w:proofErr w:type="spellEnd"/>
      <w:r>
        <w:rPr>
          <w:rFonts w:ascii="Arial" w:hAnsi="Arial" w:cs="Arial"/>
          <w:sz w:val="24"/>
          <w:szCs w:val="24"/>
          <w:lang w:val="en-US"/>
        </w:rPr>
        <w:t xml:space="preserve"> case </w:t>
      </w:r>
      <w:r w:rsidR="00A94EBA">
        <w:rPr>
          <w:rFonts w:ascii="Arial" w:hAnsi="Arial" w:cs="Arial"/>
          <w:sz w:val="24"/>
          <w:szCs w:val="24"/>
          <w:lang w:val="en-US"/>
        </w:rPr>
        <w:t xml:space="preserve">e.g. the from the rigid need for the </w:t>
      </w:r>
      <w:proofErr w:type="spellStart"/>
      <w:r w:rsidR="001776A4">
        <w:rPr>
          <w:rFonts w:ascii="Arial" w:hAnsi="Arial" w:cs="Arial"/>
          <w:i/>
          <w:sz w:val="24"/>
          <w:szCs w:val="24"/>
          <w:lang w:val="en-US"/>
        </w:rPr>
        <w:t>ukumekeza</w:t>
      </w:r>
      <w:proofErr w:type="spellEnd"/>
      <w:r w:rsidR="001776A4">
        <w:rPr>
          <w:rFonts w:ascii="Arial" w:hAnsi="Arial" w:cs="Arial"/>
          <w:i/>
          <w:sz w:val="24"/>
          <w:szCs w:val="24"/>
          <w:lang w:val="en-US"/>
        </w:rPr>
        <w:t xml:space="preserve"> in </w:t>
      </w:r>
      <w:proofErr w:type="spellStart"/>
      <w:r w:rsidR="001776A4">
        <w:rPr>
          <w:rFonts w:ascii="Arial" w:hAnsi="Arial" w:cs="Arial"/>
          <w:i/>
          <w:sz w:val="24"/>
          <w:szCs w:val="24"/>
          <w:lang w:val="en-US"/>
        </w:rPr>
        <w:t>mabuza</w:t>
      </w:r>
      <w:proofErr w:type="spellEnd"/>
      <w:r w:rsidR="001776A4">
        <w:rPr>
          <w:rFonts w:ascii="Arial" w:hAnsi="Arial" w:cs="Arial"/>
          <w:i/>
          <w:sz w:val="24"/>
          <w:szCs w:val="24"/>
          <w:lang w:val="en-US"/>
        </w:rPr>
        <w:t xml:space="preserve">, </w:t>
      </w:r>
      <w:r w:rsidR="001776A4">
        <w:rPr>
          <w:rFonts w:ascii="Arial" w:hAnsi="Arial" w:cs="Arial"/>
          <w:sz w:val="24"/>
          <w:szCs w:val="24"/>
          <w:lang w:val="en-US"/>
        </w:rPr>
        <w:t xml:space="preserve">what is notable in </w:t>
      </w:r>
      <w:proofErr w:type="spellStart"/>
      <w:r w:rsidR="001776A4">
        <w:rPr>
          <w:rFonts w:ascii="Arial" w:hAnsi="Arial" w:cs="Arial"/>
          <w:i/>
          <w:sz w:val="24"/>
          <w:szCs w:val="24"/>
          <w:lang w:val="en-US"/>
        </w:rPr>
        <w:t>Maluleke</w:t>
      </w:r>
      <w:proofErr w:type="spellEnd"/>
      <w:r w:rsidR="003C009D">
        <w:rPr>
          <w:rFonts w:ascii="Arial" w:hAnsi="Arial" w:cs="Arial"/>
          <w:i/>
          <w:sz w:val="24"/>
          <w:szCs w:val="24"/>
          <w:lang w:val="en-US"/>
        </w:rPr>
        <w:t xml:space="preserve"> v Minister of home </w:t>
      </w:r>
      <w:proofErr w:type="spellStart"/>
      <w:r w:rsidR="003C009D">
        <w:rPr>
          <w:rFonts w:ascii="Arial" w:hAnsi="Arial" w:cs="Arial"/>
          <w:i/>
          <w:sz w:val="24"/>
          <w:szCs w:val="24"/>
          <w:lang w:val="en-US"/>
        </w:rPr>
        <w:t>afairs</w:t>
      </w:r>
      <w:proofErr w:type="spellEnd"/>
      <w:r w:rsidR="003C009D">
        <w:rPr>
          <w:rFonts w:ascii="Arial" w:hAnsi="Arial" w:cs="Arial"/>
          <w:i/>
          <w:sz w:val="24"/>
          <w:szCs w:val="24"/>
          <w:lang w:val="en-US"/>
        </w:rPr>
        <w:t xml:space="preserve"> case</w:t>
      </w:r>
      <w:r w:rsidR="001776A4">
        <w:rPr>
          <w:rFonts w:ascii="Arial" w:hAnsi="Arial" w:cs="Arial"/>
          <w:sz w:val="24"/>
          <w:szCs w:val="24"/>
          <w:lang w:val="en-US"/>
        </w:rPr>
        <w:t xml:space="preserve"> was the recognition of the court</w:t>
      </w:r>
      <w:r w:rsidR="003C009D">
        <w:rPr>
          <w:rFonts w:ascii="Arial" w:hAnsi="Arial" w:cs="Arial"/>
          <w:sz w:val="24"/>
          <w:szCs w:val="24"/>
          <w:lang w:val="en-US"/>
        </w:rPr>
        <w:t xml:space="preserve"> and its expert </w:t>
      </w:r>
      <w:proofErr w:type="spellStart"/>
      <w:r w:rsidR="003C009D">
        <w:rPr>
          <w:rFonts w:ascii="Arial" w:hAnsi="Arial" w:cs="Arial"/>
          <w:sz w:val="24"/>
          <w:szCs w:val="24"/>
          <w:lang w:val="en-US"/>
        </w:rPr>
        <w:t>Proffesor</w:t>
      </w:r>
      <w:proofErr w:type="spellEnd"/>
      <w:r w:rsidR="003C009D">
        <w:rPr>
          <w:rFonts w:ascii="Arial" w:hAnsi="Arial" w:cs="Arial"/>
          <w:sz w:val="24"/>
          <w:szCs w:val="24"/>
          <w:lang w:val="en-US"/>
        </w:rPr>
        <w:t xml:space="preserve"> JC </w:t>
      </w:r>
      <w:proofErr w:type="spellStart"/>
      <w:r w:rsidR="003C009D">
        <w:rPr>
          <w:rFonts w:ascii="Arial" w:hAnsi="Arial" w:cs="Arial"/>
          <w:sz w:val="24"/>
          <w:szCs w:val="24"/>
          <w:lang w:val="en-US"/>
        </w:rPr>
        <w:t>Bekker</w:t>
      </w:r>
      <w:proofErr w:type="spellEnd"/>
      <w:r w:rsidR="003C009D">
        <w:rPr>
          <w:rFonts w:ascii="Arial" w:hAnsi="Arial" w:cs="Arial"/>
          <w:sz w:val="24"/>
          <w:szCs w:val="24"/>
          <w:lang w:val="en-US"/>
        </w:rPr>
        <w:t xml:space="preserve"> who recognized the need for a celebration to conclude a customary marriage but </w:t>
      </w:r>
      <w:r w:rsidR="005F7FC5">
        <w:rPr>
          <w:rFonts w:ascii="Arial" w:hAnsi="Arial" w:cs="Arial"/>
          <w:sz w:val="24"/>
          <w:szCs w:val="24"/>
          <w:lang w:val="en-US"/>
        </w:rPr>
        <w:t>conceded</w:t>
      </w:r>
      <w:r w:rsidR="003C009D">
        <w:rPr>
          <w:rFonts w:ascii="Arial" w:hAnsi="Arial" w:cs="Arial"/>
          <w:sz w:val="24"/>
          <w:szCs w:val="24"/>
          <w:lang w:val="en-US"/>
        </w:rPr>
        <w:t xml:space="preserve"> that due to the changes in environment </w:t>
      </w:r>
      <w:r w:rsidR="005F7FC5">
        <w:rPr>
          <w:rFonts w:ascii="Arial" w:hAnsi="Arial" w:cs="Arial"/>
          <w:sz w:val="24"/>
          <w:szCs w:val="24"/>
          <w:lang w:val="en-US"/>
        </w:rPr>
        <w:t xml:space="preserve">strict </w:t>
      </w:r>
      <w:r w:rsidR="005F7FC5">
        <w:rPr>
          <w:rFonts w:ascii="Arial" w:hAnsi="Arial" w:cs="Arial"/>
          <w:sz w:val="24"/>
          <w:szCs w:val="24"/>
          <w:lang w:val="en-US"/>
        </w:rPr>
        <w:lastRenderedPageBreak/>
        <w:t>adherence to the rituals was not necessary.</w:t>
      </w:r>
      <w:r w:rsidR="005F7FC5">
        <w:rPr>
          <w:rStyle w:val="FootnoteReference"/>
          <w:rFonts w:ascii="Arial" w:hAnsi="Arial" w:cs="Arial"/>
          <w:sz w:val="24"/>
          <w:szCs w:val="24"/>
          <w:lang w:val="en-US"/>
        </w:rPr>
        <w:footnoteReference w:id="39"/>
      </w:r>
      <w:r w:rsidR="00E85EA6" w:rsidRPr="005F7FC5">
        <w:rPr>
          <w:rFonts w:ascii="Arial" w:hAnsi="Arial" w:cs="Arial"/>
          <w:sz w:val="24"/>
          <w:szCs w:val="24"/>
          <w:lang w:val="en-US"/>
        </w:rPr>
        <w:t xml:space="preserve"> </w:t>
      </w:r>
      <w:r w:rsidR="004333C2">
        <w:rPr>
          <w:rFonts w:ascii="Arial" w:hAnsi="Arial" w:cs="Arial"/>
          <w:sz w:val="24"/>
          <w:szCs w:val="24"/>
          <w:lang w:val="en-US"/>
        </w:rPr>
        <w:t xml:space="preserve">The observance of the </w:t>
      </w:r>
      <w:proofErr w:type="gramStart"/>
      <w:r w:rsidR="004333C2">
        <w:rPr>
          <w:rFonts w:ascii="Arial" w:hAnsi="Arial" w:cs="Arial"/>
          <w:sz w:val="24"/>
          <w:szCs w:val="24"/>
          <w:lang w:val="en-US"/>
        </w:rPr>
        <w:t>parties</w:t>
      </w:r>
      <w:proofErr w:type="gramEnd"/>
      <w:r w:rsidR="004333C2">
        <w:rPr>
          <w:rFonts w:ascii="Arial" w:hAnsi="Arial" w:cs="Arial"/>
          <w:sz w:val="24"/>
          <w:szCs w:val="24"/>
          <w:lang w:val="en-US"/>
        </w:rPr>
        <w:t xml:space="preserve"> intention to enter into the marriage as opposed to finding that non adherence to the “celebration” is fetal to the existence of the marriage shows courts </w:t>
      </w:r>
      <w:r w:rsidR="000B0F01">
        <w:rPr>
          <w:rFonts w:ascii="Arial" w:hAnsi="Arial" w:cs="Arial"/>
          <w:sz w:val="24"/>
          <w:szCs w:val="24"/>
          <w:lang w:val="en-US"/>
        </w:rPr>
        <w:t>favor using it constitutional mandate to develop customary law to be in line with the spirit, purports</w:t>
      </w:r>
      <w:r w:rsidR="004333C2">
        <w:rPr>
          <w:rFonts w:ascii="Arial" w:hAnsi="Arial" w:cs="Arial"/>
          <w:sz w:val="24"/>
          <w:szCs w:val="24"/>
          <w:lang w:val="en-US"/>
        </w:rPr>
        <w:t xml:space="preserve"> </w:t>
      </w:r>
      <w:r w:rsidR="000B0F01">
        <w:rPr>
          <w:rFonts w:ascii="Arial" w:hAnsi="Arial" w:cs="Arial"/>
          <w:sz w:val="24"/>
          <w:szCs w:val="24"/>
          <w:lang w:val="en-US"/>
        </w:rPr>
        <w:t>and objects of the bill of rights. T</w:t>
      </w:r>
    </w:p>
    <w:p w:rsidR="00DE6741" w:rsidRPr="00DE6741" w:rsidRDefault="00DE6741" w:rsidP="00DE6741">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7203D4" w:rsidRDefault="007203D4" w:rsidP="007203D4">
      <w:pPr>
        <w:pStyle w:val="Default"/>
        <w:numPr>
          <w:ilvl w:val="0"/>
          <w:numId w:val="6"/>
        </w:numPr>
        <w:rPr>
          <w:color w:val="auto"/>
        </w:rPr>
      </w:pPr>
    </w:p>
    <w:p w:rsidR="00703F4B" w:rsidRPr="00632CC2" w:rsidRDefault="00703F4B" w:rsidP="00094C7B">
      <w:pPr>
        <w:ind w:left="720"/>
        <w:jc w:val="both"/>
        <w:rPr>
          <w:rFonts w:ascii="Arial" w:hAnsi="Arial" w:cs="Arial"/>
          <w:sz w:val="24"/>
          <w:szCs w:val="24"/>
        </w:rPr>
      </w:pPr>
    </w:p>
    <w:p w:rsidR="00A17D65" w:rsidRDefault="00555BE4" w:rsidP="00094C7B">
      <w:pPr>
        <w:ind w:left="720"/>
        <w:jc w:val="both"/>
        <w:rPr>
          <w:rFonts w:ascii="Arial" w:hAnsi="Arial" w:cs="Arial"/>
          <w:b/>
          <w:sz w:val="24"/>
          <w:szCs w:val="24"/>
        </w:rPr>
      </w:pPr>
      <w:r w:rsidRPr="00555BE4">
        <w:rPr>
          <w:rFonts w:ascii="Arial" w:hAnsi="Arial" w:cs="Arial"/>
          <w:b/>
          <w:sz w:val="24"/>
          <w:szCs w:val="24"/>
        </w:rPr>
        <w:t xml:space="preserve">Bibliography </w:t>
      </w:r>
    </w:p>
    <w:p w:rsidR="00555BE4" w:rsidRDefault="00555BE4" w:rsidP="00094C7B">
      <w:pPr>
        <w:ind w:left="720"/>
        <w:jc w:val="both"/>
        <w:rPr>
          <w:rFonts w:ascii="Arial" w:hAnsi="Arial" w:cs="Arial"/>
          <w:b/>
          <w:sz w:val="24"/>
          <w:szCs w:val="24"/>
        </w:rPr>
      </w:pPr>
      <w:r>
        <w:rPr>
          <w:rFonts w:ascii="Arial" w:hAnsi="Arial" w:cs="Arial"/>
          <w:b/>
          <w:sz w:val="24"/>
          <w:szCs w:val="24"/>
        </w:rPr>
        <w:t>Acts</w:t>
      </w:r>
    </w:p>
    <w:p w:rsidR="00555BE4" w:rsidRPr="00555BE4" w:rsidRDefault="00555BE4" w:rsidP="00555BE4">
      <w:pPr>
        <w:ind w:left="720"/>
        <w:jc w:val="both"/>
        <w:rPr>
          <w:rFonts w:ascii="Arial" w:hAnsi="Arial" w:cs="Arial"/>
          <w:b/>
          <w:sz w:val="24"/>
          <w:szCs w:val="24"/>
        </w:rPr>
      </w:pPr>
      <w:r w:rsidRPr="00555BE4">
        <w:rPr>
          <w:rFonts w:ascii="Arial" w:hAnsi="Arial" w:cs="Arial"/>
          <w:sz w:val="24"/>
          <w:szCs w:val="24"/>
        </w:rPr>
        <w:t>Recognition of patrimonial marriages act 120 of 1998</w:t>
      </w:r>
      <w:r w:rsidR="004C3093">
        <w:rPr>
          <w:rFonts w:ascii="Arial" w:hAnsi="Arial" w:cs="Arial"/>
          <w:sz w:val="24"/>
          <w:szCs w:val="24"/>
        </w:rPr>
        <w:t>.</w:t>
      </w:r>
    </w:p>
    <w:p w:rsidR="00555BE4" w:rsidRDefault="00555BE4" w:rsidP="00094C7B">
      <w:pPr>
        <w:ind w:left="720"/>
        <w:jc w:val="both"/>
        <w:rPr>
          <w:rFonts w:ascii="Arial" w:hAnsi="Arial" w:cs="Arial"/>
          <w:b/>
          <w:sz w:val="24"/>
          <w:szCs w:val="24"/>
        </w:rPr>
      </w:pPr>
      <w:r>
        <w:rPr>
          <w:rFonts w:ascii="Arial" w:hAnsi="Arial" w:cs="Arial"/>
          <w:b/>
          <w:sz w:val="24"/>
          <w:szCs w:val="24"/>
        </w:rPr>
        <w:t>Cases</w:t>
      </w:r>
    </w:p>
    <w:p w:rsidR="00555BE4" w:rsidRPr="00555BE4" w:rsidRDefault="00555BE4" w:rsidP="00555BE4">
      <w:pPr>
        <w:ind w:left="720"/>
        <w:jc w:val="both"/>
        <w:rPr>
          <w:rFonts w:ascii="Arial" w:hAnsi="Arial" w:cs="Arial"/>
          <w:b/>
          <w:sz w:val="24"/>
          <w:szCs w:val="24"/>
        </w:rPr>
      </w:pPr>
      <w:proofErr w:type="spellStart"/>
      <w:r w:rsidRPr="00555BE4">
        <w:rPr>
          <w:rFonts w:ascii="Arial" w:hAnsi="Arial" w:cs="Arial"/>
          <w:sz w:val="24"/>
          <w:szCs w:val="24"/>
        </w:rPr>
        <w:t>Ngwenyama</w:t>
      </w:r>
      <w:proofErr w:type="spellEnd"/>
      <w:r w:rsidRPr="00555BE4">
        <w:rPr>
          <w:rFonts w:ascii="Arial" w:hAnsi="Arial" w:cs="Arial"/>
          <w:sz w:val="24"/>
          <w:szCs w:val="24"/>
        </w:rPr>
        <w:t xml:space="preserve"> v </w:t>
      </w:r>
      <w:proofErr w:type="spellStart"/>
      <w:r w:rsidRPr="00555BE4">
        <w:rPr>
          <w:rFonts w:ascii="Arial" w:hAnsi="Arial" w:cs="Arial"/>
          <w:sz w:val="24"/>
          <w:szCs w:val="24"/>
        </w:rPr>
        <w:t>Mayelane</w:t>
      </w:r>
      <w:proofErr w:type="spellEnd"/>
      <w:r w:rsidRPr="00555BE4">
        <w:rPr>
          <w:rFonts w:ascii="Arial" w:hAnsi="Arial" w:cs="Arial"/>
          <w:sz w:val="24"/>
          <w:szCs w:val="24"/>
        </w:rPr>
        <w:t xml:space="preserve"> 2012 (10) BCLR 1071 (SCA)</w:t>
      </w:r>
      <w:r w:rsidR="004C3093">
        <w:rPr>
          <w:rFonts w:ascii="Arial" w:hAnsi="Arial" w:cs="Arial"/>
          <w:sz w:val="24"/>
          <w:szCs w:val="24"/>
        </w:rPr>
        <w:t>.</w:t>
      </w:r>
    </w:p>
    <w:sectPr w:rsidR="00555BE4" w:rsidRPr="00555BE4" w:rsidSect="00907794">
      <w:footerReference w:type="default" r:id="rId8"/>
      <w:pgSz w:w="11906" w:h="16838"/>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14A" w:rsidRDefault="0037414A" w:rsidP="00FF3ECF">
      <w:pPr>
        <w:spacing w:after="0" w:line="240" w:lineRule="auto"/>
      </w:pPr>
      <w:r>
        <w:separator/>
      </w:r>
    </w:p>
  </w:endnote>
  <w:endnote w:type="continuationSeparator" w:id="0">
    <w:p w:rsidR="0037414A" w:rsidRDefault="0037414A" w:rsidP="00FF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922099"/>
      <w:docPartObj>
        <w:docPartGallery w:val="Page Numbers (Bottom of Page)"/>
        <w:docPartUnique/>
      </w:docPartObj>
    </w:sdtPr>
    <w:sdtEndPr>
      <w:rPr>
        <w:noProof/>
      </w:rPr>
    </w:sdtEndPr>
    <w:sdtContent>
      <w:p w:rsidR="006A6247" w:rsidRDefault="006A6247">
        <w:pPr>
          <w:pStyle w:val="Footer"/>
          <w:jc w:val="right"/>
        </w:pPr>
        <w:r>
          <w:fldChar w:fldCharType="begin"/>
        </w:r>
        <w:r>
          <w:instrText xml:space="preserve"> PAGE   \* MERGEFORMAT </w:instrText>
        </w:r>
        <w:r>
          <w:fldChar w:fldCharType="separate"/>
        </w:r>
        <w:r w:rsidR="005C189C">
          <w:rPr>
            <w:noProof/>
          </w:rPr>
          <w:t>4</w:t>
        </w:r>
        <w:r>
          <w:rPr>
            <w:noProof/>
          </w:rPr>
          <w:fldChar w:fldCharType="end"/>
        </w:r>
      </w:p>
    </w:sdtContent>
  </w:sdt>
  <w:p w:rsidR="006A6247" w:rsidRDefault="006A6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14A" w:rsidRDefault="0037414A" w:rsidP="00FF3ECF">
      <w:pPr>
        <w:spacing w:after="0" w:line="240" w:lineRule="auto"/>
      </w:pPr>
      <w:r>
        <w:separator/>
      </w:r>
    </w:p>
  </w:footnote>
  <w:footnote w:type="continuationSeparator" w:id="0">
    <w:p w:rsidR="0037414A" w:rsidRDefault="0037414A" w:rsidP="00FF3ECF">
      <w:pPr>
        <w:spacing w:after="0" w:line="240" w:lineRule="auto"/>
      </w:pPr>
      <w:r>
        <w:continuationSeparator/>
      </w:r>
    </w:p>
  </w:footnote>
  <w:footnote w:id="1">
    <w:p w:rsidR="006A6247" w:rsidRPr="003879E0" w:rsidRDefault="006A6247">
      <w:pPr>
        <w:pStyle w:val="FootnoteText"/>
      </w:pPr>
      <w:r>
        <w:rPr>
          <w:rStyle w:val="FootnoteReference"/>
        </w:rPr>
        <w:footnoteRef/>
      </w:r>
      <w:r>
        <w:t xml:space="preserve"> Study guide page 2,3,4,5.</w:t>
      </w:r>
    </w:p>
  </w:footnote>
  <w:footnote w:id="2">
    <w:p w:rsidR="006A6247" w:rsidRPr="008D7D3D" w:rsidRDefault="006A6247">
      <w:pPr>
        <w:pStyle w:val="FootnoteText"/>
      </w:pPr>
      <w:r>
        <w:rPr>
          <w:rStyle w:val="FootnoteReference"/>
        </w:rPr>
        <w:footnoteRef/>
      </w:r>
      <w:r>
        <w:t xml:space="preserve"> Textbook page 174.</w:t>
      </w:r>
    </w:p>
  </w:footnote>
  <w:footnote w:id="3">
    <w:p w:rsidR="006A6247" w:rsidRPr="00B84DDC" w:rsidRDefault="006A6247" w:rsidP="00232564">
      <w:pPr>
        <w:spacing w:after="0"/>
        <w:jc w:val="both"/>
        <w:rPr>
          <w:lang w:val="en-US"/>
        </w:rPr>
      </w:pPr>
      <w:r>
        <w:rPr>
          <w:rStyle w:val="FootnoteReference"/>
        </w:rPr>
        <w:footnoteRef/>
      </w:r>
      <w:r>
        <w:t xml:space="preserve"> </w:t>
      </w:r>
      <w:r w:rsidRPr="000E6E07">
        <w:rPr>
          <w:sz w:val="20"/>
          <w:szCs w:val="20"/>
        </w:rPr>
        <w:t>Recognition of patrimonial marriages act 120 of 1998</w:t>
      </w:r>
      <w:r>
        <w:t xml:space="preserve"> (hereafter referred to as ‘</w:t>
      </w:r>
      <w:r>
        <w:rPr>
          <w:lang w:val="en-US"/>
        </w:rPr>
        <w:t>RCMA’) S 3(1</w:t>
      </w:r>
      <w:proofErr w:type="gramStart"/>
      <w:r>
        <w:rPr>
          <w:lang w:val="en-US"/>
        </w:rPr>
        <w:t>)(</w:t>
      </w:r>
      <w:proofErr w:type="gramEnd"/>
      <w:r>
        <w:rPr>
          <w:lang w:val="en-US"/>
        </w:rPr>
        <w:t>a)(</w:t>
      </w:r>
      <w:proofErr w:type="spellStart"/>
      <w:r>
        <w:rPr>
          <w:lang w:val="en-US"/>
        </w:rPr>
        <w:t>i</w:t>
      </w:r>
      <w:proofErr w:type="spellEnd"/>
      <w:r>
        <w:rPr>
          <w:lang w:val="en-US"/>
        </w:rPr>
        <w:t>).</w:t>
      </w:r>
    </w:p>
  </w:footnote>
  <w:footnote w:id="4">
    <w:p w:rsidR="006A6247" w:rsidRPr="00500383" w:rsidRDefault="006A6247" w:rsidP="00232564">
      <w:pPr>
        <w:pStyle w:val="FootnoteText"/>
        <w:rPr>
          <w:lang w:val="en-US"/>
        </w:rPr>
      </w:pPr>
      <w:r>
        <w:rPr>
          <w:rStyle w:val="FootnoteReference"/>
        </w:rPr>
        <w:footnoteRef/>
      </w:r>
      <w:r>
        <w:t xml:space="preserve"> </w:t>
      </w:r>
      <w:r>
        <w:rPr>
          <w:lang w:val="en-US"/>
        </w:rPr>
        <w:t>RCMA S 3(1</w:t>
      </w:r>
      <w:proofErr w:type="gramStart"/>
      <w:r>
        <w:rPr>
          <w:lang w:val="en-US"/>
        </w:rPr>
        <w:t>)(</w:t>
      </w:r>
      <w:proofErr w:type="gramEnd"/>
      <w:r>
        <w:rPr>
          <w:lang w:val="en-US"/>
        </w:rPr>
        <w:t>a)(ii).</w:t>
      </w:r>
    </w:p>
  </w:footnote>
  <w:footnote w:id="5">
    <w:p w:rsidR="006A6247" w:rsidRPr="001E1037" w:rsidRDefault="006A6247" w:rsidP="00232564">
      <w:pPr>
        <w:pStyle w:val="FootnoteText"/>
        <w:rPr>
          <w:lang w:val="en-US"/>
        </w:rPr>
      </w:pPr>
      <w:r>
        <w:rPr>
          <w:rStyle w:val="FootnoteReference"/>
        </w:rPr>
        <w:footnoteRef/>
      </w:r>
      <w:r>
        <w:t xml:space="preserve"> </w:t>
      </w:r>
      <w:r>
        <w:rPr>
          <w:lang w:val="en-US"/>
        </w:rPr>
        <w:t>RCMA S 3(1</w:t>
      </w:r>
      <w:proofErr w:type="gramStart"/>
      <w:r>
        <w:rPr>
          <w:lang w:val="en-US"/>
        </w:rPr>
        <w:t>)(</w:t>
      </w:r>
      <w:proofErr w:type="gramEnd"/>
      <w:r>
        <w:rPr>
          <w:lang w:val="en-US"/>
        </w:rPr>
        <w:t>b).</w:t>
      </w:r>
    </w:p>
  </w:footnote>
  <w:footnote w:id="6">
    <w:p w:rsidR="006A6247" w:rsidRPr="00425CFE" w:rsidRDefault="006A6247">
      <w:pPr>
        <w:pStyle w:val="FootnoteText"/>
      </w:pPr>
      <w:r>
        <w:rPr>
          <w:rStyle w:val="FootnoteReference"/>
        </w:rPr>
        <w:footnoteRef/>
      </w:r>
      <w:r>
        <w:t xml:space="preserve"> </w:t>
      </w:r>
      <w:proofErr w:type="spellStart"/>
      <w:r>
        <w:t>Maluleke</w:t>
      </w:r>
      <w:proofErr w:type="spellEnd"/>
      <w:r>
        <w:t xml:space="preserve"> v Minister of home affairs (herein referred to as ‘</w:t>
      </w:r>
      <w:proofErr w:type="spellStart"/>
      <w:r>
        <w:t>Maluleke</w:t>
      </w:r>
      <w:proofErr w:type="spellEnd"/>
      <w:r>
        <w:t>’) para 6.</w:t>
      </w:r>
    </w:p>
  </w:footnote>
  <w:footnote w:id="7">
    <w:p w:rsidR="006A6247" w:rsidRPr="00340410" w:rsidRDefault="006A6247" w:rsidP="00DD7A6F">
      <w:pPr>
        <w:pStyle w:val="FootnoteText"/>
      </w:pPr>
      <w:r>
        <w:rPr>
          <w:rStyle w:val="FootnoteReference"/>
        </w:rPr>
        <w:footnoteRef/>
      </w:r>
      <w:r>
        <w:t xml:space="preserve"> </w:t>
      </w:r>
      <w:proofErr w:type="spellStart"/>
      <w:r>
        <w:t>Maluleke</w:t>
      </w:r>
      <w:proofErr w:type="spellEnd"/>
      <w:r>
        <w:t xml:space="preserve"> para 8. </w:t>
      </w:r>
    </w:p>
  </w:footnote>
  <w:footnote w:id="8">
    <w:p w:rsidR="006A6247" w:rsidRPr="00BE6724" w:rsidRDefault="006A6247">
      <w:pPr>
        <w:pStyle w:val="FootnoteText"/>
      </w:pPr>
      <w:r>
        <w:rPr>
          <w:rStyle w:val="FootnoteReference"/>
        </w:rPr>
        <w:footnoteRef/>
      </w:r>
      <w:r>
        <w:t xml:space="preserve"> </w:t>
      </w:r>
      <w:proofErr w:type="spellStart"/>
      <w:r>
        <w:t>Maluleke</w:t>
      </w:r>
      <w:proofErr w:type="spellEnd"/>
      <w:r>
        <w:t xml:space="preserve"> para 13.</w:t>
      </w:r>
    </w:p>
  </w:footnote>
  <w:footnote w:id="9">
    <w:p w:rsidR="006A6247" w:rsidRPr="009C5F22" w:rsidRDefault="006A6247">
      <w:pPr>
        <w:pStyle w:val="FootnoteText"/>
      </w:pPr>
      <w:r>
        <w:rPr>
          <w:rStyle w:val="FootnoteReference"/>
        </w:rPr>
        <w:footnoteRef/>
      </w:r>
      <w:r>
        <w:t xml:space="preserve"> Textbook page 177.</w:t>
      </w:r>
    </w:p>
  </w:footnote>
  <w:footnote w:id="10">
    <w:p w:rsidR="006A6247" w:rsidRPr="00C53FA5" w:rsidRDefault="006A6247">
      <w:pPr>
        <w:pStyle w:val="FootnoteText"/>
      </w:pPr>
      <w:r>
        <w:rPr>
          <w:rStyle w:val="FootnoteReference"/>
        </w:rPr>
        <w:footnoteRef/>
      </w:r>
      <w:r>
        <w:t xml:space="preserve"> </w:t>
      </w:r>
      <w:proofErr w:type="spellStart"/>
      <w:r>
        <w:t>Bhe</w:t>
      </w:r>
      <w:proofErr w:type="spellEnd"/>
      <w:r>
        <w:t xml:space="preserve"> para 3.</w:t>
      </w:r>
    </w:p>
  </w:footnote>
  <w:footnote w:id="11">
    <w:p w:rsidR="006A6247" w:rsidRPr="00E33F56" w:rsidRDefault="006A6247">
      <w:pPr>
        <w:pStyle w:val="FootnoteText"/>
      </w:pPr>
      <w:r>
        <w:rPr>
          <w:rStyle w:val="FootnoteReference"/>
        </w:rPr>
        <w:footnoteRef/>
      </w:r>
      <w:r>
        <w:t xml:space="preserve"> </w:t>
      </w:r>
      <w:proofErr w:type="spellStart"/>
      <w:r>
        <w:t>Bhe</w:t>
      </w:r>
      <w:proofErr w:type="spellEnd"/>
      <w:r>
        <w:t xml:space="preserve"> para 5.</w:t>
      </w:r>
    </w:p>
  </w:footnote>
  <w:footnote w:id="12">
    <w:p w:rsidR="006A6247" w:rsidRPr="002E2149" w:rsidRDefault="006A6247">
      <w:pPr>
        <w:pStyle w:val="FootnoteText"/>
      </w:pPr>
      <w:r>
        <w:rPr>
          <w:rStyle w:val="FootnoteReference"/>
        </w:rPr>
        <w:footnoteRef/>
      </w:r>
      <w:r>
        <w:t xml:space="preserve"> </w:t>
      </w:r>
      <w:proofErr w:type="spellStart"/>
      <w:r>
        <w:t>Bhe</w:t>
      </w:r>
      <w:proofErr w:type="spellEnd"/>
      <w:r>
        <w:t xml:space="preserve"> para 7</w:t>
      </w:r>
    </w:p>
  </w:footnote>
  <w:footnote w:id="13">
    <w:p w:rsidR="006A6247" w:rsidRPr="000D5858" w:rsidRDefault="006A6247">
      <w:pPr>
        <w:pStyle w:val="FootnoteText"/>
      </w:pPr>
      <w:r>
        <w:rPr>
          <w:rStyle w:val="FootnoteReference"/>
        </w:rPr>
        <w:footnoteRef/>
      </w:r>
      <w:r>
        <w:t xml:space="preserve"> </w:t>
      </w:r>
      <w:proofErr w:type="spellStart"/>
      <w:r>
        <w:t>Bhe</w:t>
      </w:r>
      <w:proofErr w:type="spellEnd"/>
      <w:r>
        <w:t xml:space="preserve"> para 16</w:t>
      </w:r>
    </w:p>
  </w:footnote>
  <w:footnote w:id="14">
    <w:p w:rsidR="006A6247" w:rsidRPr="00B51725" w:rsidRDefault="006A6247">
      <w:pPr>
        <w:pStyle w:val="FootnoteText"/>
      </w:pPr>
      <w:r>
        <w:rPr>
          <w:rStyle w:val="FootnoteReference"/>
        </w:rPr>
        <w:footnoteRef/>
      </w:r>
      <w:r>
        <w:t xml:space="preserve"> </w:t>
      </w:r>
      <w:proofErr w:type="spellStart"/>
      <w:r>
        <w:t>Bhe</w:t>
      </w:r>
      <w:proofErr w:type="spellEnd"/>
      <w:r>
        <w:t xml:space="preserve"> para 19</w:t>
      </w:r>
    </w:p>
  </w:footnote>
  <w:footnote w:id="15">
    <w:p w:rsidR="00EA6B1C" w:rsidRPr="00EA6B1C" w:rsidRDefault="00EA6B1C">
      <w:pPr>
        <w:pStyle w:val="FootnoteText"/>
      </w:pPr>
      <w:r>
        <w:rPr>
          <w:rStyle w:val="FootnoteReference"/>
        </w:rPr>
        <w:footnoteRef/>
      </w:r>
      <w:r>
        <w:t xml:space="preserve"> </w:t>
      </w:r>
      <w:proofErr w:type="spellStart"/>
      <w:r>
        <w:t>Bhe</w:t>
      </w:r>
      <w:proofErr w:type="spellEnd"/>
      <w:r>
        <w:t xml:space="preserve"> para 180</w:t>
      </w:r>
    </w:p>
  </w:footnote>
  <w:footnote w:id="16">
    <w:p w:rsidR="00086CBF" w:rsidRPr="00086CBF" w:rsidRDefault="00086CBF">
      <w:pPr>
        <w:pStyle w:val="FootnoteText"/>
      </w:pPr>
      <w:r>
        <w:rPr>
          <w:rStyle w:val="FootnoteReference"/>
        </w:rPr>
        <w:footnoteRef/>
      </w:r>
      <w:r>
        <w:t xml:space="preserve"> </w:t>
      </w:r>
      <w:proofErr w:type="spellStart"/>
      <w:proofErr w:type="gramStart"/>
      <w:r>
        <w:t>Bhe</w:t>
      </w:r>
      <w:proofErr w:type="spellEnd"/>
      <w:r>
        <w:t xml:space="preserve">  para</w:t>
      </w:r>
      <w:proofErr w:type="gramEnd"/>
      <w:r>
        <w:t xml:space="preserve"> 180.</w:t>
      </w:r>
    </w:p>
  </w:footnote>
  <w:footnote w:id="17">
    <w:p w:rsidR="00801318" w:rsidRPr="00801318" w:rsidRDefault="00801318">
      <w:pPr>
        <w:pStyle w:val="FootnoteText"/>
      </w:pPr>
      <w:r>
        <w:rPr>
          <w:rStyle w:val="FootnoteReference"/>
        </w:rPr>
        <w:footnoteRef/>
      </w:r>
      <w:r>
        <w:t xml:space="preserve"> </w:t>
      </w:r>
      <w:proofErr w:type="spellStart"/>
      <w:r>
        <w:t>Bhe</w:t>
      </w:r>
      <w:proofErr w:type="spellEnd"/>
      <w:r>
        <w:t xml:space="preserve"> para 185.</w:t>
      </w:r>
    </w:p>
  </w:footnote>
  <w:footnote w:id="18">
    <w:p w:rsidR="00817DE3" w:rsidRPr="00817DE3" w:rsidRDefault="00817DE3">
      <w:pPr>
        <w:pStyle w:val="FootnoteText"/>
      </w:pPr>
      <w:r>
        <w:rPr>
          <w:rStyle w:val="FootnoteReference"/>
        </w:rPr>
        <w:footnoteRef/>
      </w:r>
      <w:r>
        <w:t xml:space="preserve"> </w:t>
      </w:r>
      <w:proofErr w:type="spellStart"/>
      <w:r>
        <w:t>Bhe</w:t>
      </w:r>
      <w:proofErr w:type="spellEnd"/>
      <w:r>
        <w:t xml:space="preserve"> para 139.</w:t>
      </w:r>
    </w:p>
  </w:footnote>
  <w:footnote w:id="19">
    <w:p w:rsidR="000A2E04" w:rsidRDefault="000A2E04">
      <w:pPr>
        <w:pStyle w:val="FootnoteText"/>
      </w:pPr>
      <w:r>
        <w:rPr>
          <w:rStyle w:val="FootnoteReference"/>
        </w:rPr>
        <w:footnoteRef/>
      </w:r>
      <w:r>
        <w:t xml:space="preserve"> </w:t>
      </w:r>
      <w:proofErr w:type="spellStart"/>
      <w:r>
        <w:t>Alexkor</w:t>
      </w:r>
      <w:proofErr w:type="spellEnd"/>
      <w:r>
        <w:t xml:space="preserve"> para 1.</w:t>
      </w:r>
    </w:p>
  </w:footnote>
  <w:footnote w:id="20">
    <w:p w:rsidR="0086643B" w:rsidRDefault="0086643B">
      <w:pPr>
        <w:pStyle w:val="FootnoteText"/>
      </w:pPr>
      <w:r>
        <w:rPr>
          <w:rStyle w:val="FootnoteReference"/>
        </w:rPr>
        <w:footnoteRef/>
      </w:r>
      <w:r>
        <w:t xml:space="preserve"> </w:t>
      </w:r>
      <w:proofErr w:type="spellStart"/>
      <w:r>
        <w:t>Alexkor</w:t>
      </w:r>
      <w:proofErr w:type="spellEnd"/>
      <w:r>
        <w:t xml:space="preserve"> para 7.</w:t>
      </w:r>
    </w:p>
  </w:footnote>
  <w:footnote w:id="21">
    <w:p w:rsidR="0086643B" w:rsidRDefault="0086643B">
      <w:pPr>
        <w:pStyle w:val="FootnoteText"/>
      </w:pPr>
      <w:r>
        <w:rPr>
          <w:rStyle w:val="FootnoteReference"/>
        </w:rPr>
        <w:footnoteRef/>
      </w:r>
      <w:r>
        <w:t xml:space="preserve"> </w:t>
      </w:r>
      <w:proofErr w:type="spellStart"/>
      <w:proofErr w:type="gramStart"/>
      <w:r>
        <w:t>Alexkor</w:t>
      </w:r>
      <w:proofErr w:type="spellEnd"/>
      <w:r>
        <w:t xml:space="preserve">  para</w:t>
      </w:r>
      <w:proofErr w:type="gramEnd"/>
      <w:r>
        <w:t xml:space="preserve"> 8.</w:t>
      </w:r>
    </w:p>
  </w:footnote>
  <w:footnote w:id="22">
    <w:p w:rsidR="004D59D6" w:rsidRDefault="004D59D6">
      <w:pPr>
        <w:pStyle w:val="FootnoteText"/>
      </w:pPr>
      <w:r>
        <w:rPr>
          <w:rStyle w:val="FootnoteReference"/>
        </w:rPr>
        <w:footnoteRef/>
      </w:r>
      <w:r>
        <w:t xml:space="preserve"> </w:t>
      </w:r>
      <w:proofErr w:type="spellStart"/>
      <w:proofErr w:type="gramStart"/>
      <w:r>
        <w:t>Alexkor</w:t>
      </w:r>
      <w:proofErr w:type="spellEnd"/>
      <w:r>
        <w:t xml:space="preserve">  para</w:t>
      </w:r>
      <w:proofErr w:type="gramEnd"/>
      <w:r>
        <w:t xml:space="preserve"> 9.</w:t>
      </w:r>
    </w:p>
  </w:footnote>
  <w:footnote w:id="23">
    <w:p w:rsidR="009F1C6C" w:rsidRDefault="009F1C6C">
      <w:pPr>
        <w:pStyle w:val="FootnoteText"/>
      </w:pPr>
      <w:r>
        <w:rPr>
          <w:rStyle w:val="FootnoteReference"/>
        </w:rPr>
        <w:footnoteRef/>
      </w:r>
      <w:r>
        <w:t xml:space="preserve"> </w:t>
      </w:r>
      <w:proofErr w:type="spellStart"/>
      <w:r>
        <w:t>Alexkor</w:t>
      </w:r>
      <w:proofErr w:type="spellEnd"/>
      <w:r>
        <w:t xml:space="preserve"> para 46.</w:t>
      </w:r>
    </w:p>
  </w:footnote>
  <w:footnote w:id="24">
    <w:p w:rsidR="00266171" w:rsidRDefault="00266171">
      <w:pPr>
        <w:pStyle w:val="FootnoteText"/>
      </w:pPr>
      <w:r>
        <w:rPr>
          <w:rStyle w:val="FootnoteReference"/>
        </w:rPr>
        <w:footnoteRef/>
      </w:r>
      <w:r>
        <w:t xml:space="preserve"> </w:t>
      </w:r>
      <w:proofErr w:type="spellStart"/>
      <w:r>
        <w:t>Alexkor</w:t>
      </w:r>
      <w:proofErr w:type="spellEnd"/>
      <w:r>
        <w:t xml:space="preserve"> para 82.</w:t>
      </w:r>
    </w:p>
  </w:footnote>
  <w:footnote w:id="25">
    <w:p w:rsidR="000171CA" w:rsidRDefault="000171CA">
      <w:pPr>
        <w:pStyle w:val="FootnoteText"/>
      </w:pPr>
      <w:r>
        <w:rPr>
          <w:rStyle w:val="FootnoteReference"/>
        </w:rPr>
        <w:footnoteRef/>
      </w:r>
      <w:r>
        <w:t xml:space="preserve"> Textbook page 120.</w:t>
      </w:r>
    </w:p>
  </w:footnote>
  <w:footnote w:id="26">
    <w:p w:rsidR="00F91449" w:rsidRDefault="00F91449" w:rsidP="00F91449">
      <w:pPr>
        <w:pStyle w:val="FootnoteText"/>
      </w:pPr>
      <w:r>
        <w:rPr>
          <w:rStyle w:val="FootnoteReference"/>
        </w:rPr>
        <w:footnoteRef/>
      </w:r>
      <w:r>
        <w:t xml:space="preserve"> </w:t>
      </w:r>
      <w:proofErr w:type="spellStart"/>
      <w:r w:rsidRPr="002E2D4C">
        <w:t>Ngwenyama</w:t>
      </w:r>
      <w:proofErr w:type="spellEnd"/>
      <w:r w:rsidRPr="002E2D4C">
        <w:t xml:space="preserve"> v </w:t>
      </w:r>
      <w:proofErr w:type="spellStart"/>
      <w:r w:rsidRPr="002E2D4C">
        <w:t>Mayelane</w:t>
      </w:r>
      <w:proofErr w:type="spellEnd"/>
      <w:r w:rsidRPr="002E2D4C">
        <w:t xml:space="preserve"> 2012 (10) BCLR 1071 (SCA) </w:t>
      </w:r>
      <w:r>
        <w:t>(herein referred to as ‘</w:t>
      </w:r>
      <w:proofErr w:type="spellStart"/>
      <w:r w:rsidRPr="002E2D4C">
        <w:t>Ngwenyama</w:t>
      </w:r>
      <w:proofErr w:type="spellEnd"/>
      <w:r>
        <w:t>’) para</w:t>
      </w:r>
      <w:r>
        <w:t xml:space="preserve"> 3.</w:t>
      </w:r>
    </w:p>
  </w:footnote>
  <w:footnote w:id="27">
    <w:p w:rsidR="006A6247" w:rsidRPr="00B22E21" w:rsidRDefault="006A6247" w:rsidP="00B22E21">
      <w:pPr>
        <w:pStyle w:val="Default"/>
        <w:rPr>
          <w:rFonts w:asciiTheme="minorHAnsi" w:hAnsiTheme="minorHAnsi" w:cstheme="minorBidi"/>
          <w:color w:val="auto"/>
          <w:sz w:val="20"/>
          <w:szCs w:val="20"/>
        </w:rPr>
      </w:pPr>
      <w:r>
        <w:rPr>
          <w:rStyle w:val="FootnoteReference"/>
        </w:rPr>
        <w:footnoteRef/>
      </w:r>
      <w:r>
        <w:t xml:space="preserve"> </w:t>
      </w:r>
      <w:proofErr w:type="spellStart"/>
      <w:r w:rsidRPr="002E2D4C">
        <w:rPr>
          <w:rFonts w:asciiTheme="minorHAnsi" w:hAnsiTheme="minorHAnsi" w:cstheme="minorBidi"/>
          <w:color w:val="auto"/>
          <w:sz w:val="20"/>
          <w:szCs w:val="20"/>
        </w:rPr>
        <w:t>Ngwenyama</w:t>
      </w:r>
      <w:proofErr w:type="spellEnd"/>
      <w:r>
        <w:rPr>
          <w:rFonts w:asciiTheme="minorHAnsi" w:hAnsiTheme="minorHAnsi" w:cstheme="minorBidi"/>
          <w:color w:val="auto"/>
          <w:sz w:val="20"/>
          <w:szCs w:val="20"/>
        </w:rPr>
        <w:t xml:space="preserve"> para 1, 5, 6.</w:t>
      </w:r>
    </w:p>
  </w:footnote>
  <w:footnote w:id="28">
    <w:p w:rsidR="006A6247" w:rsidRPr="00B22E21" w:rsidRDefault="006A6247">
      <w:pPr>
        <w:pStyle w:val="FootnoteText"/>
        <w:rPr>
          <w:lang w:val="en-US"/>
        </w:rPr>
      </w:pPr>
      <w:r>
        <w:rPr>
          <w:rStyle w:val="FootnoteReference"/>
        </w:rPr>
        <w:footnoteRef/>
      </w:r>
      <w:r>
        <w:t xml:space="preserve"> </w:t>
      </w:r>
      <w:proofErr w:type="spellStart"/>
      <w:r w:rsidRPr="002E2D4C">
        <w:t>Ngwenyama</w:t>
      </w:r>
      <w:proofErr w:type="spellEnd"/>
      <w:r>
        <w:t xml:space="preserve"> para 28.</w:t>
      </w:r>
    </w:p>
  </w:footnote>
  <w:footnote w:id="29">
    <w:p w:rsidR="006A6247" w:rsidRPr="00B84DDC" w:rsidRDefault="006A6247" w:rsidP="00500383">
      <w:pPr>
        <w:spacing w:after="0"/>
        <w:jc w:val="both"/>
        <w:rPr>
          <w:lang w:val="en-US"/>
        </w:rPr>
      </w:pPr>
      <w:r>
        <w:rPr>
          <w:rStyle w:val="FootnoteReference"/>
        </w:rPr>
        <w:footnoteRef/>
      </w:r>
      <w:r>
        <w:t xml:space="preserve"> </w:t>
      </w:r>
      <w:r w:rsidRPr="000E6E07">
        <w:rPr>
          <w:sz w:val="20"/>
          <w:szCs w:val="20"/>
        </w:rPr>
        <w:t>Recognition of patrimonial marriages act 120 of 1998</w:t>
      </w:r>
      <w:r>
        <w:t xml:space="preserve"> (hereafter referred to as ‘</w:t>
      </w:r>
      <w:r>
        <w:rPr>
          <w:lang w:val="en-US"/>
        </w:rPr>
        <w:t>RCMA’) S 3(1</w:t>
      </w:r>
      <w:proofErr w:type="gramStart"/>
      <w:r>
        <w:rPr>
          <w:lang w:val="en-US"/>
        </w:rPr>
        <w:t>)(</w:t>
      </w:r>
      <w:proofErr w:type="gramEnd"/>
      <w:r>
        <w:rPr>
          <w:lang w:val="en-US"/>
        </w:rPr>
        <w:t>a)(</w:t>
      </w:r>
      <w:proofErr w:type="spellStart"/>
      <w:r>
        <w:rPr>
          <w:lang w:val="en-US"/>
        </w:rPr>
        <w:t>i</w:t>
      </w:r>
      <w:proofErr w:type="spellEnd"/>
      <w:r>
        <w:rPr>
          <w:lang w:val="en-US"/>
        </w:rPr>
        <w:t>).</w:t>
      </w:r>
    </w:p>
  </w:footnote>
  <w:footnote w:id="30">
    <w:p w:rsidR="006A6247" w:rsidRPr="00500383" w:rsidRDefault="006A6247">
      <w:pPr>
        <w:pStyle w:val="FootnoteText"/>
        <w:rPr>
          <w:lang w:val="en-US"/>
        </w:rPr>
      </w:pPr>
      <w:r>
        <w:rPr>
          <w:rStyle w:val="FootnoteReference"/>
        </w:rPr>
        <w:footnoteRef/>
      </w:r>
      <w:r>
        <w:t xml:space="preserve"> </w:t>
      </w:r>
      <w:r>
        <w:rPr>
          <w:lang w:val="en-US"/>
        </w:rPr>
        <w:t>RCMA S 3(1</w:t>
      </w:r>
      <w:proofErr w:type="gramStart"/>
      <w:r>
        <w:rPr>
          <w:lang w:val="en-US"/>
        </w:rPr>
        <w:t>)(</w:t>
      </w:r>
      <w:proofErr w:type="gramEnd"/>
      <w:r>
        <w:rPr>
          <w:lang w:val="en-US"/>
        </w:rPr>
        <w:t>a)(ii).</w:t>
      </w:r>
    </w:p>
  </w:footnote>
  <w:footnote w:id="31">
    <w:p w:rsidR="006A6247" w:rsidRPr="001E1037" w:rsidRDefault="006A6247">
      <w:pPr>
        <w:pStyle w:val="FootnoteText"/>
        <w:rPr>
          <w:lang w:val="en-US"/>
        </w:rPr>
      </w:pPr>
      <w:r>
        <w:rPr>
          <w:rStyle w:val="FootnoteReference"/>
        </w:rPr>
        <w:footnoteRef/>
      </w:r>
      <w:r>
        <w:t xml:space="preserve"> </w:t>
      </w:r>
      <w:r>
        <w:rPr>
          <w:lang w:val="en-US"/>
        </w:rPr>
        <w:t>RCMA S 3(1</w:t>
      </w:r>
      <w:proofErr w:type="gramStart"/>
      <w:r>
        <w:rPr>
          <w:lang w:val="en-US"/>
        </w:rPr>
        <w:t>)(</w:t>
      </w:r>
      <w:proofErr w:type="gramEnd"/>
      <w:r>
        <w:rPr>
          <w:lang w:val="en-US"/>
        </w:rPr>
        <w:t>b).</w:t>
      </w:r>
    </w:p>
  </w:footnote>
  <w:footnote w:id="32">
    <w:p w:rsidR="006A6247" w:rsidRDefault="006A6247">
      <w:pPr>
        <w:pStyle w:val="FootnoteText"/>
      </w:pPr>
      <w:r>
        <w:rPr>
          <w:rStyle w:val="FootnoteReference"/>
        </w:rPr>
        <w:footnoteRef/>
      </w:r>
      <w:r>
        <w:t xml:space="preserve"> </w:t>
      </w:r>
      <w:proofErr w:type="spellStart"/>
      <w:r w:rsidRPr="002E2D4C">
        <w:t>Ngwenyama</w:t>
      </w:r>
      <w:proofErr w:type="spellEnd"/>
      <w:r>
        <w:t xml:space="preserve"> para 23, 37.</w:t>
      </w:r>
    </w:p>
  </w:footnote>
  <w:footnote w:id="33">
    <w:p w:rsidR="006A6247" w:rsidRDefault="006A6247">
      <w:pPr>
        <w:pStyle w:val="FootnoteText"/>
      </w:pPr>
      <w:r>
        <w:rPr>
          <w:rStyle w:val="FootnoteReference"/>
        </w:rPr>
        <w:footnoteRef/>
      </w:r>
      <w:r>
        <w:t xml:space="preserve"> </w:t>
      </w:r>
      <w:proofErr w:type="spellStart"/>
      <w:r w:rsidRPr="002E2D4C">
        <w:t>Ngwenyama</w:t>
      </w:r>
      <w:proofErr w:type="spellEnd"/>
      <w:r>
        <w:t xml:space="preserve"> para 37.</w:t>
      </w:r>
    </w:p>
  </w:footnote>
  <w:footnote w:id="34">
    <w:p w:rsidR="006A6247" w:rsidRDefault="006A6247">
      <w:pPr>
        <w:pStyle w:val="FootnoteText"/>
      </w:pPr>
      <w:r>
        <w:rPr>
          <w:rStyle w:val="FootnoteReference"/>
        </w:rPr>
        <w:footnoteRef/>
      </w:r>
      <w:r>
        <w:t xml:space="preserve"> </w:t>
      </w:r>
      <w:proofErr w:type="spellStart"/>
      <w:r w:rsidRPr="002E2D4C">
        <w:t>Ngwenyama</w:t>
      </w:r>
      <w:proofErr w:type="spellEnd"/>
      <w:r>
        <w:t xml:space="preserve"> para 37.</w:t>
      </w:r>
    </w:p>
  </w:footnote>
  <w:footnote w:id="35">
    <w:p w:rsidR="006A6247" w:rsidRPr="004F7548" w:rsidRDefault="006A6247">
      <w:pPr>
        <w:pStyle w:val="FootnoteText"/>
        <w:rPr>
          <w:lang w:val="en-US"/>
        </w:rPr>
      </w:pPr>
      <w:r>
        <w:rPr>
          <w:rStyle w:val="FootnoteReference"/>
        </w:rPr>
        <w:footnoteRef/>
      </w:r>
      <w:r>
        <w:t xml:space="preserve"> </w:t>
      </w:r>
      <w:proofErr w:type="spellStart"/>
      <w:r w:rsidRPr="002E2D4C">
        <w:t>Ngwenyama</w:t>
      </w:r>
      <w:proofErr w:type="spellEnd"/>
      <w:r>
        <w:t xml:space="preserve"> para 37.</w:t>
      </w:r>
    </w:p>
  </w:footnote>
  <w:footnote w:id="36">
    <w:p w:rsidR="00C11CB5" w:rsidRPr="00C11CB5" w:rsidRDefault="00C11CB5">
      <w:pPr>
        <w:pStyle w:val="FootnoteText"/>
        <w:rPr>
          <w:lang w:val="en-US"/>
        </w:rPr>
      </w:pPr>
      <w:r>
        <w:rPr>
          <w:rStyle w:val="FootnoteReference"/>
        </w:rPr>
        <w:footnoteRef/>
      </w:r>
      <w:r>
        <w:t xml:space="preserve"> </w:t>
      </w:r>
      <w:r>
        <w:rPr>
          <w:lang w:val="en-US"/>
        </w:rPr>
        <w:t>Textbook page 15, 177.</w:t>
      </w:r>
    </w:p>
  </w:footnote>
  <w:footnote w:id="37">
    <w:p w:rsidR="00991FC4" w:rsidRPr="00991FC4" w:rsidRDefault="00991FC4">
      <w:pPr>
        <w:pStyle w:val="FootnoteText"/>
        <w:rPr>
          <w:lang w:val="en-US"/>
        </w:rPr>
      </w:pPr>
      <w:r>
        <w:rPr>
          <w:rStyle w:val="FootnoteReference"/>
        </w:rPr>
        <w:footnoteRef/>
      </w:r>
      <w:r>
        <w:t xml:space="preserve"> </w:t>
      </w:r>
      <w:r>
        <w:rPr>
          <w:lang w:val="en-US"/>
        </w:rPr>
        <w:t>Textbook 75.</w:t>
      </w:r>
    </w:p>
  </w:footnote>
  <w:footnote w:id="38">
    <w:p w:rsidR="00E85EA6" w:rsidRPr="00E85EA6" w:rsidRDefault="00E85EA6">
      <w:pPr>
        <w:pStyle w:val="FootnoteText"/>
        <w:rPr>
          <w:lang w:val="en-US"/>
        </w:rPr>
      </w:pPr>
      <w:r>
        <w:rPr>
          <w:rStyle w:val="FootnoteReference"/>
        </w:rPr>
        <w:footnoteRef/>
      </w:r>
      <w:r>
        <w:t xml:space="preserve"> </w:t>
      </w:r>
      <w:r>
        <w:rPr>
          <w:lang w:val="en-US"/>
        </w:rPr>
        <w:t>Textbook page 67.</w:t>
      </w:r>
    </w:p>
  </w:footnote>
  <w:footnote w:id="39">
    <w:p w:rsidR="005F7FC5" w:rsidRPr="005F7FC5" w:rsidRDefault="005F7FC5">
      <w:pPr>
        <w:pStyle w:val="FootnoteText"/>
        <w:rPr>
          <w:lang w:val="en-US"/>
        </w:rPr>
      </w:pPr>
      <w:r>
        <w:rPr>
          <w:rStyle w:val="FootnoteReference"/>
        </w:rPr>
        <w:footnoteRef/>
      </w:r>
      <w:r>
        <w:t xml:space="preserve"> </w:t>
      </w:r>
      <w:proofErr w:type="spellStart"/>
      <w:r>
        <w:rPr>
          <w:lang w:val="en-US"/>
        </w:rPr>
        <w:t>Maluleke</w:t>
      </w:r>
      <w:proofErr w:type="spellEnd"/>
      <w:r>
        <w:rPr>
          <w:lang w:val="en-US"/>
        </w:rPr>
        <w:t xml:space="preserve"> para 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1915B4D"/>
    <w:multiLevelType w:val="hybridMultilevel"/>
    <w:tmpl w:val="B80973D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308815"/>
    <w:multiLevelType w:val="hybridMultilevel"/>
    <w:tmpl w:val="9D5B66B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9550C2"/>
    <w:multiLevelType w:val="hybridMultilevel"/>
    <w:tmpl w:val="C896AF7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98224FE"/>
    <w:multiLevelType w:val="hybridMultilevel"/>
    <w:tmpl w:val="25A02FA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B56640E"/>
    <w:multiLevelType w:val="hybridMultilevel"/>
    <w:tmpl w:val="9D74132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7D973F1"/>
    <w:multiLevelType w:val="hybridMultilevel"/>
    <w:tmpl w:val="6EBA46F6"/>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FD40A0B"/>
    <w:multiLevelType w:val="hybridMultilevel"/>
    <w:tmpl w:val="F2B6F0A8"/>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7" w15:restartNumberingAfterBreak="0">
    <w:nsid w:val="35C08C56"/>
    <w:multiLevelType w:val="hybridMultilevel"/>
    <w:tmpl w:val="2709B1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3506C75"/>
    <w:multiLevelType w:val="hybridMultilevel"/>
    <w:tmpl w:val="3477F85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99A4FC2"/>
    <w:multiLevelType w:val="hybridMultilevel"/>
    <w:tmpl w:val="1430C5E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15:restartNumberingAfterBreak="0">
    <w:nsid w:val="4A5D1A4E"/>
    <w:multiLevelType w:val="hybridMultilevel"/>
    <w:tmpl w:val="913665E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15:restartNumberingAfterBreak="0">
    <w:nsid w:val="5BF05986"/>
    <w:multiLevelType w:val="hybridMultilevel"/>
    <w:tmpl w:val="D7CADAA8"/>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6004C4D"/>
    <w:multiLevelType w:val="hybridMultilevel"/>
    <w:tmpl w:val="1C52FC38"/>
    <w:lvl w:ilvl="0" w:tplc="1C090001">
      <w:start w:val="1"/>
      <w:numFmt w:val="bullet"/>
      <w:lvlText w:val=""/>
      <w:lvlJc w:val="left"/>
      <w:pPr>
        <w:ind w:left="2232" w:hanging="360"/>
      </w:pPr>
      <w:rPr>
        <w:rFonts w:ascii="Symbol" w:hAnsi="Symbol" w:hint="default"/>
      </w:rPr>
    </w:lvl>
    <w:lvl w:ilvl="1" w:tplc="1C090003" w:tentative="1">
      <w:start w:val="1"/>
      <w:numFmt w:val="bullet"/>
      <w:lvlText w:val="o"/>
      <w:lvlJc w:val="left"/>
      <w:pPr>
        <w:ind w:left="2952" w:hanging="360"/>
      </w:pPr>
      <w:rPr>
        <w:rFonts w:ascii="Courier New" w:hAnsi="Courier New" w:cs="Courier New" w:hint="default"/>
      </w:rPr>
    </w:lvl>
    <w:lvl w:ilvl="2" w:tplc="1C090005" w:tentative="1">
      <w:start w:val="1"/>
      <w:numFmt w:val="bullet"/>
      <w:lvlText w:val=""/>
      <w:lvlJc w:val="left"/>
      <w:pPr>
        <w:ind w:left="3672" w:hanging="360"/>
      </w:pPr>
      <w:rPr>
        <w:rFonts w:ascii="Wingdings" w:hAnsi="Wingdings" w:hint="default"/>
      </w:rPr>
    </w:lvl>
    <w:lvl w:ilvl="3" w:tplc="1C090001" w:tentative="1">
      <w:start w:val="1"/>
      <w:numFmt w:val="bullet"/>
      <w:lvlText w:val=""/>
      <w:lvlJc w:val="left"/>
      <w:pPr>
        <w:ind w:left="4392" w:hanging="360"/>
      </w:pPr>
      <w:rPr>
        <w:rFonts w:ascii="Symbol" w:hAnsi="Symbol" w:hint="default"/>
      </w:rPr>
    </w:lvl>
    <w:lvl w:ilvl="4" w:tplc="1C090003" w:tentative="1">
      <w:start w:val="1"/>
      <w:numFmt w:val="bullet"/>
      <w:lvlText w:val="o"/>
      <w:lvlJc w:val="left"/>
      <w:pPr>
        <w:ind w:left="5112" w:hanging="360"/>
      </w:pPr>
      <w:rPr>
        <w:rFonts w:ascii="Courier New" w:hAnsi="Courier New" w:cs="Courier New" w:hint="default"/>
      </w:rPr>
    </w:lvl>
    <w:lvl w:ilvl="5" w:tplc="1C090005" w:tentative="1">
      <w:start w:val="1"/>
      <w:numFmt w:val="bullet"/>
      <w:lvlText w:val=""/>
      <w:lvlJc w:val="left"/>
      <w:pPr>
        <w:ind w:left="5832" w:hanging="360"/>
      </w:pPr>
      <w:rPr>
        <w:rFonts w:ascii="Wingdings" w:hAnsi="Wingdings" w:hint="default"/>
      </w:rPr>
    </w:lvl>
    <w:lvl w:ilvl="6" w:tplc="1C090001" w:tentative="1">
      <w:start w:val="1"/>
      <w:numFmt w:val="bullet"/>
      <w:lvlText w:val=""/>
      <w:lvlJc w:val="left"/>
      <w:pPr>
        <w:ind w:left="6552" w:hanging="360"/>
      </w:pPr>
      <w:rPr>
        <w:rFonts w:ascii="Symbol" w:hAnsi="Symbol" w:hint="default"/>
      </w:rPr>
    </w:lvl>
    <w:lvl w:ilvl="7" w:tplc="1C090003" w:tentative="1">
      <w:start w:val="1"/>
      <w:numFmt w:val="bullet"/>
      <w:lvlText w:val="o"/>
      <w:lvlJc w:val="left"/>
      <w:pPr>
        <w:ind w:left="7272" w:hanging="360"/>
      </w:pPr>
      <w:rPr>
        <w:rFonts w:ascii="Courier New" w:hAnsi="Courier New" w:cs="Courier New" w:hint="default"/>
      </w:rPr>
    </w:lvl>
    <w:lvl w:ilvl="8" w:tplc="1C090005" w:tentative="1">
      <w:start w:val="1"/>
      <w:numFmt w:val="bullet"/>
      <w:lvlText w:val=""/>
      <w:lvlJc w:val="left"/>
      <w:pPr>
        <w:ind w:left="7992" w:hanging="360"/>
      </w:pPr>
      <w:rPr>
        <w:rFonts w:ascii="Wingdings" w:hAnsi="Wingdings" w:hint="default"/>
      </w:rPr>
    </w:lvl>
  </w:abstractNum>
  <w:abstractNum w:abstractNumId="13" w15:restartNumberingAfterBreak="0">
    <w:nsid w:val="6D9948B9"/>
    <w:multiLevelType w:val="hybridMultilevel"/>
    <w:tmpl w:val="D7CADAA8"/>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F8D296C"/>
    <w:multiLevelType w:val="hybridMultilevel"/>
    <w:tmpl w:val="ABE9454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5"/>
  </w:num>
  <w:num w:numId="3">
    <w:abstractNumId w:val="4"/>
  </w:num>
  <w:num w:numId="4">
    <w:abstractNumId w:val="7"/>
  </w:num>
  <w:num w:numId="5">
    <w:abstractNumId w:val="0"/>
  </w:num>
  <w:num w:numId="6">
    <w:abstractNumId w:val="14"/>
  </w:num>
  <w:num w:numId="7">
    <w:abstractNumId w:val="3"/>
  </w:num>
  <w:num w:numId="8">
    <w:abstractNumId w:val="13"/>
  </w:num>
  <w:num w:numId="9">
    <w:abstractNumId w:val="1"/>
  </w:num>
  <w:num w:numId="10">
    <w:abstractNumId w:val="8"/>
  </w:num>
  <w:num w:numId="11">
    <w:abstractNumId w:val="12"/>
  </w:num>
  <w:num w:numId="12">
    <w:abstractNumId w:val="10"/>
  </w:num>
  <w:num w:numId="13">
    <w:abstractNumId w:val="6"/>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67"/>
    <w:rsid w:val="00004B01"/>
    <w:rsid w:val="000171CA"/>
    <w:rsid w:val="000254D5"/>
    <w:rsid w:val="00026DB6"/>
    <w:rsid w:val="00034D58"/>
    <w:rsid w:val="0003545E"/>
    <w:rsid w:val="000405FD"/>
    <w:rsid w:val="00065505"/>
    <w:rsid w:val="00070329"/>
    <w:rsid w:val="0007688B"/>
    <w:rsid w:val="000865E8"/>
    <w:rsid w:val="00086CBF"/>
    <w:rsid w:val="00094C7B"/>
    <w:rsid w:val="000A2E04"/>
    <w:rsid w:val="000B0F01"/>
    <w:rsid w:val="000D130D"/>
    <w:rsid w:val="000D5858"/>
    <w:rsid w:val="000E6E07"/>
    <w:rsid w:val="00113F50"/>
    <w:rsid w:val="0011431B"/>
    <w:rsid w:val="001208B7"/>
    <w:rsid w:val="00124280"/>
    <w:rsid w:val="00147654"/>
    <w:rsid w:val="0016404B"/>
    <w:rsid w:val="001776A4"/>
    <w:rsid w:val="0018470B"/>
    <w:rsid w:val="00194BE2"/>
    <w:rsid w:val="001A1688"/>
    <w:rsid w:val="001B3AD8"/>
    <w:rsid w:val="001B55CE"/>
    <w:rsid w:val="001C572E"/>
    <w:rsid w:val="001C6442"/>
    <w:rsid w:val="001E1037"/>
    <w:rsid w:val="001F25CD"/>
    <w:rsid w:val="001F2B55"/>
    <w:rsid w:val="001F61A9"/>
    <w:rsid w:val="00201D55"/>
    <w:rsid w:val="00216F98"/>
    <w:rsid w:val="00224B45"/>
    <w:rsid w:val="00231A34"/>
    <w:rsid w:val="00232564"/>
    <w:rsid w:val="002372FB"/>
    <w:rsid w:val="00266171"/>
    <w:rsid w:val="00277582"/>
    <w:rsid w:val="0028109E"/>
    <w:rsid w:val="00291A63"/>
    <w:rsid w:val="0029709E"/>
    <w:rsid w:val="002A0D40"/>
    <w:rsid w:val="002A3343"/>
    <w:rsid w:val="002E2149"/>
    <w:rsid w:val="002E2D4C"/>
    <w:rsid w:val="002F1496"/>
    <w:rsid w:val="002F219E"/>
    <w:rsid w:val="00302DD1"/>
    <w:rsid w:val="003057AC"/>
    <w:rsid w:val="00307981"/>
    <w:rsid w:val="00340410"/>
    <w:rsid w:val="0037314E"/>
    <w:rsid w:val="0037414A"/>
    <w:rsid w:val="00385B7B"/>
    <w:rsid w:val="003879E0"/>
    <w:rsid w:val="003962E5"/>
    <w:rsid w:val="003B0641"/>
    <w:rsid w:val="003B4B9D"/>
    <w:rsid w:val="003C009D"/>
    <w:rsid w:val="003D0B2C"/>
    <w:rsid w:val="003D74B7"/>
    <w:rsid w:val="003E079B"/>
    <w:rsid w:val="003E132B"/>
    <w:rsid w:val="003E29B7"/>
    <w:rsid w:val="003F3A9A"/>
    <w:rsid w:val="003F3F92"/>
    <w:rsid w:val="00417321"/>
    <w:rsid w:val="00425CFE"/>
    <w:rsid w:val="004320E8"/>
    <w:rsid w:val="004333C2"/>
    <w:rsid w:val="00455A20"/>
    <w:rsid w:val="00460E24"/>
    <w:rsid w:val="004758ED"/>
    <w:rsid w:val="00495773"/>
    <w:rsid w:val="004A5398"/>
    <w:rsid w:val="004B301A"/>
    <w:rsid w:val="004B7BCE"/>
    <w:rsid w:val="004C3093"/>
    <w:rsid w:val="004D59D6"/>
    <w:rsid w:val="004E5C30"/>
    <w:rsid w:val="004E6F92"/>
    <w:rsid w:val="004F3F05"/>
    <w:rsid w:val="004F7548"/>
    <w:rsid w:val="004F7CBB"/>
    <w:rsid w:val="00500383"/>
    <w:rsid w:val="005061FF"/>
    <w:rsid w:val="005071E9"/>
    <w:rsid w:val="0051204B"/>
    <w:rsid w:val="005167E0"/>
    <w:rsid w:val="00536504"/>
    <w:rsid w:val="00542971"/>
    <w:rsid w:val="00547D42"/>
    <w:rsid w:val="00555BE4"/>
    <w:rsid w:val="00563110"/>
    <w:rsid w:val="00574A74"/>
    <w:rsid w:val="00583A48"/>
    <w:rsid w:val="0058514A"/>
    <w:rsid w:val="005C189C"/>
    <w:rsid w:val="005F7FC5"/>
    <w:rsid w:val="00622234"/>
    <w:rsid w:val="00632CC2"/>
    <w:rsid w:val="00632F40"/>
    <w:rsid w:val="006520EA"/>
    <w:rsid w:val="00654F67"/>
    <w:rsid w:val="006570F0"/>
    <w:rsid w:val="00666DF2"/>
    <w:rsid w:val="00695583"/>
    <w:rsid w:val="006A6247"/>
    <w:rsid w:val="006B5491"/>
    <w:rsid w:val="006C3E9A"/>
    <w:rsid w:val="006C4A1D"/>
    <w:rsid w:val="006C69C3"/>
    <w:rsid w:val="006F3400"/>
    <w:rsid w:val="006F446B"/>
    <w:rsid w:val="006F5E0B"/>
    <w:rsid w:val="006F70A1"/>
    <w:rsid w:val="00700F15"/>
    <w:rsid w:val="007016B9"/>
    <w:rsid w:val="0070189F"/>
    <w:rsid w:val="00703F4B"/>
    <w:rsid w:val="007203D4"/>
    <w:rsid w:val="007225CE"/>
    <w:rsid w:val="00725D46"/>
    <w:rsid w:val="00741A3F"/>
    <w:rsid w:val="00750159"/>
    <w:rsid w:val="0077204F"/>
    <w:rsid w:val="007721CE"/>
    <w:rsid w:val="00782431"/>
    <w:rsid w:val="00782CE8"/>
    <w:rsid w:val="007A6FC1"/>
    <w:rsid w:val="007B5C61"/>
    <w:rsid w:val="007C5D4D"/>
    <w:rsid w:val="007D1096"/>
    <w:rsid w:val="007F3A18"/>
    <w:rsid w:val="007F5F4F"/>
    <w:rsid w:val="00801318"/>
    <w:rsid w:val="008119C3"/>
    <w:rsid w:val="0081628D"/>
    <w:rsid w:val="00817DE3"/>
    <w:rsid w:val="00846BCA"/>
    <w:rsid w:val="00850341"/>
    <w:rsid w:val="0086643B"/>
    <w:rsid w:val="00870B09"/>
    <w:rsid w:val="00887AF9"/>
    <w:rsid w:val="00895BC6"/>
    <w:rsid w:val="008B7079"/>
    <w:rsid w:val="008C1B1C"/>
    <w:rsid w:val="008D6560"/>
    <w:rsid w:val="008D7D3D"/>
    <w:rsid w:val="008F4671"/>
    <w:rsid w:val="008F548F"/>
    <w:rsid w:val="009074A6"/>
    <w:rsid w:val="00907794"/>
    <w:rsid w:val="009134A1"/>
    <w:rsid w:val="00925EE6"/>
    <w:rsid w:val="009375F2"/>
    <w:rsid w:val="00951A02"/>
    <w:rsid w:val="00951B9F"/>
    <w:rsid w:val="00956328"/>
    <w:rsid w:val="00957F92"/>
    <w:rsid w:val="009740C3"/>
    <w:rsid w:val="00991FC4"/>
    <w:rsid w:val="00994C7A"/>
    <w:rsid w:val="009B1103"/>
    <w:rsid w:val="009B4A72"/>
    <w:rsid w:val="009C1EB3"/>
    <w:rsid w:val="009C5F22"/>
    <w:rsid w:val="009D0FE5"/>
    <w:rsid w:val="009D3B5C"/>
    <w:rsid w:val="009D6FE0"/>
    <w:rsid w:val="009F1C6C"/>
    <w:rsid w:val="00A01F85"/>
    <w:rsid w:val="00A02840"/>
    <w:rsid w:val="00A063EF"/>
    <w:rsid w:val="00A17D65"/>
    <w:rsid w:val="00A31355"/>
    <w:rsid w:val="00A86B99"/>
    <w:rsid w:val="00A94EBA"/>
    <w:rsid w:val="00A96D5B"/>
    <w:rsid w:val="00A970DD"/>
    <w:rsid w:val="00AD5D68"/>
    <w:rsid w:val="00AD6806"/>
    <w:rsid w:val="00AE5378"/>
    <w:rsid w:val="00AF1D54"/>
    <w:rsid w:val="00B22E21"/>
    <w:rsid w:val="00B303F5"/>
    <w:rsid w:val="00B40D39"/>
    <w:rsid w:val="00B51725"/>
    <w:rsid w:val="00B67163"/>
    <w:rsid w:val="00B84D4C"/>
    <w:rsid w:val="00B84DDC"/>
    <w:rsid w:val="00BA1AA7"/>
    <w:rsid w:val="00BA3E94"/>
    <w:rsid w:val="00BB4E40"/>
    <w:rsid w:val="00BB7AF9"/>
    <w:rsid w:val="00BC1D63"/>
    <w:rsid w:val="00BD25E8"/>
    <w:rsid w:val="00BE6724"/>
    <w:rsid w:val="00BF121C"/>
    <w:rsid w:val="00C05007"/>
    <w:rsid w:val="00C076DB"/>
    <w:rsid w:val="00C102BC"/>
    <w:rsid w:val="00C11CB5"/>
    <w:rsid w:val="00C16B07"/>
    <w:rsid w:val="00C47B1E"/>
    <w:rsid w:val="00C53FA5"/>
    <w:rsid w:val="00C57130"/>
    <w:rsid w:val="00C6385F"/>
    <w:rsid w:val="00C72D16"/>
    <w:rsid w:val="00C77183"/>
    <w:rsid w:val="00CA2C61"/>
    <w:rsid w:val="00CA785C"/>
    <w:rsid w:val="00CB2681"/>
    <w:rsid w:val="00CC6B19"/>
    <w:rsid w:val="00D02CA4"/>
    <w:rsid w:val="00D1736F"/>
    <w:rsid w:val="00D2119B"/>
    <w:rsid w:val="00D46744"/>
    <w:rsid w:val="00D46EDC"/>
    <w:rsid w:val="00D62F89"/>
    <w:rsid w:val="00D662DA"/>
    <w:rsid w:val="00D70BAC"/>
    <w:rsid w:val="00D77270"/>
    <w:rsid w:val="00D91539"/>
    <w:rsid w:val="00DA3295"/>
    <w:rsid w:val="00DD7A6F"/>
    <w:rsid w:val="00DE2B63"/>
    <w:rsid w:val="00DE5610"/>
    <w:rsid w:val="00DE6741"/>
    <w:rsid w:val="00E01C70"/>
    <w:rsid w:val="00E02CF6"/>
    <w:rsid w:val="00E04BA2"/>
    <w:rsid w:val="00E05FC0"/>
    <w:rsid w:val="00E234A6"/>
    <w:rsid w:val="00E23C1C"/>
    <w:rsid w:val="00E33673"/>
    <w:rsid w:val="00E33ADA"/>
    <w:rsid w:val="00E33F56"/>
    <w:rsid w:val="00E37128"/>
    <w:rsid w:val="00E43910"/>
    <w:rsid w:val="00E616A1"/>
    <w:rsid w:val="00E632B5"/>
    <w:rsid w:val="00E85EA6"/>
    <w:rsid w:val="00E87962"/>
    <w:rsid w:val="00EA374E"/>
    <w:rsid w:val="00EA6B1C"/>
    <w:rsid w:val="00EC7931"/>
    <w:rsid w:val="00EE6237"/>
    <w:rsid w:val="00EF0C11"/>
    <w:rsid w:val="00EF0DAD"/>
    <w:rsid w:val="00EF2DA0"/>
    <w:rsid w:val="00F11592"/>
    <w:rsid w:val="00F2017D"/>
    <w:rsid w:val="00F26B0F"/>
    <w:rsid w:val="00F26D1E"/>
    <w:rsid w:val="00F34124"/>
    <w:rsid w:val="00F456A6"/>
    <w:rsid w:val="00F54BFE"/>
    <w:rsid w:val="00F55DA7"/>
    <w:rsid w:val="00F802AA"/>
    <w:rsid w:val="00F90443"/>
    <w:rsid w:val="00F91449"/>
    <w:rsid w:val="00FC2280"/>
    <w:rsid w:val="00FC4093"/>
    <w:rsid w:val="00FC4ABB"/>
    <w:rsid w:val="00FE136E"/>
    <w:rsid w:val="00FE7462"/>
    <w:rsid w:val="00FF1236"/>
    <w:rsid w:val="00FF15E8"/>
    <w:rsid w:val="00FF25AD"/>
    <w:rsid w:val="00FF3E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D64D"/>
  <w15:chartTrackingRefBased/>
  <w15:docId w15:val="{7D5FDA62-0129-4F8C-B81C-45EA0ECF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4B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703F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5491"/>
    <w:pPr>
      <w:ind w:left="720"/>
      <w:contextualSpacing/>
    </w:pPr>
  </w:style>
  <w:style w:type="paragraph" w:styleId="Header">
    <w:name w:val="header"/>
    <w:basedOn w:val="Normal"/>
    <w:link w:val="HeaderChar"/>
    <w:uiPriority w:val="99"/>
    <w:unhideWhenUsed/>
    <w:rsid w:val="00FF3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ECF"/>
  </w:style>
  <w:style w:type="paragraph" w:styleId="Footer">
    <w:name w:val="footer"/>
    <w:basedOn w:val="Normal"/>
    <w:link w:val="FooterChar"/>
    <w:uiPriority w:val="99"/>
    <w:unhideWhenUsed/>
    <w:rsid w:val="00FF3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ECF"/>
  </w:style>
  <w:style w:type="paragraph" w:styleId="TOCHeading">
    <w:name w:val="TOC Heading"/>
    <w:basedOn w:val="Heading1"/>
    <w:next w:val="Normal"/>
    <w:uiPriority w:val="39"/>
    <w:unhideWhenUsed/>
    <w:qFormat/>
    <w:rsid w:val="00FF3ECF"/>
    <w:pPr>
      <w:outlineLvl w:val="9"/>
    </w:pPr>
    <w:rPr>
      <w:lang w:val="en-US"/>
    </w:rPr>
  </w:style>
  <w:style w:type="paragraph" w:styleId="TOC1">
    <w:name w:val="toc 1"/>
    <w:basedOn w:val="Normal"/>
    <w:next w:val="Normal"/>
    <w:autoRedefine/>
    <w:uiPriority w:val="39"/>
    <w:unhideWhenUsed/>
    <w:rsid w:val="00FF3ECF"/>
    <w:pPr>
      <w:spacing w:after="100"/>
    </w:pPr>
  </w:style>
  <w:style w:type="paragraph" w:styleId="TOC2">
    <w:name w:val="toc 2"/>
    <w:basedOn w:val="Normal"/>
    <w:next w:val="Normal"/>
    <w:autoRedefine/>
    <w:uiPriority w:val="39"/>
    <w:unhideWhenUsed/>
    <w:rsid w:val="00FF3ECF"/>
    <w:pPr>
      <w:spacing w:after="100"/>
      <w:ind w:left="220"/>
    </w:pPr>
  </w:style>
  <w:style w:type="character" w:styleId="Hyperlink">
    <w:name w:val="Hyperlink"/>
    <w:basedOn w:val="DefaultParagraphFont"/>
    <w:uiPriority w:val="99"/>
    <w:unhideWhenUsed/>
    <w:rsid w:val="00FF3ECF"/>
    <w:rPr>
      <w:color w:val="0563C1" w:themeColor="hyperlink"/>
      <w:u w:val="single"/>
    </w:rPr>
  </w:style>
  <w:style w:type="paragraph" w:styleId="FootnoteText">
    <w:name w:val="footnote text"/>
    <w:basedOn w:val="Normal"/>
    <w:link w:val="FootnoteTextChar"/>
    <w:uiPriority w:val="99"/>
    <w:semiHidden/>
    <w:unhideWhenUsed/>
    <w:rsid w:val="002E2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2D4C"/>
    <w:rPr>
      <w:sz w:val="20"/>
      <w:szCs w:val="20"/>
    </w:rPr>
  </w:style>
  <w:style w:type="character" w:styleId="FootnoteReference">
    <w:name w:val="footnote reference"/>
    <w:basedOn w:val="DefaultParagraphFont"/>
    <w:uiPriority w:val="99"/>
    <w:semiHidden/>
    <w:unhideWhenUsed/>
    <w:rsid w:val="002E2D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7F7D7-0308-4EB2-ABCB-E642178A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11</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dc:creator>
  <cp:keywords/>
  <dc:description/>
  <cp:lastModifiedBy>Mpumelelo</cp:lastModifiedBy>
  <cp:revision>177</cp:revision>
  <dcterms:created xsi:type="dcterms:W3CDTF">2020-11-24T13:28:00Z</dcterms:created>
  <dcterms:modified xsi:type="dcterms:W3CDTF">2020-11-25T18:57:00Z</dcterms:modified>
</cp:coreProperties>
</file>