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602" w:rsidRDefault="005F5398" w:rsidP="00D355DE">
      <w:pPr>
        <w:spacing w:line="240" w:lineRule="auto"/>
        <w:jc w:val="both"/>
        <w:rPr>
          <w:rFonts w:ascii="Arial" w:hAnsi="Arial" w:cs="Arial"/>
          <w:sz w:val="24"/>
          <w:szCs w:val="24"/>
          <w:lang w:val="en-US"/>
        </w:rPr>
      </w:pPr>
      <w:r w:rsidRPr="005F5398">
        <w:rPr>
          <w:rFonts w:ascii="Arial" w:hAnsi="Arial" w:cs="Arial"/>
          <w:b/>
          <w:sz w:val="24"/>
          <w:szCs w:val="24"/>
          <w:lang w:val="en-US"/>
        </w:rPr>
        <w:t>Name:</w:t>
      </w:r>
      <w:r w:rsidRPr="005F5398">
        <w:rPr>
          <w:rFonts w:ascii="Arial" w:hAnsi="Arial" w:cs="Arial"/>
          <w:sz w:val="24"/>
          <w:szCs w:val="24"/>
          <w:lang w:val="en-US"/>
        </w:rPr>
        <w:t xml:space="preserve"> Mpumelelo </w:t>
      </w:r>
      <w:proofErr w:type="spellStart"/>
      <w:r>
        <w:rPr>
          <w:rFonts w:ascii="Arial" w:hAnsi="Arial" w:cs="Arial"/>
          <w:sz w:val="24"/>
          <w:szCs w:val="24"/>
          <w:lang w:val="en-US"/>
        </w:rPr>
        <w:t>Hlongwane</w:t>
      </w:r>
      <w:proofErr w:type="spellEnd"/>
      <w:r>
        <w:rPr>
          <w:rFonts w:ascii="Arial" w:hAnsi="Arial" w:cs="Arial"/>
          <w:sz w:val="24"/>
          <w:szCs w:val="24"/>
          <w:lang w:val="en-US"/>
        </w:rPr>
        <w:t xml:space="preserve"> (8510016038085)</w:t>
      </w:r>
    </w:p>
    <w:p w:rsidR="005F5398" w:rsidRDefault="005F5398" w:rsidP="00D355DE">
      <w:pPr>
        <w:spacing w:line="240" w:lineRule="auto"/>
        <w:jc w:val="both"/>
        <w:rPr>
          <w:rFonts w:ascii="Arial" w:hAnsi="Arial" w:cs="Arial"/>
          <w:sz w:val="24"/>
          <w:szCs w:val="24"/>
          <w:lang w:val="en-US"/>
        </w:rPr>
      </w:pPr>
      <w:r w:rsidRPr="005F5398">
        <w:rPr>
          <w:rFonts w:ascii="Arial" w:hAnsi="Arial" w:cs="Arial"/>
          <w:b/>
          <w:sz w:val="24"/>
          <w:szCs w:val="24"/>
          <w:lang w:val="en-US"/>
        </w:rPr>
        <w:t>Student No.</w:t>
      </w:r>
      <w:r>
        <w:rPr>
          <w:rFonts w:ascii="Arial" w:hAnsi="Arial" w:cs="Arial"/>
          <w:sz w:val="24"/>
          <w:szCs w:val="24"/>
          <w:lang w:val="en-US"/>
        </w:rPr>
        <w:t xml:space="preserve"> 45511209</w:t>
      </w:r>
    </w:p>
    <w:p w:rsidR="005F5398" w:rsidRDefault="005F5398" w:rsidP="00D355DE">
      <w:pPr>
        <w:spacing w:line="240" w:lineRule="auto"/>
        <w:jc w:val="both"/>
        <w:rPr>
          <w:rFonts w:ascii="Arial" w:hAnsi="Arial" w:cs="Arial"/>
          <w:sz w:val="24"/>
          <w:szCs w:val="24"/>
          <w:lang w:val="en-US"/>
        </w:rPr>
      </w:pPr>
      <w:r w:rsidRPr="005F5398">
        <w:rPr>
          <w:rFonts w:ascii="Arial" w:hAnsi="Arial" w:cs="Arial"/>
          <w:b/>
          <w:sz w:val="24"/>
          <w:szCs w:val="24"/>
          <w:lang w:val="en-US"/>
        </w:rPr>
        <w:t>Module name:</w:t>
      </w:r>
      <w:r>
        <w:rPr>
          <w:rFonts w:ascii="Arial" w:hAnsi="Arial" w:cs="Arial"/>
          <w:sz w:val="24"/>
          <w:szCs w:val="24"/>
          <w:lang w:val="en-US"/>
        </w:rPr>
        <w:t xml:space="preserve"> Professional Ethics </w:t>
      </w:r>
    </w:p>
    <w:p w:rsidR="005F5398" w:rsidRDefault="005F5398" w:rsidP="00D355DE">
      <w:pPr>
        <w:spacing w:line="240" w:lineRule="auto"/>
        <w:jc w:val="both"/>
        <w:rPr>
          <w:rFonts w:ascii="Arial" w:hAnsi="Arial" w:cs="Arial"/>
          <w:sz w:val="24"/>
          <w:szCs w:val="24"/>
          <w:lang w:val="en-US"/>
        </w:rPr>
      </w:pPr>
      <w:r w:rsidRPr="005F5398">
        <w:rPr>
          <w:rFonts w:ascii="Arial" w:hAnsi="Arial" w:cs="Arial"/>
          <w:b/>
          <w:sz w:val="24"/>
          <w:szCs w:val="24"/>
          <w:lang w:val="en-US"/>
        </w:rPr>
        <w:t>Module code:</w:t>
      </w:r>
      <w:r>
        <w:rPr>
          <w:rFonts w:ascii="Arial" w:hAnsi="Arial" w:cs="Arial"/>
          <w:sz w:val="24"/>
          <w:szCs w:val="24"/>
          <w:lang w:val="en-US"/>
        </w:rPr>
        <w:t xml:space="preserve"> LJU4802</w:t>
      </w: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sz w:val="24"/>
          <w:szCs w:val="24"/>
          <w:lang w:val="en-US"/>
        </w:rPr>
      </w:pPr>
    </w:p>
    <w:p w:rsidR="005F5398" w:rsidRDefault="005F5398" w:rsidP="00D355DE">
      <w:pPr>
        <w:spacing w:line="240" w:lineRule="auto"/>
        <w:jc w:val="both"/>
        <w:rPr>
          <w:rFonts w:ascii="Arial" w:hAnsi="Arial" w:cs="Arial"/>
          <w:b/>
          <w:sz w:val="24"/>
          <w:szCs w:val="24"/>
          <w:lang w:val="en-US"/>
        </w:rPr>
      </w:pPr>
      <w:r w:rsidRPr="005F5398">
        <w:rPr>
          <w:rFonts w:ascii="Arial" w:hAnsi="Arial" w:cs="Arial"/>
          <w:b/>
          <w:sz w:val="24"/>
          <w:szCs w:val="24"/>
          <w:lang w:val="en-US"/>
        </w:rPr>
        <w:lastRenderedPageBreak/>
        <w:t xml:space="preserve">Question 1 </w:t>
      </w:r>
    </w:p>
    <w:p w:rsidR="00DF03AD" w:rsidRDefault="00DF03AD" w:rsidP="00D355DE">
      <w:pPr>
        <w:spacing w:line="240" w:lineRule="auto"/>
        <w:jc w:val="both"/>
        <w:rPr>
          <w:rFonts w:ascii="Arial" w:hAnsi="Arial" w:cs="Arial"/>
          <w:sz w:val="24"/>
          <w:szCs w:val="24"/>
          <w:lang w:val="en-US"/>
        </w:rPr>
      </w:pPr>
      <w:r>
        <w:rPr>
          <w:rFonts w:ascii="Arial" w:hAnsi="Arial" w:cs="Arial"/>
          <w:sz w:val="24"/>
          <w:szCs w:val="24"/>
          <w:lang w:val="en-US"/>
        </w:rPr>
        <w:t xml:space="preserve">There is a </w:t>
      </w:r>
      <w:r w:rsidR="0012496D">
        <w:rPr>
          <w:rFonts w:ascii="Arial" w:hAnsi="Arial" w:cs="Arial"/>
          <w:sz w:val="24"/>
          <w:szCs w:val="24"/>
          <w:lang w:val="en-US"/>
        </w:rPr>
        <w:t>Theoretical</w:t>
      </w:r>
      <w:r>
        <w:rPr>
          <w:rFonts w:ascii="Arial" w:hAnsi="Arial" w:cs="Arial"/>
          <w:sz w:val="24"/>
          <w:szCs w:val="24"/>
          <w:lang w:val="en-US"/>
        </w:rPr>
        <w:t xml:space="preserve"> idea that there is a </w:t>
      </w:r>
      <w:r w:rsidR="0012496D">
        <w:rPr>
          <w:rFonts w:ascii="Arial" w:hAnsi="Arial" w:cs="Arial"/>
          <w:sz w:val="24"/>
          <w:szCs w:val="24"/>
          <w:lang w:val="en-US"/>
        </w:rPr>
        <w:t>difference between</w:t>
      </w:r>
      <w:r w:rsidR="00245758">
        <w:rPr>
          <w:rFonts w:ascii="Arial" w:hAnsi="Arial" w:cs="Arial"/>
          <w:sz w:val="24"/>
          <w:szCs w:val="24"/>
          <w:lang w:val="en-US"/>
        </w:rPr>
        <w:t xml:space="preserve"> the legal profession and a either a Job or a business. The practice of law requires </w:t>
      </w:r>
      <w:r w:rsidR="0012496D">
        <w:rPr>
          <w:rFonts w:ascii="Arial" w:hAnsi="Arial" w:cs="Arial"/>
          <w:sz w:val="24"/>
          <w:szCs w:val="24"/>
          <w:lang w:val="en-US"/>
        </w:rPr>
        <w:t>complex professional judgements which is judge</w:t>
      </w:r>
      <w:r w:rsidR="00490DC4">
        <w:rPr>
          <w:rFonts w:ascii="Arial" w:hAnsi="Arial" w:cs="Arial"/>
          <w:sz w:val="24"/>
          <w:szCs w:val="24"/>
          <w:lang w:val="en-US"/>
        </w:rPr>
        <w:t>d by fellow legal professionals.</w:t>
      </w:r>
      <w:r w:rsidR="00490DC4">
        <w:rPr>
          <w:rStyle w:val="FootnoteReference"/>
          <w:rFonts w:ascii="Arial" w:hAnsi="Arial" w:cs="Arial"/>
          <w:sz w:val="24"/>
          <w:szCs w:val="24"/>
          <w:lang w:val="en-US"/>
        </w:rPr>
        <w:footnoteReference w:id="1"/>
      </w:r>
      <w:r w:rsidR="00272BCD">
        <w:rPr>
          <w:rFonts w:ascii="Arial" w:hAnsi="Arial" w:cs="Arial"/>
          <w:sz w:val="24"/>
          <w:szCs w:val="24"/>
          <w:lang w:val="en-US"/>
        </w:rPr>
        <w:t xml:space="preserve"> This judgement will be in accordance with good morals and</w:t>
      </w:r>
      <w:r w:rsidR="004546D0">
        <w:rPr>
          <w:rFonts w:ascii="Arial" w:hAnsi="Arial" w:cs="Arial"/>
          <w:sz w:val="24"/>
          <w:szCs w:val="24"/>
          <w:lang w:val="en-US"/>
        </w:rPr>
        <w:t xml:space="preserve"> adherence to the code of legal</w:t>
      </w:r>
      <w:r w:rsidR="00272BCD">
        <w:rPr>
          <w:rFonts w:ascii="Arial" w:hAnsi="Arial" w:cs="Arial"/>
          <w:sz w:val="24"/>
          <w:szCs w:val="24"/>
          <w:lang w:val="en-US"/>
        </w:rPr>
        <w:t xml:space="preserve"> et</w:t>
      </w:r>
      <w:r w:rsidR="00B518AA">
        <w:rPr>
          <w:rFonts w:ascii="Arial" w:hAnsi="Arial" w:cs="Arial"/>
          <w:sz w:val="24"/>
          <w:szCs w:val="24"/>
          <w:lang w:val="en-US"/>
        </w:rPr>
        <w:t>hics.</w:t>
      </w:r>
      <w:r w:rsidR="00B518AA">
        <w:rPr>
          <w:rStyle w:val="FootnoteReference"/>
          <w:rFonts w:ascii="Arial" w:hAnsi="Arial" w:cs="Arial"/>
          <w:sz w:val="24"/>
          <w:szCs w:val="24"/>
          <w:lang w:val="en-US"/>
        </w:rPr>
        <w:footnoteReference w:id="2"/>
      </w:r>
      <w:r w:rsidR="00B518AA">
        <w:rPr>
          <w:rFonts w:ascii="Arial" w:hAnsi="Arial" w:cs="Arial"/>
          <w:sz w:val="24"/>
          <w:szCs w:val="24"/>
          <w:lang w:val="en-US"/>
        </w:rPr>
        <w:t xml:space="preserve"> The practice of the law is a profession and this implies that the professional must be worthy of public trust</w:t>
      </w:r>
      <w:r w:rsidR="009E1981">
        <w:rPr>
          <w:rFonts w:ascii="Arial" w:hAnsi="Arial" w:cs="Arial"/>
          <w:sz w:val="24"/>
          <w:szCs w:val="24"/>
          <w:lang w:val="en-US"/>
        </w:rPr>
        <w:t xml:space="preserve"> and must carry</w:t>
      </w:r>
      <w:r w:rsidR="00B225F0">
        <w:rPr>
          <w:rFonts w:ascii="Arial" w:hAnsi="Arial" w:cs="Arial"/>
          <w:sz w:val="24"/>
          <w:szCs w:val="24"/>
          <w:lang w:val="en-US"/>
        </w:rPr>
        <w:t xml:space="preserve"> </w:t>
      </w:r>
      <w:r w:rsidR="009E1981">
        <w:rPr>
          <w:rFonts w:ascii="Arial" w:hAnsi="Arial" w:cs="Arial"/>
          <w:sz w:val="24"/>
          <w:szCs w:val="24"/>
          <w:lang w:val="en-US"/>
        </w:rPr>
        <w:t>out their duties with public spiritedness</w:t>
      </w:r>
      <w:r w:rsidR="00B225F0">
        <w:rPr>
          <w:rFonts w:ascii="Arial" w:hAnsi="Arial" w:cs="Arial"/>
          <w:sz w:val="24"/>
          <w:szCs w:val="24"/>
          <w:lang w:val="en-US"/>
        </w:rPr>
        <w:t xml:space="preserve"> and must adhere to high standards of ethical conduct.</w:t>
      </w:r>
      <w:r w:rsidR="00B225F0">
        <w:rPr>
          <w:rStyle w:val="FootnoteReference"/>
          <w:rFonts w:ascii="Arial" w:hAnsi="Arial" w:cs="Arial"/>
          <w:sz w:val="24"/>
          <w:szCs w:val="24"/>
          <w:lang w:val="en-US"/>
        </w:rPr>
        <w:footnoteReference w:id="3"/>
      </w:r>
    </w:p>
    <w:p w:rsidR="00B225F0" w:rsidRDefault="00B225F0" w:rsidP="00D355DE">
      <w:pPr>
        <w:spacing w:line="240" w:lineRule="auto"/>
        <w:jc w:val="both"/>
        <w:rPr>
          <w:rFonts w:ascii="Arial" w:hAnsi="Arial" w:cs="Arial"/>
          <w:sz w:val="24"/>
          <w:szCs w:val="24"/>
          <w:lang w:val="en-US"/>
        </w:rPr>
      </w:pPr>
      <w:r>
        <w:rPr>
          <w:rFonts w:ascii="Arial" w:hAnsi="Arial" w:cs="Arial"/>
          <w:sz w:val="24"/>
          <w:szCs w:val="24"/>
          <w:lang w:val="en-US"/>
        </w:rPr>
        <w:t xml:space="preserve">The legal practice must still be ran on good business principles however there are differences to merely running a business or a job in the following ways: </w:t>
      </w:r>
    </w:p>
    <w:p w:rsidR="00B8392E" w:rsidRDefault="00B8392E"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Professionals must have specialized intellectual knowledge and skills which sets</w:t>
      </w:r>
      <w:r w:rsidR="00345D33">
        <w:rPr>
          <w:rFonts w:ascii="Arial" w:hAnsi="Arial" w:cs="Arial"/>
          <w:sz w:val="24"/>
          <w:szCs w:val="24"/>
          <w:lang w:val="en-US"/>
        </w:rPr>
        <w:t xml:space="preserve"> them apart from the lay person before gaining access to the profession</w:t>
      </w:r>
      <w:r w:rsidR="0041415D">
        <w:rPr>
          <w:rFonts w:ascii="Arial" w:hAnsi="Arial" w:cs="Arial"/>
          <w:sz w:val="24"/>
          <w:szCs w:val="24"/>
          <w:lang w:val="en-US"/>
        </w:rPr>
        <w:t>.</w:t>
      </w:r>
    </w:p>
    <w:p w:rsidR="00DD422E" w:rsidRDefault="00DD422E"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 xml:space="preserve">They are expected to be </w:t>
      </w:r>
      <w:r w:rsidR="00745F52">
        <w:rPr>
          <w:rFonts w:ascii="Arial" w:hAnsi="Arial" w:cs="Arial"/>
          <w:sz w:val="24"/>
          <w:szCs w:val="24"/>
          <w:lang w:val="en-US"/>
        </w:rPr>
        <w:t>committed</w:t>
      </w:r>
      <w:r>
        <w:rPr>
          <w:rFonts w:ascii="Arial" w:hAnsi="Arial" w:cs="Arial"/>
          <w:sz w:val="24"/>
          <w:szCs w:val="24"/>
          <w:lang w:val="en-US"/>
        </w:rPr>
        <w:t xml:space="preserve"> to promoting thee basic good in society</w:t>
      </w:r>
      <w:r w:rsidR="00745F52">
        <w:rPr>
          <w:rFonts w:ascii="Arial" w:hAnsi="Arial" w:cs="Arial"/>
          <w:sz w:val="24"/>
          <w:szCs w:val="24"/>
          <w:lang w:val="en-US"/>
        </w:rPr>
        <w:t xml:space="preserve"> </w:t>
      </w:r>
      <w:r>
        <w:rPr>
          <w:rFonts w:ascii="Arial" w:hAnsi="Arial" w:cs="Arial"/>
          <w:sz w:val="24"/>
          <w:szCs w:val="24"/>
          <w:lang w:val="en-US"/>
        </w:rPr>
        <w:t>(</w:t>
      </w:r>
      <w:r w:rsidR="00745F52">
        <w:rPr>
          <w:rFonts w:ascii="Arial" w:hAnsi="Arial" w:cs="Arial"/>
          <w:sz w:val="24"/>
          <w:szCs w:val="24"/>
          <w:lang w:val="en-US"/>
        </w:rPr>
        <w:t>in justice</w:t>
      </w:r>
      <w:r>
        <w:rPr>
          <w:rFonts w:ascii="Arial" w:hAnsi="Arial" w:cs="Arial"/>
          <w:sz w:val="24"/>
          <w:szCs w:val="24"/>
          <w:lang w:val="en-US"/>
        </w:rPr>
        <w:t>)</w:t>
      </w:r>
      <w:r w:rsidR="00745F52">
        <w:rPr>
          <w:rFonts w:ascii="Arial" w:hAnsi="Arial" w:cs="Arial"/>
          <w:sz w:val="24"/>
          <w:szCs w:val="24"/>
          <w:lang w:val="en-US"/>
        </w:rPr>
        <w:t>.</w:t>
      </w:r>
    </w:p>
    <w:p w:rsidR="00745F52" w:rsidRDefault="00745F52"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Must be committed to serve the public within their respective fields</w:t>
      </w:r>
    </w:p>
    <w:p w:rsidR="00C04DAB" w:rsidRDefault="00C04DAB"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 xml:space="preserve">They have relative professional autonomy </w:t>
      </w:r>
      <w:r w:rsidR="00DC147C">
        <w:rPr>
          <w:rFonts w:ascii="Arial" w:hAnsi="Arial" w:cs="Arial"/>
          <w:sz w:val="24"/>
          <w:szCs w:val="24"/>
          <w:lang w:val="en-US"/>
        </w:rPr>
        <w:t xml:space="preserve">and discretion </w:t>
      </w:r>
      <w:r>
        <w:rPr>
          <w:rFonts w:ascii="Arial" w:hAnsi="Arial" w:cs="Arial"/>
          <w:sz w:val="24"/>
          <w:szCs w:val="24"/>
          <w:lang w:val="en-US"/>
        </w:rPr>
        <w:t xml:space="preserve">in them executing </w:t>
      </w:r>
      <w:r w:rsidR="00DC147C">
        <w:rPr>
          <w:rFonts w:ascii="Arial" w:hAnsi="Arial" w:cs="Arial"/>
          <w:sz w:val="24"/>
          <w:szCs w:val="24"/>
          <w:lang w:val="en-US"/>
        </w:rPr>
        <w:t>their duties. They don’t merely agree to all requests from clients</w:t>
      </w:r>
      <w:r w:rsidR="0041415D">
        <w:rPr>
          <w:rFonts w:ascii="Arial" w:hAnsi="Arial" w:cs="Arial"/>
          <w:sz w:val="24"/>
          <w:szCs w:val="24"/>
          <w:lang w:val="en-US"/>
        </w:rPr>
        <w:t>.</w:t>
      </w:r>
    </w:p>
    <w:p w:rsidR="00C0181B" w:rsidRDefault="00C0181B"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For the sake of maintaining public confidence in their respective fields they must be willing to take r</w:t>
      </w:r>
      <w:r w:rsidR="0041415D">
        <w:rPr>
          <w:rFonts w:ascii="Arial" w:hAnsi="Arial" w:cs="Arial"/>
          <w:sz w:val="24"/>
          <w:szCs w:val="24"/>
          <w:lang w:val="en-US"/>
        </w:rPr>
        <w:t>esponsibility for their actions.</w:t>
      </w:r>
    </w:p>
    <w:p w:rsidR="0041415D" w:rsidRDefault="001E2C00"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 xml:space="preserve">They identify with other </w:t>
      </w:r>
      <w:r w:rsidR="007A69F6">
        <w:rPr>
          <w:rFonts w:ascii="Arial" w:hAnsi="Arial" w:cs="Arial"/>
          <w:sz w:val="24"/>
          <w:szCs w:val="24"/>
          <w:lang w:val="en-US"/>
        </w:rPr>
        <w:t>professionals</w:t>
      </w:r>
      <w:r>
        <w:rPr>
          <w:rFonts w:ascii="Arial" w:hAnsi="Arial" w:cs="Arial"/>
          <w:sz w:val="24"/>
          <w:szCs w:val="24"/>
          <w:lang w:val="en-US"/>
        </w:rPr>
        <w:t xml:space="preserve"> within their field </w:t>
      </w:r>
      <w:r w:rsidR="007A69F6">
        <w:rPr>
          <w:rFonts w:ascii="Arial" w:hAnsi="Arial" w:cs="Arial"/>
          <w:sz w:val="24"/>
          <w:szCs w:val="24"/>
          <w:lang w:val="en-US"/>
        </w:rPr>
        <w:t>and to the moral community</w:t>
      </w:r>
      <w:r w:rsidR="00C843AF">
        <w:rPr>
          <w:rFonts w:ascii="Arial" w:hAnsi="Arial" w:cs="Arial"/>
          <w:sz w:val="24"/>
          <w:szCs w:val="24"/>
          <w:lang w:val="en-US"/>
        </w:rPr>
        <w:t>.</w:t>
      </w:r>
    </w:p>
    <w:p w:rsidR="00C843AF" w:rsidRDefault="00DC7D20"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They are self-disciplined and abide by a code of professional (legal) ethics established by the best thinkers in the field.</w:t>
      </w:r>
    </w:p>
    <w:p w:rsidR="009760B3" w:rsidRDefault="009760B3" w:rsidP="00B8392E">
      <w:pPr>
        <w:pStyle w:val="ListParagraph"/>
        <w:numPr>
          <w:ilvl w:val="0"/>
          <w:numId w:val="2"/>
        </w:numPr>
        <w:spacing w:line="240" w:lineRule="auto"/>
        <w:jc w:val="both"/>
        <w:rPr>
          <w:rFonts w:ascii="Arial" w:hAnsi="Arial" w:cs="Arial"/>
          <w:sz w:val="24"/>
          <w:szCs w:val="24"/>
          <w:lang w:val="en-US"/>
        </w:rPr>
      </w:pPr>
      <w:r>
        <w:rPr>
          <w:rFonts w:ascii="Arial" w:hAnsi="Arial" w:cs="Arial"/>
          <w:sz w:val="24"/>
          <w:szCs w:val="24"/>
          <w:lang w:val="en-US"/>
        </w:rPr>
        <w:t>The standards of professional conduct are regulated by a professional body e.g. the courts and the controlling body in the legal field</w:t>
      </w:r>
      <w:r w:rsidR="002D61F3">
        <w:rPr>
          <w:rFonts w:ascii="Arial" w:hAnsi="Arial" w:cs="Arial"/>
          <w:sz w:val="24"/>
          <w:szCs w:val="24"/>
          <w:lang w:val="en-US"/>
        </w:rPr>
        <w:t>.</w:t>
      </w:r>
    </w:p>
    <w:p w:rsidR="00AF0FE6" w:rsidRDefault="00AF0FE6" w:rsidP="00AF0FE6">
      <w:pPr>
        <w:spacing w:line="240" w:lineRule="auto"/>
        <w:jc w:val="both"/>
        <w:rPr>
          <w:rFonts w:ascii="Arial" w:hAnsi="Arial" w:cs="Arial"/>
          <w:sz w:val="24"/>
          <w:szCs w:val="24"/>
          <w:lang w:val="en-US"/>
        </w:rPr>
      </w:pPr>
      <w:r>
        <w:rPr>
          <w:rFonts w:ascii="Arial" w:hAnsi="Arial" w:cs="Arial"/>
          <w:sz w:val="24"/>
          <w:szCs w:val="24"/>
          <w:lang w:val="en-US"/>
        </w:rPr>
        <w:t>A legal practice cannot be run merely as a business it has a lot more to adhere to than a mere business</w:t>
      </w:r>
      <w:r w:rsidR="00715558">
        <w:rPr>
          <w:rFonts w:ascii="Arial" w:hAnsi="Arial" w:cs="Arial"/>
          <w:sz w:val="24"/>
          <w:szCs w:val="24"/>
          <w:lang w:val="en-US"/>
        </w:rPr>
        <w:t xml:space="preserve"> as shown immediately above</w:t>
      </w:r>
      <w:r>
        <w:rPr>
          <w:rFonts w:ascii="Arial" w:hAnsi="Arial" w:cs="Arial"/>
          <w:sz w:val="24"/>
          <w:szCs w:val="24"/>
          <w:lang w:val="en-US"/>
        </w:rPr>
        <w:t>.</w:t>
      </w:r>
      <w:r w:rsidR="00715558">
        <w:rPr>
          <w:rStyle w:val="FootnoteReference"/>
          <w:rFonts w:ascii="Arial" w:hAnsi="Arial" w:cs="Arial"/>
          <w:sz w:val="24"/>
          <w:szCs w:val="24"/>
          <w:lang w:val="en-US"/>
        </w:rPr>
        <w:footnoteReference w:id="4"/>
      </w:r>
    </w:p>
    <w:p w:rsidR="00AF0FE6" w:rsidRPr="00AF0FE6" w:rsidRDefault="00715558" w:rsidP="00AF0FE6">
      <w:pPr>
        <w:spacing w:line="240" w:lineRule="auto"/>
        <w:jc w:val="both"/>
        <w:rPr>
          <w:rFonts w:ascii="Arial" w:hAnsi="Arial" w:cs="Arial"/>
          <w:sz w:val="24"/>
          <w:szCs w:val="24"/>
          <w:lang w:val="en-US"/>
        </w:rPr>
      </w:pPr>
      <w:r>
        <w:rPr>
          <w:rFonts w:ascii="Arial" w:hAnsi="Arial" w:cs="Arial"/>
          <w:sz w:val="24"/>
          <w:szCs w:val="24"/>
          <w:lang w:val="en-US"/>
        </w:rPr>
        <w:t xml:space="preserve">A good </w:t>
      </w:r>
      <w:r w:rsidR="00581A8F">
        <w:rPr>
          <w:rFonts w:ascii="Arial" w:hAnsi="Arial" w:cs="Arial"/>
          <w:sz w:val="24"/>
          <w:szCs w:val="24"/>
          <w:lang w:val="en-US"/>
        </w:rPr>
        <w:t xml:space="preserve">lawyer must have </w:t>
      </w:r>
      <w:r w:rsidR="001B1547">
        <w:rPr>
          <w:rFonts w:ascii="Arial" w:hAnsi="Arial" w:cs="Arial"/>
          <w:sz w:val="24"/>
          <w:szCs w:val="24"/>
          <w:lang w:val="en-US"/>
        </w:rPr>
        <w:t xml:space="preserve">values such as honesty and trustworthiness, good judgement and objectivity above a good awareness and knowledge of the law. </w:t>
      </w:r>
    </w:p>
    <w:p w:rsidR="00D355DE" w:rsidRDefault="00D355DE" w:rsidP="00D355DE">
      <w:pPr>
        <w:spacing w:line="240" w:lineRule="auto"/>
        <w:jc w:val="both"/>
        <w:rPr>
          <w:rFonts w:ascii="Arial" w:hAnsi="Arial" w:cs="Arial"/>
          <w:b/>
          <w:sz w:val="24"/>
          <w:szCs w:val="24"/>
          <w:lang w:val="en-US"/>
        </w:rPr>
      </w:pPr>
      <w:r>
        <w:rPr>
          <w:rFonts w:ascii="Arial" w:hAnsi="Arial" w:cs="Arial"/>
          <w:b/>
          <w:sz w:val="24"/>
          <w:szCs w:val="24"/>
          <w:lang w:val="en-US"/>
        </w:rPr>
        <w:t xml:space="preserve">Question 2 </w:t>
      </w:r>
    </w:p>
    <w:p w:rsidR="002D6773" w:rsidRDefault="000949E1" w:rsidP="00D355DE">
      <w:pPr>
        <w:spacing w:line="240" w:lineRule="auto"/>
        <w:jc w:val="both"/>
        <w:rPr>
          <w:rFonts w:ascii="Arial" w:hAnsi="Arial" w:cs="Arial"/>
          <w:sz w:val="24"/>
          <w:szCs w:val="24"/>
          <w:lang w:val="en-US"/>
        </w:rPr>
      </w:pPr>
      <w:r w:rsidRPr="007F29F8">
        <w:rPr>
          <w:rFonts w:ascii="Arial" w:hAnsi="Arial" w:cs="Arial"/>
          <w:sz w:val="24"/>
          <w:szCs w:val="24"/>
          <w:lang w:val="en-US"/>
        </w:rPr>
        <w:t xml:space="preserve">This is a philosophical </w:t>
      </w:r>
      <w:r w:rsidR="007F29F8">
        <w:rPr>
          <w:rFonts w:ascii="Arial" w:hAnsi="Arial" w:cs="Arial"/>
          <w:sz w:val="24"/>
          <w:szCs w:val="24"/>
          <w:lang w:val="en-US"/>
        </w:rPr>
        <w:t xml:space="preserve">question as you must weigh the </w:t>
      </w:r>
      <w:r w:rsidRPr="007F29F8">
        <w:rPr>
          <w:rFonts w:ascii="Arial" w:hAnsi="Arial" w:cs="Arial"/>
          <w:sz w:val="24"/>
          <w:szCs w:val="24"/>
          <w:lang w:val="en-US"/>
        </w:rPr>
        <w:t xml:space="preserve">loyalty you </w:t>
      </w:r>
      <w:r w:rsidR="007F29F8">
        <w:rPr>
          <w:rFonts w:ascii="Arial" w:hAnsi="Arial" w:cs="Arial"/>
          <w:sz w:val="24"/>
          <w:szCs w:val="24"/>
          <w:lang w:val="en-US"/>
        </w:rPr>
        <w:t xml:space="preserve">owe your </w:t>
      </w:r>
      <w:r w:rsidRPr="007F29F8">
        <w:rPr>
          <w:rFonts w:ascii="Arial" w:hAnsi="Arial" w:cs="Arial"/>
          <w:sz w:val="24"/>
          <w:szCs w:val="24"/>
          <w:lang w:val="en-US"/>
        </w:rPr>
        <w:t xml:space="preserve">client </w:t>
      </w:r>
      <w:r w:rsidR="00C64DD8">
        <w:rPr>
          <w:rFonts w:ascii="Arial" w:hAnsi="Arial" w:cs="Arial"/>
          <w:sz w:val="24"/>
          <w:szCs w:val="24"/>
          <w:lang w:val="en-US"/>
        </w:rPr>
        <w:t xml:space="preserve">and possibly losing earnings </w:t>
      </w:r>
      <w:r w:rsidRPr="007F29F8">
        <w:rPr>
          <w:rFonts w:ascii="Arial" w:hAnsi="Arial" w:cs="Arial"/>
          <w:sz w:val="24"/>
          <w:szCs w:val="24"/>
          <w:lang w:val="en-US"/>
        </w:rPr>
        <w:t xml:space="preserve">with what is wright </w:t>
      </w:r>
      <w:r w:rsidR="007F29F8" w:rsidRPr="007F29F8">
        <w:rPr>
          <w:rFonts w:ascii="Arial" w:hAnsi="Arial" w:cs="Arial"/>
          <w:sz w:val="24"/>
          <w:szCs w:val="24"/>
          <w:lang w:val="en-US"/>
        </w:rPr>
        <w:t>and fair.</w:t>
      </w:r>
      <w:r w:rsidR="007F29F8">
        <w:rPr>
          <w:rFonts w:ascii="Arial" w:hAnsi="Arial" w:cs="Arial"/>
          <w:sz w:val="24"/>
          <w:szCs w:val="24"/>
          <w:lang w:val="en-US"/>
        </w:rPr>
        <w:t xml:space="preserve"> Aristotle based his ideas on ethics on the excellence of character and less about rules that must be followed, that we must strive to </w:t>
      </w:r>
      <w:r w:rsidR="00C64DD8">
        <w:rPr>
          <w:rFonts w:ascii="Arial" w:hAnsi="Arial" w:cs="Arial"/>
          <w:sz w:val="24"/>
          <w:szCs w:val="24"/>
          <w:lang w:val="en-US"/>
        </w:rPr>
        <w:t>acquire virtuous character treats.</w:t>
      </w:r>
      <w:r w:rsidR="00C64DD8">
        <w:rPr>
          <w:rStyle w:val="FootnoteReference"/>
          <w:rFonts w:ascii="Arial" w:hAnsi="Arial" w:cs="Arial"/>
          <w:sz w:val="24"/>
          <w:szCs w:val="24"/>
          <w:lang w:val="en-US"/>
        </w:rPr>
        <w:footnoteReference w:id="5"/>
      </w:r>
      <w:r w:rsidR="00C64DD8">
        <w:rPr>
          <w:rFonts w:ascii="Arial" w:hAnsi="Arial" w:cs="Arial"/>
          <w:sz w:val="24"/>
          <w:szCs w:val="24"/>
          <w:lang w:val="en-US"/>
        </w:rPr>
        <w:t xml:space="preserve"> The question I would ask myself is ‘what a person of good moral character would do in such a situation?’ this person would be a person of </w:t>
      </w:r>
      <w:r w:rsidR="00FF31DB">
        <w:rPr>
          <w:rFonts w:ascii="Arial" w:hAnsi="Arial" w:cs="Arial"/>
          <w:sz w:val="24"/>
          <w:szCs w:val="24"/>
          <w:lang w:val="en-US"/>
        </w:rPr>
        <w:t>cou</w:t>
      </w:r>
      <w:bookmarkStart w:id="0" w:name="_GoBack"/>
      <w:bookmarkEnd w:id="0"/>
      <w:r w:rsidR="00FF31DB">
        <w:rPr>
          <w:rFonts w:ascii="Arial" w:hAnsi="Arial" w:cs="Arial"/>
          <w:sz w:val="24"/>
          <w:szCs w:val="24"/>
          <w:lang w:val="en-US"/>
        </w:rPr>
        <w:t>rage</w:t>
      </w:r>
      <w:r w:rsidR="00C64DD8">
        <w:rPr>
          <w:rFonts w:ascii="Arial" w:hAnsi="Arial" w:cs="Arial"/>
          <w:sz w:val="24"/>
          <w:szCs w:val="24"/>
          <w:lang w:val="en-US"/>
        </w:rPr>
        <w:t xml:space="preserve">. According to Aristotle all ethics are virtue </w:t>
      </w:r>
      <w:r w:rsidR="00DF63F8">
        <w:rPr>
          <w:rFonts w:ascii="Arial" w:hAnsi="Arial" w:cs="Arial"/>
          <w:sz w:val="24"/>
          <w:szCs w:val="24"/>
          <w:lang w:val="en-US"/>
        </w:rPr>
        <w:t>ethics and as they involve a virtuous character.</w:t>
      </w:r>
      <w:r w:rsidR="002D6773">
        <w:rPr>
          <w:rStyle w:val="FootnoteReference"/>
          <w:rFonts w:ascii="Arial" w:hAnsi="Arial" w:cs="Arial"/>
          <w:sz w:val="24"/>
          <w:szCs w:val="24"/>
          <w:lang w:val="en-US"/>
        </w:rPr>
        <w:footnoteReference w:id="6"/>
      </w:r>
      <w:r w:rsidR="00DF63F8">
        <w:rPr>
          <w:rFonts w:ascii="Arial" w:hAnsi="Arial" w:cs="Arial"/>
          <w:sz w:val="24"/>
          <w:szCs w:val="24"/>
          <w:lang w:val="en-US"/>
        </w:rPr>
        <w:t xml:space="preserve"> Virtue ethics require a person to be better that merely following rules and reacting to consequences. </w:t>
      </w:r>
      <w:proofErr w:type="spellStart"/>
      <w:r w:rsidR="002D6773">
        <w:rPr>
          <w:rFonts w:ascii="Arial" w:hAnsi="Arial" w:cs="Arial"/>
          <w:sz w:val="24"/>
          <w:szCs w:val="24"/>
          <w:lang w:val="en-US"/>
        </w:rPr>
        <w:t>Kronman</w:t>
      </w:r>
      <w:proofErr w:type="spellEnd"/>
      <w:r w:rsidR="002D6773">
        <w:rPr>
          <w:rFonts w:ascii="Arial" w:hAnsi="Arial" w:cs="Arial"/>
          <w:sz w:val="24"/>
          <w:szCs w:val="24"/>
          <w:lang w:val="en-US"/>
        </w:rPr>
        <w:t xml:space="preserve"> states that life in law must not be regarded as valuable merely because</w:t>
      </w:r>
      <w:r w:rsidR="00320D02">
        <w:rPr>
          <w:rFonts w:ascii="Arial" w:hAnsi="Arial" w:cs="Arial"/>
          <w:sz w:val="24"/>
          <w:szCs w:val="24"/>
          <w:lang w:val="en-US"/>
        </w:rPr>
        <w:t xml:space="preserve"> of money and status but must be </w:t>
      </w:r>
      <w:r w:rsidR="00320D02">
        <w:rPr>
          <w:rFonts w:ascii="Arial" w:hAnsi="Arial" w:cs="Arial"/>
          <w:sz w:val="24"/>
          <w:szCs w:val="24"/>
          <w:lang w:val="en-US"/>
        </w:rPr>
        <w:lastRenderedPageBreak/>
        <w:t xml:space="preserve">motivated </w:t>
      </w:r>
      <w:r w:rsidR="004272CD">
        <w:rPr>
          <w:rFonts w:ascii="Arial" w:hAnsi="Arial" w:cs="Arial"/>
          <w:sz w:val="24"/>
          <w:szCs w:val="24"/>
          <w:lang w:val="en-US"/>
        </w:rPr>
        <w:t>by ma</w:t>
      </w:r>
      <w:r w:rsidR="00CE491D">
        <w:rPr>
          <w:rFonts w:ascii="Arial" w:hAnsi="Arial" w:cs="Arial"/>
          <w:sz w:val="24"/>
          <w:szCs w:val="24"/>
          <w:lang w:val="en-US"/>
        </w:rPr>
        <w:t xml:space="preserve">king good reflective judgements. However I could invoke the Role differentiated approach and insulate myself from the immoral act by simply doing it and saying I am an actor in the scenario who is simply playing his role. However according to </w:t>
      </w:r>
      <w:proofErr w:type="spellStart"/>
      <w:r w:rsidR="00CE491D">
        <w:rPr>
          <w:rFonts w:ascii="Arial" w:hAnsi="Arial" w:cs="Arial"/>
          <w:sz w:val="24"/>
          <w:szCs w:val="24"/>
          <w:lang w:val="en-US"/>
        </w:rPr>
        <w:t>Markovits</w:t>
      </w:r>
      <w:proofErr w:type="spellEnd"/>
      <w:r w:rsidR="00CE491D">
        <w:rPr>
          <w:rFonts w:ascii="Arial" w:hAnsi="Arial" w:cs="Arial"/>
          <w:sz w:val="24"/>
          <w:szCs w:val="24"/>
          <w:lang w:val="en-US"/>
        </w:rPr>
        <w:t xml:space="preserve"> the morally good legal practitioner would not be </w:t>
      </w:r>
      <w:r w:rsidR="00B56E8B">
        <w:rPr>
          <w:rFonts w:ascii="Arial" w:hAnsi="Arial" w:cs="Arial"/>
          <w:sz w:val="24"/>
          <w:szCs w:val="24"/>
          <w:lang w:val="en-US"/>
        </w:rPr>
        <w:t>comfortable</w:t>
      </w:r>
      <w:r w:rsidR="00CE491D">
        <w:rPr>
          <w:rFonts w:ascii="Arial" w:hAnsi="Arial" w:cs="Arial"/>
          <w:sz w:val="24"/>
          <w:szCs w:val="24"/>
          <w:lang w:val="en-US"/>
        </w:rPr>
        <w:t xml:space="preserve"> with this </w:t>
      </w:r>
      <w:r w:rsidR="00B56E8B">
        <w:rPr>
          <w:rFonts w:ascii="Arial" w:hAnsi="Arial" w:cs="Arial"/>
          <w:sz w:val="24"/>
          <w:szCs w:val="24"/>
          <w:lang w:val="en-US"/>
        </w:rPr>
        <w:t>because the legal practitioner is not a merely driven entity without autonomy, they are an entity of good moral standing and any betrayal of good morals would be a betrayal of their nature</w:t>
      </w:r>
      <w:r w:rsidR="00B56E8B">
        <w:rPr>
          <w:rStyle w:val="FootnoteReference"/>
          <w:rFonts w:ascii="Arial" w:hAnsi="Arial" w:cs="Arial"/>
          <w:sz w:val="24"/>
          <w:szCs w:val="24"/>
          <w:lang w:val="en-US"/>
        </w:rPr>
        <w:footnoteReference w:id="7"/>
      </w:r>
      <w:r w:rsidR="001827F2">
        <w:rPr>
          <w:rFonts w:ascii="Arial" w:hAnsi="Arial" w:cs="Arial"/>
          <w:sz w:val="24"/>
          <w:szCs w:val="24"/>
          <w:lang w:val="en-US"/>
        </w:rPr>
        <w:t>. Calls this the Categorical imperative which says you obey the law out of a sense of rules that have become duty (deontic ethics)</w:t>
      </w:r>
      <w:r w:rsidR="001827F2">
        <w:rPr>
          <w:rStyle w:val="FootnoteReference"/>
          <w:rFonts w:ascii="Arial" w:hAnsi="Arial" w:cs="Arial"/>
          <w:sz w:val="24"/>
          <w:szCs w:val="24"/>
          <w:lang w:val="en-US"/>
        </w:rPr>
        <w:footnoteReference w:id="8"/>
      </w:r>
      <w:r w:rsidR="001827F2">
        <w:rPr>
          <w:rFonts w:ascii="Arial" w:hAnsi="Arial" w:cs="Arial"/>
          <w:sz w:val="24"/>
          <w:szCs w:val="24"/>
          <w:lang w:val="en-US"/>
        </w:rPr>
        <w:t xml:space="preserve">: the </w:t>
      </w:r>
      <w:r w:rsidR="009A6FEF">
        <w:rPr>
          <w:rFonts w:ascii="Arial" w:hAnsi="Arial" w:cs="Arial"/>
          <w:sz w:val="24"/>
          <w:szCs w:val="24"/>
          <w:lang w:val="en-US"/>
        </w:rPr>
        <w:t>community’s</w:t>
      </w:r>
      <w:r w:rsidR="001827F2">
        <w:rPr>
          <w:rFonts w:ascii="Arial" w:hAnsi="Arial" w:cs="Arial"/>
          <w:sz w:val="24"/>
          <w:szCs w:val="24"/>
          <w:lang w:val="en-US"/>
        </w:rPr>
        <w:t xml:space="preserve"> legal conviction would not regard this as moral behavior </w:t>
      </w:r>
    </w:p>
    <w:p w:rsidR="00C64DD8" w:rsidRDefault="00DF63F8" w:rsidP="00D355DE">
      <w:pPr>
        <w:spacing w:line="240" w:lineRule="auto"/>
        <w:jc w:val="both"/>
        <w:rPr>
          <w:rFonts w:ascii="Arial" w:hAnsi="Arial" w:cs="Arial"/>
          <w:sz w:val="24"/>
          <w:szCs w:val="24"/>
          <w:lang w:val="en-US"/>
        </w:rPr>
      </w:pPr>
      <w:r>
        <w:rPr>
          <w:rFonts w:ascii="Arial" w:hAnsi="Arial" w:cs="Arial"/>
          <w:sz w:val="24"/>
          <w:szCs w:val="24"/>
          <w:lang w:val="en-US"/>
        </w:rPr>
        <w:t>So I would have to refuse this request from my client and face the consequences of my decision</w:t>
      </w:r>
      <w:r w:rsidR="002D6773">
        <w:rPr>
          <w:rFonts w:ascii="Arial" w:hAnsi="Arial" w:cs="Arial"/>
          <w:sz w:val="24"/>
          <w:szCs w:val="24"/>
          <w:lang w:val="en-US"/>
        </w:rPr>
        <w:t>.</w:t>
      </w:r>
      <w:r>
        <w:rPr>
          <w:rFonts w:ascii="Arial" w:hAnsi="Arial" w:cs="Arial"/>
          <w:sz w:val="24"/>
          <w:szCs w:val="24"/>
          <w:lang w:val="en-US"/>
        </w:rPr>
        <w:t xml:space="preserve"> </w:t>
      </w:r>
    </w:p>
    <w:p w:rsidR="00D355DE" w:rsidRDefault="00D355DE" w:rsidP="00D355DE">
      <w:pPr>
        <w:spacing w:line="240" w:lineRule="auto"/>
        <w:jc w:val="both"/>
        <w:rPr>
          <w:rFonts w:ascii="Arial" w:hAnsi="Arial" w:cs="Arial"/>
          <w:b/>
          <w:sz w:val="24"/>
          <w:szCs w:val="24"/>
          <w:lang w:val="en-US"/>
        </w:rPr>
      </w:pPr>
      <w:r>
        <w:rPr>
          <w:rFonts w:ascii="Arial" w:hAnsi="Arial" w:cs="Arial"/>
          <w:b/>
          <w:sz w:val="24"/>
          <w:szCs w:val="24"/>
          <w:lang w:val="en-US"/>
        </w:rPr>
        <w:t>Question 3</w:t>
      </w:r>
    </w:p>
    <w:p w:rsidR="00D355DE" w:rsidRPr="00C63C2D" w:rsidRDefault="00D355DE" w:rsidP="00030C3F">
      <w:pPr>
        <w:autoSpaceDE w:val="0"/>
        <w:autoSpaceDN w:val="0"/>
        <w:adjustRightInd w:val="0"/>
        <w:spacing w:after="0" w:line="240" w:lineRule="auto"/>
        <w:jc w:val="both"/>
        <w:rPr>
          <w:rFonts w:ascii="Arial" w:hAnsi="Arial" w:cs="Arial"/>
          <w:sz w:val="24"/>
          <w:szCs w:val="24"/>
          <w:lang w:val="en-US"/>
        </w:rPr>
      </w:pPr>
      <w:r w:rsidRPr="00D355DE">
        <w:rPr>
          <w:rFonts w:ascii="Arial" w:hAnsi="Arial" w:cs="Arial"/>
          <w:sz w:val="24"/>
          <w:szCs w:val="24"/>
          <w:lang w:val="en-US"/>
        </w:rPr>
        <w:t>3.1.</w:t>
      </w:r>
      <w:r w:rsidR="001D6FFC">
        <w:rPr>
          <w:rFonts w:ascii="Arial" w:hAnsi="Arial" w:cs="Arial"/>
          <w:sz w:val="24"/>
          <w:szCs w:val="24"/>
          <w:lang w:val="en-US"/>
        </w:rPr>
        <w:t xml:space="preserve"> </w:t>
      </w:r>
      <w:r w:rsidR="006E0CB7">
        <w:rPr>
          <w:rFonts w:ascii="Arial" w:hAnsi="Arial" w:cs="Arial"/>
          <w:sz w:val="24"/>
          <w:szCs w:val="24"/>
          <w:lang w:val="en-US"/>
        </w:rPr>
        <w:t xml:space="preserve">All attorneys must have a trust bank account </w:t>
      </w:r>
      <w:r w:rsidR="001D6FFC">
        <w:rPr>
          <w:rFonts w:ascii="Arial" w:hAnsi="Arial" w:cs="Arial"/>
          <w:sz w:val="24"/>
          <w:szCs w:val="24"/>
          <w:lang w:val="en-US"/>
        </w:rPr>
        <w:t xml:space="preserve">where all monies held or received on behalf of other people will be held. </w:t>
      </w:r>
      <w:r w:rsidR="002773E5">
        <w:rPr>
          <w:rFonts w:ascii="Arial" w:hAnsi="Arial" w:cs="Arial"/>
          <w:sz w:val="24"/>
          <w:szCs w:val="24"/>
          <w:lang w:val="en-US"/>
        </w:rPr>
        <w:t>No amount in this account will form part of the attorney’s asset</w:t>
      </w:r>
      <w:r w:rsidR="003458B0">
        <w:rPr>
          <w:rFonts w:ascii="Arial" w:hAnsi="Arial" w:cs="Arial"/>
          <w:sz w:val="24"/>
          <w:szCs w:val="24"/>
          <w:lang w:val="en-US"/>
        </w:rPr>
        <w:t>s</w:t>
      </w:r>
      <w:r w:rsidR="00EF5F64">
        <w:rPr>
          <w:rFonts w:ascii="Arial" w:hAnsi="Arial" w:cs="Arial"/>
          <w:sz w:val="24"/>
          <w:szCs w:val="24"/>
          <w:lang w:val="en-US"/>
        </w:rPr>
        <w:t>, this is informed by S</w:t>
      </w:r>
      <w:r w:rsidR="00EA081B">
        <w:rPr>
          <w:rFonts w:ascii="Arial" w:hAnsi="Arial" w:cs="Arial"/>
          <w:sz w:val="24"/>
          <w:szCs w:val="24"/>
          <w:lang w:val="en-US"/>
        </w:rPr>
        <w:t xml:space="preserve"> </w:t>
      </w:r>
      <w:r w:rsidR="00EF5F64">
        <w:rPr>
          <w:rFonts w:ascii="Arial" w:hAnsi="Arial" w:cs="Arial"/>
          <w:sz w:val="24"/>
          <w:szCs w:val="24"/>
          <w:lang w:val="en-US"/>
        </w:rPr>
        <w:t>78</w:t>
      </w:r>
      <w:r w:rsidR="00EA081B">
        <w:rPr>
          <w:rFonts w:ascii="Arial" w:hAnsi="Arial" w:cs="Arial"/>
          <w:sz w:val="24"/>
          <w:szCs w:val="24"/>
          <w:lang w:val="en-US"/>
        </w:rPr>
        <w:t xml:space="preserve"> </w:t>
      </w:r>
      <w:r w:rsidR="00EF5F64">
        <w:rPr>
          <w:rFonts w:ascii="Arial" w:hAnsi="Arial" w:cs="Arial"/>
          <w:sz w:val="24"/>
          <w:szCs w:val="24"/>
          <w:lang w:val="en-US"/>
        </w:rPr>
        <w:t>(7) of the Attorney act</w:t>
      </w:r>
      <w:r w:rsidR="002773E5">
        <w:rPr>
          <w:rFonts w:ascii="Arial" w:hAnsi="Arial" w:cs="Arial"/>
          <w:sz w:val="24"/>
          <w:szCs w:val="24"/>
          <w:lang w:val="en-US"/>
        </w:rPr>
        <w:t>.</w:t>
      </w:r>
      <w:r w:rsidR="002773E5">
        <w:rPr>
          <w:rStyle w:val="FootnoteReference"/>
          <w:rFonts w:ascii="Arial" w:hAnsi="Arial" w:cs="Arial"/>
          <w:sz w:val="24"/>
          <w:szCs w:val="24"/>
          <w:lang w:val="en-US"/>
        </w:rPr>
        <w:footnoteReference w:id="9"/>
      </w:r>
      <w:r w:rsidR="00C63C2D">
        <w:rPr>
          <w:rFonts w:ascii="Arial" w:hAnsi="Arial" w:cs="Arial"/>
          <w:sz w:val="24"/>
          <w:szCs w:val="24"/>
        </w:rPr>
        <w:t xml:space="preserve"> </w:t>
      </w:r>
      <w:r w:rsidR="00C63C2D" w:rsidRPr="00C63C2D">
        <w:rPr>
          <w:rFonts w:ascii="Arial" w:hAnsi="Arial" w:cs="Arial"/>
          <w:i/>
          <w:sz w:val="24"/>
          <w:szCs w:val="24"/>
        </w:rPr>
        <w:t xml:space="preserve">In </w:t>
      </w:r>
      <w:r w:rsidR="00C63C2D" w:rsidRPr="00C63C2D">
        <w:rPr>
          <w:rFonts w:ascii="Arial" w:hAnsi="Arial" w:cs="Arial"/>
          <w:i/>
          <w:sz w:val="24"/>
          <w:szCs w:val="24"/>
          <w:lang w:val="en-US"/>
        </w:rPr>
        <w:t xml:space="preserve">Law Society of the Northern Provinces v </w:t>
      </w:r>
      <w:proofErr w:type="spellStart"/>
      <w:r w:rsidR="00C63C2D" w:rsidRPr="00C63C2D">
        <w:rPr>
          <w:rFonts w:ascii="Arial" w:hAnsi="Arial" w:cs="Arial"/>
          <w:i/>
          <w:sz w:val="24"/>
          <w:szCs w:val="24"/>
          <w:lang w:val="en-US"/>
        </w:rPr>
        <w:t>Mabaso</w:t>
      </w:r>
      <w:proofErr w:type="spellEnd"/>
      <w:r w:rsidR="00C63C2D" w:rsidRPr="00C63C2D">
        <w:rPr>
          <w:rFonts w:ascii="Arial" w:hAnsi="Arial" w:cs="Arial"/>
          <w:i/>
          <w:sz w:val="24"/>
          <w:szCs w:val="24"/>
          <w:lang w:val="en-US"/>
        </w:rPr>
        <w:t xml:space="preserve"> (20252/14) [2015] ZASCA 109 (21 August 2015)</w:t>
      </w:r>
      <w:r w:rsidR="00C63C2D">
        <w:rPr>
          <w:rFonts w:ascii="Arial" w:hAnsi="Arial" w:cs="Arial"/>
          <w:i/>
          <w:sz w:val="24"/>
          <w:szCs w:val="24"/>
          <w:lang w:val="en-US"/>
        </w:rPr>
        <w:t xml:space="preserve"> </w:t>
      </w:r>
      <w:r w:rsidR="00C63C2D">
        <w:rPr>
          <w:rFonts w:ascii="Arial" w:hAnsi="Arial" w:cs="Arial"/>
          <w:sz w:val="24"/>
          <w:szCs w:val="24"/>
          <w:lang w:val="en-US"/>
        </w:rPr>
        <w:t xml:space="preserve">on appeal, the court had to consider a matter where the Respondent misappropriated </w:t>
      </w:r>
      <w:r w:rsidR="00EF5F64">
        <w:rPr>
          <w:rFonts w:ascii="Arial" w:hAnsi="Arial" w:cs="Arial"/>
          <w:sz w:val="24"/>
          <w:szCs w:val="24"/>
          <w:lang w:val="en-US"/>
        </w:rPr>
        <w:t>monies held in a trust account,</w:t>
      </w:r>
      <w:r w:rsidR="00EF5F64">
        <w:rPr>
          <w:rStyle w:val="FootnoteReference"/>
          <w:rFonts w:ascii="Arial" w:hAnsi="Arial" w:cs="Arial"/>
          <w:sz w:val="24"/>
          <w:szCs w:val="24"/>
          <w:lang w:val="en-US"/>
        </w:rPr>
        <w:footnoteReference w:id="10"/>
      </w:r>
      <w:r w:rsidR="00EF5F64">
        <w:rPr>
          <w:rFonts w:ascii="Arial" w:hAnsi="Arial" w:cs="Arial"/>
          <w:sz w:val="24"/>
          <w:szCs w:val="24"/>
          <w:lang w:val="en-US"/>
        </w:rPr>
        <w:t xml:space="preserve"> by transferring </w:t>
      </w:r>
      <w:r w:rsidR="008A4B5F">
        <w:rPr>
          <w:rFonts w:ascii="Arial" w:hAnsi="Arial" w:cs="Arial"/>
          <w:sz w:val="24"/>
          <w:szCs w:val="24"/>
          <w:lang w:val="en-US"/>
        </w:rPr>
        <w:t>R 26 000</w:t>
      </w:r>
      <w:r w:rsidR="00EF5F64">
        <w:rPr>
          <w:rFonts w:ascii="Arial" w:hAnsi="Arial" w:cs="Arial"/>
          <w:sz w:val="24"/>
          <w:szCs w:val="24"/>
          <w:lang w:val="en-US"/>
        </w:rPr>
        <w:t xml:space="preserve"> </w:t>
      </w:r>
      <w:r w:rsidR="008A4B5F">
        <w:rPr>
          <w:rFonts w:ascii="Arial" w:hAnsi="Arial" w:cs="Arial"/>
          <w:sz w:val="24"/>
          <w:szCs w:val="24"/>
          <w:lang w:val="en-US"/>
        </w:rPr>
        <w:t xml:space="preserve">and again R 50 000 </w:t>
      </w:r>
      <w:r w:rsidR="00EF5F64">
        <w:rPr>
          <w:rFonts w:ascii="Arial" w:hAnsi="Arial" w:cs="Arial"/>
          <w:sz w:val="24"/>
          <w:szCs w:val="24"/>
          <w:lang w:val="en-US"/>
        </w:rPr>
        <w:t xml:space="preserve">from the trust account to the </w:t>
      </w:r>
      <w:r w:rsidR="008B6600">
        <w:rPr>
          <w:rFonts w:ascii="Arial" w:hAnsi="Arial" w:cs="Arial"/>
          <w:sz w:val="24"/>
          <w:szCs w:val="24"/>
          <w:lang w:val="en-US"/>
        </w:rPr>
        <w:t>practices transacting accounts</w:t>
      </w:r>
      <w:r w:rsidR="00611454">
        <w:rPr>
          <w:rFonts w:ascii="Arial" w:hAnsi="Arial" w:cs="Arial"/>
          <w:sz w:val="24"/>
          <w:szCs w:val="24"/>
          <w:lang w:val="en-US"/>
        </w:rPr>
        <w:t xml:space="preserve">. The money held in this account </w:t>
      </w:r>
      <w:proofErr w:type="gramStart"/>
      <w:r w:rsidR="00611454">
        <w:rPr>
          <w:rFonts w:ascii="Arial" w:hAnsi="Arial" w:cs="Arial"/>
          <w:sz w:val="24"/>
          <w:szCs w:val="24"/>
          <w:lang w:val="en-US"/>
        </w:rPr>
        <w:t xml:space="preserve">is </w:t>
      </w:r>
      <w:r w:rsidR="008B6600">
        <w:rPr>
          <w:rFonts w:ascii="Arial" w:hAnsi="Arial" w:cs="Arial"/>
          <w:sz w:val="24"/>
          <w:szCs w:val="24"/>
          <w:lang w:val="en-US"/>
        </w:rPr>
        <w:t>.</w:t>
      </w:r>
      <w:proofErr w:type="gramEnd"/>
      <w:r w:rsidR="008B6600">
        <w:rPr>
          <w:rFonts w:ascii="Arial" w:hAnsi="Arial" w:cs="Arial"/>
          <w:sz w:val="24"/>
          <w:szCs w:val="24"/>
          <w:lang w:val="en-US"/>
        </w:rPr>
        <w:t xml:space="preserve"> </w:t>
      </w:r>
      <w:proofErr w:type="spellStart"/>
      <w:r w:rsidR="008B6600">
        <w:rPr>
          <w:rFonts w:ascii="Arial" w:hAnsi="Arial" w:cs="Arial"/>
          <w:sz w:val="24"/>
          <w:szCs w:val="24"/>
          <w:lang w:val="en-US"/>
        </w:rPr>
        <w:t>Mr</w:t>
      </w:r>
      <w:proofErr w:type="spellEnd"/>
      <w:r w:rsidR="008B6600">
        <w:rPr>
          <w:rFonts w:ascii="Arial" w:hAnsi="Arial" w:cs="Arial"/>
          <w:sz w:val="24"/>
          <w:szCs w:val="24"/>
          <w:lang w:val="en-US"/>
        </w:rPr>
        <w:t xml:space="preserve"> </w:t>
      </w:r>
      <w:proofErr w:type="spellStart"/>
      <w:r w:rsidR="008B6600">
        <w:rPr>
          <w:rFonts w:ascii="Arial" w:hAnsi="Arial" w:cs="Arial"/>
          <w:sz w:val="24"/>
          <w:szCs w:val="24"/>
          <w:lang w:val="en-US"/>
        </w:rPr>
        <w:t>Magena</w:t>
      </w:r>
      <w:proofErr w:type="spellEnd"/>
      <w:r w:rsidR="008B6600">
        <w:rPr>
          <w:rFonts w:ascii="Arial" w:hAnsi="Arial" w:cs="Arial"/>
          <w:sz w:val="24"/>
          <w:szCs w:val="24"/>
          <w:lang w:val="en-US"/>
        </w:rPr>
        <w:t xml:space="preserve"> </w:t>
      </w:r>
      <w:r w:rsidR="00611454">
        <w:rPr>
          <w:rFonts w:ascii="Arial" w:hAnsi="Arial" w:cs="Arial"/>
          <w:sz w:val="24"/>
          <w:szCs w:val="24"/>
          <w:lang w:val="en-US"/>
        </w:rPr>
        <w:t xml:space="preserve">cannot is not allowed to borrow from this account </w:t>
      </w:r>
      <w:r w:rsidR="002D533C">
        <w:rPr>
          <w:rFonts w:ascii="Arial" w:hAnsi="Arial" w:cs="Arial"/>
          <w:sz w:val="24"/>
          <w:szCs w:val="24"/>
          <w:lang w:val="en-US"/>
        </w:rPr>
        <w:t xml:space="preserve">and this could result in him be struck of the roll. </w:t>
      </w:r>
    </w:p>
    <w:p w:rsidR="001D6FFC" w:rsidRPr="00D355DE" w:rsidRDefault="001D6FFC" w:rsidP="00D355DE">
      <w:pPr>
        <w:pStyle w:val="ListParagraph"/>
        <w:spacing w:line="240" w:lineRule="auto"/>
        <w:ind w:left="360"/>
        <w:jc w:val="both"/>
        <w:rPr>
          <w:rFonts w:ascii="Arial" w:hAnsi="Arial" w:cs="Arial"/>
          <w:sz w:val="24"/>
          <w:szCs w:val="24"/>
          <w:lang w:val="en-US"/>
        </w:rPr>
      </w:pPr>
    </w:p>
    <w:p w:rsidR="00D355DE" w:rsidRPr="00C12DF7" w:rsidRDefault="00D355DE" w:rsidP="00C12DF7">
      <w:pPr>
        <w:spacing w:line="240" w:lineRule="auto"/>
        <w:jc w:val="both"/>
        <w:rPr>
          <w:rFonts w:ascii="Arial" w:hAnsi="Arial" w:cs="Arial"/>
          <w:sz w:val="24"/>
          <w:szCs w:val="24"/>
          <w:lang w:val="en-US"/>
        </w:rPr>
      </w:pPr>
      <w:r w:rsidRPr="00C12DF7">
        <w:rPr>
          <w:rFonts w:ascii="Arial" w:hAnsi="Arial" w:cs="Arial"/>
          <w:sz w:val="24"/>
          <w:szCs w:val="24"/>
          <w:lang w:val="en-US"/>
        </w:rPr>
        <w:t xml:space="preserve">3.2. </w:t>
      </w:r>
      <w:proofErr w:type="spellStart"/>
      <w:r w:rsidR="00E57AE4" w:rsidRPr="00C12DF7">
        <w:rPr>
          <w:rFonts w:ascii="Arial" w:hAnsi="Arial" w:cs="Arial"/>
          <w:sz w:val="24"/>
          <w:szCs w:val="24"/>
          <w:lang w:val="en-US"/>
        </w:rPr>
        <w:t>Mr</w:t>
      </w:r>
      <w:proofErr w:type="spellEnd"/>
      <w:r w:rsidR="00E57AE4" w:rsidRPr="00C12DF7">
        <w:rPr>
          <w:rFonts w:ascii="Arial" w:hAnsi="Arial" w:cs="Arial"/>
          <w:sz w:val="24"/>
          <w:szCs w:val="24"/>
          <w:lang w:val="en-US"/>
        </w:rPr>
        <w:t xml:space="preserve"> </w:t>
      </w:r>
      <w:proofErr w:type="spellStart"/>
      <w:r w:rsidR="00E57AE4" w:rsidRPr="00C12DF7">
        <w:rPr>
          <w:rFonts w:ascii="Arial" w:hAnsi="Arial" w:cs="Arial"/>
          <w:sz w:val="24"/>
          <w:szCs w:val="24"/>
          <w:lang w:val="en-US"/>
        </w:rPr>
        <w:t>Mangena</w:t>
      </w:r>
      <w:proofErr w:type="spellEnd"/>
      <w:r w:rsidR="00E57AE4" w:rsidRPr="00C12DF7">
        <w:rPr>
          <w:rFonts w:ascii="Arial" w:hAnsi="Arial" w:cs="Arial"/>
          <w:sz w:val="24"/>
          <w:szCs w:val="24"/>
          <w:lang w:val="en-US"/>
        </w:rPr>
        <w:t xml:space="preserve"> can be re-</w:t>
      </w:r>
      <w:r w:rsidR="001964B0" w:rsidRPr="00C12DF7">
        <w:rPr>
          <w:rFonts w:ascii="Arial" w:hAnsi="Arial" w:cs="Arial"/>
          <w:sz w:val="24"/>
          <w:szCs w:val="24"/>
          <w:lang w:val="en-US"/>
        </w:rPr>
        <w:t>admitted</w:t>
      </w:r>
      <w:r w:rsidR="00E57AE4" w:rsidRPr="00C12DF7">
        <w:rPr>
          <w:rFonts w:ascii="Arial" w:hAnsi="Arial" w:cs="Arial"/>
          <w:sz w:val="24"/>
          <w:szCs w:val="24"/>
          <w:lang w:val="en-US"/>
        </w:rPr>
        <w:t xml:space="preserve"> and re-enrolled (herein referring to both </w:t>
      </w:r>
      <w:proofErr w:type="gramStart"/>
      <w:r w:rsidR="00E57AE4" w:rsidRPr="00C12DF7">
        <w:rPr>
          <w:rFonts w:ascii="Arial" w:hAnsi="Arial" w:cs="Arial"/>
          <w:sz w:val="24"/>
          <w:szCs w:val="24"/>
          <w:lang w:val="en-US"/>
        </w:rPr>
        <w:t>as ‘re</w:t>
      </w:r>
      <w:proofErr w:type="gramEnd"/>
      <w:r w:rsidR="00E57AE4" w:rsidRPr="00C12DF7">
        <w:rPr>
          <w:rFonts w:ascii="Arial" w:hAnsi="Arial" w:cs="Arial"/>
          <w:sz w:val="24"/>
          <w:szCs w:val="24"/>
          <w:lang w:val="en-US"/>
        </w:rPr>
        <w:t>-instate’)</w:t>
      </w:r>
      <w:r w:rsidR="001964B0" w:rsidRPr="00C12DF7">
        <w:rPr>
          <w:rFonts w:ascii="Arial" w:hAnsi="Arial" w:cs="Arial"/>
          <w:sz w:val="24"/>
          <w:szCs w:val="24"/>
          <w:lang w:val="en-US"/>
        </w:rPr>
        <w:t xml:space="preserve">, </w:t>
      </w:r>
      <w:r w:rsidR="00070D7C" w:rsidRPr="00C12DF7">
        <w:rPr>
          <w:rFonts w:ascii="Arial" w:hAnsi="Arial" w:cs="Arial"/>
          <w:sz w:val="24"/>
          <w:szCs w:val="24"/>
          <w:lang w:val="en-US"/>
        </w:rPr>
        <w:t xml:space="preserve">however </w:t>
      </w:r>
      <w:r w:rsidR="001964B0" w:rsidRPr="00C12DF7">
        <w:rPr>
          <w:rFonts w:ascii="Arial" w:hAnsi="Arial" w:cs="Arial"/>
          <w:sz w:val="24"/>
          <w:szCs w:val="24"/>
          <w:lang w:val="en-US"/>
        </w:rPr>
        <w:t>he must prove that he is</w:t>
      </w:r>
      <w:r w:rsidR="00070D7C" w:rsidRPr="00C12DF7">
        <w:rPr>
          <w:rFonts w:ascii="Arial" w:hAnsi="Arial" w:cs="Arial"/>
          <w:sz w:val="24"/>
          <w:szCs w:val="24"/>
          <w:lang w:val="en-US"/>
        </w:rPr>
        <w:t xml:space="preserve"> a fit and proper person again.</w:t>
      </w:r>
      <w:r w:rsidR="00070D7C">
        <w:rPr>
          <w:rStyle w:val="FootnoteReference"/>
          <w:rFonts w:ascii="Arial" w:hAnsi="Arial" w:cs="Arial"/>
          <w:sz w:val="24"/>
          <w:szCs w:val="24"/>
          <w:lang w:val="en-US"/>
        </w:rPr>
        <w:footnoteReference w:id="11"/>
      </w:r>
      <w:r w:rsidR="00E57AE4" w:rsidRPr="00C12DF7">
        <w:rPr>
          <w:rFonts w:ascii="Arial" w:hAnsi="Arial" w:cs="Arial"/>
          <w:sz w:val="24"/>
          <w:szCs w:val="24"/>
          <w:lang w:val="en-US"/>
        </w:rPr>
        <w:t xml:space="preserve"> S15</w:t>
      </w:r>
      <w:r w:rsidR="00070D7C" w:rsidRPr="00C12DF7">
        <w:rPr>
          <w:rFonts w:ascii="Arial" w:hAnsi="Arial" w:cs="Arial"/>
          <w:sz w:val="24"/>
          <w:szCs w:val="24"/>
          <w:lang w:val="en-US"/>
        </w:rPr>
        <w:t xml:space="preserve"> </w:t>
      </w:r>
      <w:r w:rsidR="00970841" w:rsidRPr="00C12DF7">
        <w:rPr>
          <w:rFonts w:ascii="Arial" w:hAnsi="Arial" w:cs="Arial"/>
          <w:sz w:val="24"/>
          <w:szCs w:val="24"/>
          <w:lang w:val="en-US"/>
        </w:rPr>
        <w:t>(2</w:t>
      </w:r>
      <w:r w:rsidR="00E57AE4" w:rsidRPr="00C12DF7">
        <w:rPr>
          <w:rFonts w:ascii="Arial" w:hAnsi="Arial" w:cs="Arial"/>
          <w:sz w:val="24"/>
          <w:szCs w:val="24"/>
          <w:lang w:val="en-US"/>
        </w:rPr>
        <w:t xml:space="preserve">) of the Attorneys Act </w:t>
      </w:r>
      <w:r w:rsidR="00970841" w:rsidRPr="00C12DF7">
        <w:rPr>
          <w:rFonts w:ascii="Arial" w:hAnsi="Arial" w:cs="Arial"/>
          <w:sz w:val="24"/>
          <w:szCs w:val="24"/>
          <w:lang w:val="en-US"/>
        </w:rPr>
        <w:t xml:space="preserve">53 of 1979 </w:t>
      </w:r>
      <w:r w:rsidR="00E57AE4" w:rsidRPr="00C12DF7">
        <w:rPr>
          <w:rFonts w:ascii="Arial" w:hAnsi="Arial" w:cs="Arial"/>
          <w:sz w:val="24"/>
          <w:szCs w:val="24"/>
          <w:lang w:val="en-US"/>
        </w:rPr>
        <w:t>has expressly made the re-instatement of attorneys a d</w:t>
      </w:r>
      <w:r w:rsidR="00EA5932" w:rsidRPr="00C12DF7">
        <w:rPr>
          <w:rFonts w:ascii="Arial" w:hAnsi="Arial" w:cs="Arial"/>
          <w:sz w:val="24"/>
          <w:szCs w:val="24"/>
          <w:lang w:val="en-US"/>
        </w:rPr>
        <w:t>iscretion</w:t>
      </w:r>
      <w:r w:rsidR="00970841" w:rsidRPr="00C12DF7">
        <w:rPr>
          <w:rFonts w:ascii="Arial" w:hAnsi="Arial" w:cs="Arial"/>
          <w:sz w:val="24"/>
          <w:szCs w:val="24"/>
          <w:lang w:val="en-US"/>
        </w:rPr>
        <w:t xml:space="preserve"> of the courts</w:t>
      </w:r>
      <w:r w:rsidR="00EA5932" w:rsidRPr="00C12DF7">
        <w:rPr>
          <w:rFonts w:ascii="Arial" w:hAnsi="Arial" w:cs="Arial"/>
          <w:sz w:val="24"/>
          <w:szCs w:val="24"/>
          <w:lang w:val="en-US"/>
        </w:rPr>
        <w:t>,</w:t>
      </w:r>
      <w:r w:rsidR="00D26025">
        <w:rPr>
          <w:rStyle w:val="FootnoteReference"/>
          <w:rFonts w:ascii="Arial" w:hAnsi="Arial" w:cs="Arial"/>
          <w:sz w:val="24"/>
          <w:szCs w:val="24"/>
          <w:lang w:val="en-US"/>
        </w:rPr>
        <w:footnoteReference w:id="12"/>
      </w:r>
      <w:r w:rsidR="00EA5932" w:rsidRPr="00C12DF7">
        <w:rPr>
          <w:rFonts w:ascii="Arial" w:hAnsi="Arial" w:cs="Arial"/>
          <w:sz w:val="24"/>
          <w:szCs w:val="24"/>
          <w:lang w:val="en-US"/>
        </w:rPr>
        <w:t xml:space="preserve"> this was expressed by Ackerman J in </w:t>
      </w:r>
      <w:proofErr w:type="spellStart"/>
      <w:r w:rsidR="00EA5932" w:rsidRPr="00C12DF7">
        <w:rPr>
          <w:rFonts w:ascii="Arial" w:hAnsi="Arial" w:cs="Arial"/>
          <w:i/>
          <w:sz w:val="24"/>
          <w:szCs w:val="24"/>
          <w:lang w:val="en-US"/>
        </w:rPr>
        <w:t>Swartzberg</w:t>
      </w:r>
      <w:proofErr w:type="spellEnd"/>
      <w:r w:rsidR="00EA5932" w:rsidRPr="00C12DF7">
        <w:rPr>
          <w:rFonts w:ascii="Arial" w:hAnsi="Arial" w:cs="Arial"/>
          <w:i/>
          <w:sz w:val="24"/>
          <w:szCs w:val="24"/>
          <w:lang w:val="en-US"/>
        </w:rPr>
        <w:t xml:space="preserve"> v Law Society, Northern </w:t>
      </w:r>
      <w:r w:rsidR="00D26025" w:rsidRPr="00C12DF7">
        <w:rPr>
          <w:rFonts w:ascii="Arial" w:hAnsi="Arial" w:cs="Arial"/>
          <w:i/>
          <w:sz w:val="24"/>
          <w:szCs w:val="24"/>
          <w:lang w:val="en-US"/>
        </w:rPr>
        <w:t>Provinces 2008 All SA 438 (SCA</w:t>
      </w:r>
      <w:r w:rsidR="00D26025" w:rsidRPr="00C12DF7">
        <w:rPr>
          <w:rFonts w:ascii="Arial" w:hAnsi="Arial" w:cs="Arial"/>
          <w:sz w:val="24"/>
          <w:szCs w:val="24"/>
          <w:lang w:val="en-US"/>
        </w:rPr>
        <w:t>).</w:t>
      </w:r>
      <w:r w:rsidR="00D26025">
        <w:rPr>
          <w:rStyle w:val="FootnoteReference"/>
          <w:rFonts w:ascii="Arial" w:hAnsi="Arial" w:cs="Arial"/>
          <w:sz w:val="24"/>
          <w:szCs w:val="24"/>
          <w:lang w:val="en-US"/>
        </w:rPr>
        <w:footnoteReference w:id="13"/>
      </w:r>
      <w:r w:rsidR="00D26025" w:rsidRPr="00C12DF7">
        <w:rPr>
          <w:rFonts w:ascii="Arial" w:hAnsi="Arial" w:cs="Arial"/>
          <w:sz w:val="24"/>
          <w:szCs w:val="24"/>
          <w:lang w:val="en-US"/>
        </w:rPr>
        <w:t xml:space="preserve"> In </w:t>
      </w:r>
      <w:r w:rsidR="00D26025" w:rsidRPr="00C12DF7">
        <w:rPr>
          <w:rFonts w:ascii="Arial" w:hAnsi="Arial" w:cs="Arial"/>
          <w:i/>
          <w:sz w:val="24"/>
          <w:szCs w:val="24"/>
          <w:lang w:val="en-US"/>
        </w:rPr>
        <w:t>Kaplan v Incorporated Law Society, Transvaal 1981 All SA 15(T)</w:t>
      </w:r>
      <w:r w:rsidR="00D26025" w:rsidRPr="00C12DF7">
        <w:rPr>
          <w:rFonts w:ascii="Arial" w:hAnsi="Arial" w:cs="Arial"/>
          <w:sz w:val="24"/>
          <w:szCs w:val="24"/>
          <w:lang w:val="en-US"/>
        </w:rPr>
        <w:t xml:space="preserve"> a case of an attorney who was applying for re-instatement after being struck off for unprofessional conduct was heard.</w:t>
      </w:r>
      <w:r w:rsidR="0014664C" w:rsidRPr="00C12DF7">
        <w:rPr>
          <w:rFonts w:ascii="Arial" w:hAnsi="Arial" w:cs="Arial"/>
          <w:sz w:val="24"/>
          <w:szCs w:val="24"/>
          <w:lang w:val="en-US"/>
        </w:rPr>
        <w:t xml:space="preserve"> The court required that the applicant show that he has reformed himself since the offending conduct. Its investigation in to this relates to: (a) the nature of the conduct that lead to the applicant being struck off, (b) the applicant’s behavior after the offending conduct was found out, and (c) it must consider whether the applicant is a fit and proper person to be re-admitted as an attorney.</w:t>
      </w:r>
      <w:r w:rsidR="0014664C">
        <w:rPr>
          <w:rStyle w:val="FootnoteReference"/>
          <w:rFonts w:ascii="Arial" w:hAnsi="Arial" w:cs="Arial"/>
          <w:sz w:val="24"/>
          <w:szCs w:val="24"/>
          <w:lang w:val="en-US"/>
        </w:rPr>
        <w:footnoteReference w:id="14"/>
      </w:r>
    </w:p>
    <w:p w:rsidR="00D355DE" w:rsidRDefault="00D355DE" w:rsidP="00D355DE">
      <w:pPr>
        <w:spacing w:line="240" w:lineRule="auto"/>
        <w:jc w:val="both"/>
        <w:rPr>
          <w:rFonts w:ascii="Arial" w:hAnsi="Arial" w:cs="Arial"/>
          <w:b/>
          <w:sz w:val="24"/>
          <w:szCs w:val="24"/>
          <w:lang w:val="en-US"/>
        </w:rPr>
      </w:pPr>
      <w:r>
        <w:rPr>
          <w:rFonts w:ascii="Arial" w:hAnsi="Arial" w:cs="Arial"/>
          <w:b/>
          <w:sz w:val="24"/>
          <w:szCs w:val="24"/>
          <w:lang w:val="en-US"/>
        </w:rPr>
        <w:t>Question 4</w:t>
      </w:r>
    </w:p>
    <w:p w:rsidR="00B756A4" w:rsidRDefault="00D355DE" w:rsidP="00CC7F53">
      <w:pPr>
        <w:spacing w:line="240" w:lineRule="auto"/>
        <w:jc w:val="both"/>
        <w:rPr>
          <w:rFonts w:ascii="Arial" w:hAnsi="Arial" w:cs="Arial"/>
          <w:sz w:val="24"/>
          <w:szCs w:val="24"/>
          <w:lang w:val="en-US"/>
        </w:rPr>
      </w:pPr>
      <w:r w:rsidRPr="00D355DE">
        <w:rPr>
          <w:rFonts w:ascii="Arial" w:hAnsi="Arial" w:cs="Arial"/>
          <w:sz w:val="24"/>
          <w:szCs w:val="24"/>
          <w:lang w:val="en-US"/>
        </w:rPr>
        <w:t>4.1.</w:t>
      </w:r>
      <w:r w:rsidR="00C12DF7">
        <w:rPr>
          <w:rFonts w:ascii="Arial" w:hAnsi="Arial" w:cs="Arial"/>
          <w:sz w:val="24"/>
          <w:szCs w:val="24"/>
          <w:lang w:val="en-US"/>
        </w:rPr>
        <w:t xml:space="preserve"> </w:t>
      </w:r>
      <w:r w:rsidR="001D24E2">
        <w:rPr>
          <w:rFonts w:ascii="Arial" w:hAnsi="Arial" w:cs="Arial"/>
          <w:sz w:val="24"/>
          <w:szCs w:val="24"/>
          <w:lang w:val="en-US"/>
        </w:rPr>
        <w:t xml:space="preserve">I would suggest that she proceed with the action against the plastic surgeon and that I will represent her, I would take no fee if the case is unsuccessful </w:t>
      </w:r>
      <w:r w:rsidR="0081532C">
        <w:rPr>
          <w:rFonts w:ascii="Arial" w:hAnsi="Arial" w:cs="Arial"/>
          <w:sz w:val="24"/>
          <w:szCs w:val="24"/>
          <w:lang w:val="en-US"/>
        </w:rPr>
        <w:t xml:space="preserve">however I would recover my fees on a successful conclusion of the case. </w:t>
      </w:r>
      <w:r w:rsidR="00CC7F53">
        <w:rPr>
          <w:rFonts w:ascii="Arial" w:hAnsi="Arial" w:cs="Arial"/>
          <w:sz w:val="24"/>
          <w:szCs w:val="24"/>
          <w:lang w:val="en-US"/>
        </w:rPr>
        <w:t>We</w:t>
      </w:r>
      <w:r w:rsidR="0081532C">
        <w:rPr>
          <w:rFonts w:ascii="Arial" w:hAnsi="Arial" w:cs="Arial"/>
          <w:sz w:val="24"/>
          <w:szCs w:val="24"/>
          <w:lang w:val="en-US"/>
        </w:rPr>
        <w:t xml:space="preserve"> would conclude a </w:t>
      </w:r>
      <w:r w:rsidR="0081532C">
        <w:rPr>
          <w:rFonts w:ascii="Arial" w:hAnsi="Arial" w:cs="Arial"/>
          <w:sz w:val="24"/>
          <w:szCs w:val="24"/>
          <w:lang w:val="en-US"/>
        </w:rPr>
        <w:lastRenderedPageBreak/>
        <w:t xml:space="preserve">Contingency fees agreement </w:t>
      </w:r>
      <w:r w:rsidR="00CC7F53">
        <w:rPr>
          <w:rFonts w:ascii="Arial" w:hAnsi="Arial" w:cs="Arial"/>
          <w:sz w:val="24"/>
          <w:szCs w:val="24"/>
          <w:lang w:val="en-US"/>
        </w:rPr>
        <w:t xml:space="preserve">governed by the Contingency fees act 66 of 1997, this will help her access justice even though she does not have the finances. </w:t>
      </w:r>
    </w:p>
    <w:p w:rsidR="00D355DE" w:rsidRDefault="00B756A4" w:rsidP="0081532C">
      <w:pPr>
        <w:spacing w:line="240" w:lineRule="auto"/>
        <w:jc w:val="both"/>
        <w:rPr>
          <w:rFonts w:ascii="Arial" w:hAnsi="Arial" w:cs="Arial"/>
          <w:sz w:val="24"/>
          <w:szCs w:val="24"/>
          <w:lang w:val="en-US"/>
        </w:rPr>
      </w:pPr>
      <w:r>
        <w:rPr>
          <w:rFonts w:ascii="Arial" w:hAnsi="Arial" w:cs="Arial"/>
          <w:sz w:val="24"/>
          <w:szCs w:val="24"/>
          <w:lang w:val="en-US"/>
        </w:rPr>
        <w:t>4.2.</w:t>
      </w:r>
      <w:r w:rsidR="00D355DE" w:rsidRPr="00D355DE">
        <w:rPr>
          <w:rFonts w:ascii="Arial" w:hAnsi="Arial" w:cs="Arial"/>
          <w:sz w:val="24"/>
          <w:szCs w:val="24"/>
          <w:lang w:val="en-US"/>
        </w:rPr>
        <w:t xml:space="preserve"> </w:t>
      </w:r>
      <w:r w:rsidR="00D355DE">
        <w:rPr>
          <w:rFonts w:ascii="Arial" w:hAnsi="Arial" w:cs="Arial"/>
          <w:sz w:val="24"/>
          <w:szCs w:val="24"/>
          <w:lang w:val="en-US"/>
        </w:rPr>
        <w:t>I would take her case and we</w:t>
      </w:r>
      <w:r w:rsidR="00D355DE" w:rsidRPr="00D355DE">
        <w:rPr>
          <w:rFonts w:ascii="Arial" w:hAnsi="Arial" w:cs="Arial"/>
          <w:sz w:val="24"/>
          <w:szCs w:val="24"/>
          <w:lang w:val="en-US"/>
        </w:rPr>
        <w:t xml:space="preserve"> would conclude a Contingency</w:t>
      </w:r>
      <w:r w:rsidR="00D355DE">
        <w:rPr>
          <w:rFonts w:ascii="Arial" w:hAnsi="Arial" w:cs="Arial"/>
          <w:sz w:val="24"/>
          <w:szCs w:val="24"/>
          <w:lang w:val="en-US"/>
        </w:rPr>
        <w:t xml:space="preserve"> agreement, with this agreement I would charge no fee for the case and would receive no fee if the case is unsuccessful</w:t>
      </w:r>
      <w:r w:rsidR="00D355DE">
        <w:rPr>
          <w:rStyle w:val="FootnoteReference"/>
          <w:rFonts w:ascii="Arial" w:hAnsi="Arial" w:cs="Arial"/>
          <w:sz w:val="24"/>
          <w:szCs w:val="24"/>
          <w:lang w:val="en-US"/>
        </w:rPr>
        <w:footnoteReference w:id="15"/>
      </w:r>
      <w:r w:rsidR="00D355DE">
        <w:rPr>
          <w:rFonts w:ascii="Arial" w:hAnsi="Arial" w:cs="Arial"/>
          <w:sz w:val="24"/>
          <w:szCs w:val="24"/>
          <w:lang w:val="en-US"/>
        </w:rPr>
        <w:t>. However if successful I would recover my fee, which could be more than my normal fee given the risk I took.</w:t>
      </w:r>
      <w:r w:rsidR="00D355DE">
        <w:rPr>
          <w:rStyle w:val="FootnoteReference"/>
          <w:rFonts w:ascii="Arial" w:hAnsi="Arial" w:cs="Arial"/>
          <w:sz w:val="24"/>
          <w:szCs w:val="24"/>
          <w:lang w:val="en-US"/>
        </w:rPr>
        <w:footnoteReference w:id="16"/>
      </w:r>
      <w:r w:rsidR="00D355DE">
        <w:rPr>
          <w:rFonts w:ascii="Arial" w:hAnsi="Arial" w:cs="Arial"/>
          <w:sz w:val="24"/>
          <w:szCs w:val="24"/>
          <w:lang w:val="en-US"/>
        </w:rPr>
        <w:t xml:space="preserve"> A contingency agreement is governed by the Contingency fees act 66 of 1997 which came into effect on 23 April 1999 (herein referred to as the ‘Contingency act’) and for the agreement to be valid I would have to draw it up in a manner that complies with S 3 of the Contingency act</w:t>
      </w:r>
      <w:r w:rsidR="00D355DE">
        <w:rPr>
          <w:rStyle w:val="FootnoteReference"/>
          <w:rFonts w:ascii="Arial" w:hAnsi="Arial" w:cs="Arial"/>
          <w:sz w:val="24"/>
          <w:szCs w:val="24"/>
          <w:lang w:val="en-US"/>
        </w:rPr>
        <w:footnoteReference w:id="17"/>
      </w:r>
      <w:r w:rsidR="00D355DE">
        <w:rPr>
          <w:rFonts w:ascii="Arial" w:hAnsi="Arial" w:cs="Arial"/>
          <w:sz w:val="24"/>
          <w:szCs w:val="24"/>
          <w:lang w:val="en-US"/>
        </w:rPr>
        <w:t xml:space="preserve"> to stipulate that in the event of a successfully conclusion to the case</w:t>
      </w:r>
      <w:r w:rsidR="00644E2A">
        <w:rPr>
          <w:rFonts w:ascii="Arial" w:hAnsi="Arial" w:cs="Arial"/>
          <w:sz w:val="24"/>
          <w:szCs w:val="24"/>
          <w:lang w:val="en-US"/>
        </w:rPr>
        <w:t>,</w:t>
      </w:r>
      <w:r w:rsidR="00D355DE">
        <w:rPr>
          <w:rFonts w:ascii="Arial" w:hAnsi="Arial" w:cs="Arial"/>
          <w:sz w:val="24"/>
          <w:szCs w:val="24"/>
          <w:lang w:val="en-US"/>
        </w:rPr>
        <w:t xml:space="preserve"> I would charge </w:t>
      </w:r>
      <w:r w:rsidR="00644E2A">
        <w:rPr>
          <w:rFonts w:ascii="Arial" w:hAnsi="Arial" w:cs="Arial"/>
          <w:sz w:val="24"/>
          <w:szCs w:val="24"/>
          <w:lang w:val="en-US"/>
        </w:rPr>
        <w:t xml:space="preserve">the lesser of not more than 25% of the </w:t>
      </w:r>
      <w:r w:rsidR="00E937B0">
        <w:rPr>
          <w:rFonts w:ascii="Arial" w:hAnsi="Arial" w:cs="Arial"/>
          <w:sz w:val="24"/>
          <w:szCs w:val="24"/>
          <w:lang w:val="en-US"/>
        </w:rPr>
        <w:t xml:space="preserve">capital </w:t>
      </w:r>
      <w:r w:rsidR="00644E2A">
        <w:rPr>
          <w:rFonts w:ascii="Arial" w:hAnsi="Arial" w:cs="Arial"/>
          <w:sz w:val="24"/>
          <w:szCs w:val="24"/>
          <w:lang w:val="en-US"/>
        </w:rPr>
        <w:t xml:space="preserve">amount of the client or a bill of costs. </w:t>
      </w:r>
      <w:r w:rsidR="0081532C">
        <w:rPr>
          <w:rFonts w:ascii="Arial" w:hAnsi="Arial" w:cs="Arial"/>
          <w:sz w:val="24"/>
          <w:szCs w:val="24"/>
          <w:lang w:val="en-US"/>
        </w:rPr>
        <w:t xml:space="preserve">The advantage of this agreement is that she gets access to justice, however it is a disadvantage to me as her attorney that if I lose the case I cannot recover any fees </w:t>
      </w:r>
    </w:p>
    <w:p w:rsidR="000949E1" w:rsidRPr="00D355DE" w:rsidRDefault="000949E1" w:rsidP="00D355DE">
      <w:pPr>
        <w:spacing w:line="240" w:lineRule="auto"/>
        <w:jc w:val="both"/>
        <w:rPr>
          <w:rFonts w:ascii="Arial" w:hAnsi="Arial" w:cs="Arial"/>
          <w:sz w:val="24"/>
          <w:szCs w:val="24"/>
          <w:lang w:val="en-US"/>
        </w:rPr>
      </w:pPr>
    </w:p>
    <w:p w:rsidR="00D355DE" w:rsidRPr="00B756A4" w:rsidRDefault="00B756A4" w:rsidP="000949E1">
      <w:pPr>
        <w:autoSpaceDE w:val="0"/>
        <w:autoSpaceDN w:val="0"/>
        <w:adjustRightInd w:val="0"/>
        <w:spacing w:after="0" w:line="240" w:lineRule="auto"/>
        <w:jc w:val="both"/>
        <w:rPr>
          <w:rFonts w:ascii="Arial" w:hAnsi="Arial" w:cs="Arial"/>
          <w:i/>
          <w:sz w:val="24"/>
          <w:szCs w:val="24"/>
          <w:lang w:val="en-US"/>
        </w:rPr>
      </w:pPr>
      <w:r>
        <w:rPr>
          <w:rFonts w:ascii="Arial" w:hAnsi="Arial" w:cs="Arial"/>
          <w:sz w:val="24"/>
          <w:szCs w:val="24"/>
          <w:lang w:val="en-US"/>
        </w:rPr>
        <w:t>4.3. I would expect 25% of the R132 000 which is R 33 000 this is stipulated in S 2(2) the Contingency act</w:t>
      </w:r>
      <w:r w:rsidR="005C25F2">
        <w:rPr>
          <w:rFonts w:ascii="Arial" w:hAnsi="Arial" w:cs="Arial"/>
          <w:sz w:val="24"/>
          <w:szCs w:val="24"/>
          <w:lang w:val="en-US"/>
        </w:rPr>
        <w:t xml:space="preserve"> if it is the lesser between</w:t>
      </w:r>
      <w:r>
        <w:rPr>
          <w:rFonts w:ascii="Arial" w:hAnsi="Arial" w:cs="Arial"/>
          <w:sz w:val="24"/>
          <w:szCs w:val="24"/>
          <w:lang w:val="en-US"/>
        </w:rPr>
        <w:t xml:space="preserve">. The court clarified the 25% and how it must be determined in </w:t>
      </w:r>
      <w:proofErr w:type="spellStart"/>
      <w:r w:rsidRPr="00B756A4">
        <w:rPr>
          <w:rFonts w:ascii="Arial" w:hAnsi="Arial" w:cs="Arial"/>
          <w:i/>
          <w:sz w:val="24"/>
          <w:szCs w:val="24"/>
          <w:lang w:val="en-US"/>
        </w:rPr>
        <w:t>Masango</w:t>
      </w:r>
      <w:proofErr w:type="spellEnd"/>
      <w:r w:rsidRPr="00B756A4">
        <w:rPr>
          <w:rFonts w:ascii="Arial" w:hAnsi="Arial" w:cs="Arial"/>
          <w:i/>
          <w:sz w:val="24"/>
          <w:szCs w:val="24"/>
          <w:lang w:val="en-US"/>
        </w:rPr>
        <w:t xml:space="preserve"> and Another v Road Accident Fund and Others 2016</w:t>
      </w:r>
      <w:r w:rsidR="005C25F2">
        <w:rPr>
          <w:rFonts w:ascii="Arial" w:hAnsi="Arial" w:cs="Arial"/>
          <w:i/>
          <w:sz w:val="24"/>
          <w:szCs w:val="24"/>
          <w:lang w:val="en-US"/>
        </w:rPr>
        <w:t xml:space="preserve"> </w:t>
      </w:r>
      <w:r w:rsidRPr="00B756A4">
        <w:rPr>
          <w:rFonts w:ascii="Arial" w:hAnsi="Arial" w:cs="Arial"/>
          <w:i/>
          <w:sz w:val="24"/>
          <w:szCs w:val="24"/>
          <w:lang w:val="en-US"/>
        </w:rPr>
        <w:t>(6) SA 508 (GJ)</w:t>
      </w:r>
      <w:r w:rsidR="005C25F2">
        <w:rPr>
          <w:rFonts w:ascii="Arial" w:hAnsi="Arial" w:cs="Arial"/>
          <w:i/>
          <w:sz w:val="24"/>
          <w:szCs w:val="24"/>
          <w:lang w:val="en-US"/>
        </w:rPr>
        <w:t xml:space="preserve">. </w:t>
      </w:r>
      <w:r w:rsidR="005C25F2" w:rsidRPr="005C25F2">
        <w:rPr>
          <w:rFonts w:ascii="Arial" w:hAnsi="Arial" w:cs="Arial"/>
          <w:sz w:val="24"/>
          <w:szCs w:val="24"/>
          <w:lang w:val="en-US"/>
        </w:rPr>
        <w:t>The court differe</w:t>
      </w:r>
      <w:r w:rsidR="005C25F2">
        <w:rPr>
          <w:rFonts w:ascii="Arial" w:hAnsi="Arial" w:cs="Arial"/>
          <w:sz w:val="24"/>
          <w:szCs w:val="24"/>
          <w:lang w:val="en-US"/>
        </w:rPr>
        <w:t xml:space="preserve">nt between a </w:t>
      </w:r>
      <w:r w:rsidR="005C25F2" w:rsidRPr="005C25F2">
        <w:rPr>
          <w:rFonts w:ascii="Arial" w:hAnsi="Arial" w:cs="Arial"/>
          <w:i/>
          <w:sz w:val="24"/>
          <w:szCs w:val="24"/>
          <w:lang w:val="en-US"/>
        </w:rPr>
        <w:t>no win no fee</w:t>
      </w:r>
      <w:r w:rsidR="005C25F2">
        <w:rPr>
          <w:rFonts w:ascii="Arial" w:hAnsi="Arial" w:cs="Arial"/>
          <w:sz w:val="24"/>
          <w:szCs w:val="24"/>
          <w:lang w:val="en-US"/>
        </w:rPr>
        <w:t xml:space="preserve"> agreement and an agreement which has the practitioner recovering a fee on the cases success, the court named this amount as a ‘success fee’</w:t>
      </w:r>
      <w:r w:rsidR="009B5CA8">
        <w:rPr>
          <w:rFonts w:ascii="Arial" w:hAnsi="Arial" w:cs="Arial"/>
          <w:sz w:val="24"/>
          <w:szCs w:val="24"/>
          <w:lang w:val="en-US"/>
        </w:rPr>
        <w:t xml:space="preserve"> this must be governed by the Contingency fee agreement</w:t>
      </w:r>
      <w:r w:rsidR="005C25F2">
        <w:rPr>
          <w:rFonts w:ascii="Arial" w:hAnsi="Arial" w:cs="Arial"/>
          <w:sz w:val="24"/>
          <w:szCs w:val="24"/>
          <w:lang w:val="en-US"/>
        </w:rPr>
        <w:t>.</w:t>
      </w:r>
      <w:r w:rsidR="009B0BF7">
        <w:rPr>
          <w:rStyle w:val="FootnoteReference"/>
          <w:rFonts w:ascii="Arial" w:hAnsi="Arial" w:cs="Arial"/>
          <w:sz w:val="24"/>
          <w:szCs w:val="24"/>
          <w:lang w:val="en-US"/>
        </w:rPr>
        <w:footnoteReference w:id="18"/>
      </w:r>
      <w:r w:rsidR="005C25F2">
        <w:rPr>
          <w:rFonts w:ascii="Arial" w:hAnsi="Arial" w:cs="Arial"/>
          <w:sz w:val="24"/>
          <w:szCs w:val="24"/>
          <w:lang w:val="en-US"/>
        </w:rPr>
        <w:t xml:space="preserve"> </w:t>
      </w:r>
      <w:r w:rsidR="009B0BF7">
        <w:rPr>
          <w:rFonts w:ascii="Arial" w:hAnsi="Arial" w:cs="Arial"/>
          <w:sz w:val="24"/>
          <w:szCs w:val="24"/>
          <w:lang w:val="en-US"/>
        </w:rPr>
        <w:t>The attorney can increase their baseline fees (fees they would have recovered if they did not conclude a contingency agreement)</w:t>
      </w:r>
      <w:r w:rsidR="009B5CA8">
        <w:rPr>
          <w:rFonts w:ascii="Arial" w:hAnsi="Arial" w:cs="Arial"/>
          <w:sz w:val="24"/>
          <w:szCs w:val="24"/>
          <w:lang w:val="en-US"/>
        </w:rPr>
        <w:t xml:space="preserve"> by not more than 100%,</w:t>
      </w:r>
      <w:r w:rsidR="009B0BF7">
        <w:rPr>
          <w:rFonts w:ascii="Arial" w:hAnsi="Arial" w:cs="Arial"/>
          <w:sz w:val="24"/>
          <w:szCs w:val="24"/>
          <w:lang w:val="en-US"/>
        </w:rPr>
        <w:t xml:space="preserve"> </w:t>
      </w:r>
      <w:r w:rsidR="009B5CA8">
        <w:rPr>
          <w:rFonts w:ascii="Arial" w:hAnsi="Arial" w:cs="Arial"/>
          <w:sz w:val="24"/>
          <w:szCs w:val="24"/>
          <w:lang w:val="en-US"/>
        </w:rPr>
        <w:t>i</w:t>
      </w:r>
      <w:r w:rsidR="009B0BF7">
        <w:rPr>
          <w:rFonts w:ascii="Arial" w:hAnsi="Arial" w:cs="Arial"/>
          <w:sz w:val="24"/>
          <w:szCs w:val="24"/>
          <w:lang w:val="en-US"/>
        </w:rPr>
        <w:t>n this calculation the baseline fees are an important 1</w:t>
      </w:r>
      <w:r w:rsidR="009B0BF7" w:rsidRPr="009B0BF7">
        <w:rPr>
          <w:rFonts w:ascii="Arial" w:hAnsi="Arial" w:cs="Arial"/>
          <w:sz w:val="24"/>
          <w:szCs w:val="24"/>
          <w:vertAlign w:val="superscript"/>
          <w:lang w:val="en-US"/>
        </w:rPr>
        <w:t>st</w:t>
      </w:r>
      <w:r w:rsidR="009B0BF7">
        <w:rPr>
          <w:rFonts w:ascii="Arial" w:hAnsi="Arial" w:cs="Arial"/>
          <w:sz w:val="24"/>
          <w:szCs w:val="24"/>
          <w:lang w:val="en-US"/>
        </w:rPr>
        <w:t xml:space="preserve"> step</w:t>
      </w:r>
      <w:r w:rsidR="009B5CA8">
        <w:rPr>
          <w:rFonts w:ascii="Arial" w:hAnsi="Arial" w:cs="Arial"/>
          <w:sz w:val="24"/>
          <w:szCs w:val="24"/>
          <w:lang w:val="en-US"/>
        </w:rPr>
        <w:t>.</w:t>
      </w:r>
      <w:r w:rsidR="009B5CA8">
        <w:rPr>
          <w:rStyle w:val="FootnoteReference"/>
          <w:rFonts w:ascii="Arial" w:hAnsi="Arial" w:cs="Arial"/>
          <w:sz w:val="24"/>
          <w:szCs w:val="24"/>
          <w:lang w:val="en-US"/>
        </w:rPr>
        <w:footnoteReference w:id="19"/>
      </w:r>
      <w:r w:rsidR="009B5CA8">
        <w:rPr>
          <w:rFonts w:ascii="Arial" w:hAnsi="Arial" w:cs="Arial"/>
          <w:sz w:val="24"/>
          <w:szCs w:val="24"/>
          <w:lang w:val="en-US"/>
        </w:rPr>
        <w:t xml:space="preserve"> The practitioner can also charge 25% of the award as fees and can impose VAT on the 25%, given that the later calculated amount is less. </w:t>
      </w:r>
    </w:p>
    <w:p w:rsidR="005F5398" w:rsidRPr="005F5398" w:rsidRDefault="009B5CA8" w:rsidP="00D355DE">
      <w:pPr>
        <w:spacing w:line="240" w:lineRule="auto"/>
        <w:jc w:val="both"/>
        <w:rPr>
          <w:rFonts w:ascii="Arial" w:hAnsi="Arial" w:cs="Arial"/>
          <w:b/>
          <w:sz w:val="24"/>
          <w:szCs w:val="24"/>
          <w:lang w:val="en-US"/>
        </w:rPr>
      </w:pPr>
      <w:r>
        <w:rPr>
          <w:rFonts w:ascii="Arial" w:hAnsi="Arial" w:cs="Arial"/>
          <w:b/>
          <w:sz w:val="24"/>
          <w:szCs w:val="24"/>
          <w:lang w:val="en-US"/>
        </w:rPr>
        <w:t xml:space="preserve"> </w:t>
      </w:r>
    </w:p>
    <w:sectPr w:rsidR="005F5398" w:rsidRPr="005F5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072" w:rsidRDefault="00E43072" w:rsidP="00D355DE">
      <w:pPr>
        <w:spacing w:after="0" w:line="240" w:lineRule="auto"/>
      </w:pPr>
      <w:r>
        <w:separator/>
      </w:r>
    </w:p>
  </w:endnote>
  <w:endnote w:type="continuationSeparator" w:id="0">
    <w:p w:rsidR="00E43072" w:rsidRDefault="00E43072" w:rsidP="00D3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072" w:rsidRDefault="00E43072" w:rsidP="00D355DE">
      <w:pPr>
        <w:spacing w:after="0" w:line="240" w:lineRule="auto"/>
      </w:pPr>
      <w:r>
        <w:separator/>
      </w:r>
    </w:p>
  </w:footnote>
  <w:footnote w:type="continuationSeparator" w:id="0">
    <w:p w:rsidR="00E43072" w:rsidRDefault="00E43072" w:rsidP="00D355DE">
      <w:pPr>
        <w:spacing w:after="0" w:line="240" w:lineRule="auto"/>
      </w:pPr>
      <w:r>
        <w:continuationSeparator/>
      </w:r>
    </w:p>
  </w:footnote>
  <w:footnote w:id="1">
    <w:p w:rsidR="00490DC4" w:rsidRPr="00490DC4" w:rsidRDefault="00490DC4">
      <w:pPr>
        <w:pStyle w:val="FootnoteText"/>
        <w:rPr>
          <w:lang w:val="en-US"/>
        </w:rPr>
      </w:pPr>
      <w:r>
        <w:rPr>
          <w:rStyle w:val="FootnoteReference"/>
        </w:rPr>
        <w:footnoteRef/>
      </w:r>
      <w:r>
        <w:t xml:space="preserve"> </w:t>
      </w:r>
      <w:r>
        <w:rPr>
          <w:lang w:val="en-US"/>
        </w:rPr>
        <w:t>Study guide page 2,</w:t>
      </w:r>
      <w:r w:rsidR="00B518AA">
        <w:rPr>
          <w:lang w:val="en-US"/>
        </w:rPr>
        <w:t xml:space="preserve"> </w:t>
      </w:r>
      <w:r>
        <w:rPr>
          <w:lang w:val="en-US"/>
        </w:rPr>
        <w:t>3.</w:t>
      </w:r>
    </w:p>
  </w:footnote>
  <w:footnote w:id="2">
    <w:p w:rsidR="00B518AA" w:rsidRPr="00B518AA" w:rsidRDefault="00B518AA">
      <w:pPr>
        <w:pStyle w:val="FootnoteText"/>
      </w:pPr>
      <w:r>
        <w:rPr>
          <w:rStyle w:val="FootnoteReference"/>
        </w:rPr>
        <w:footnoteRef/>
      </w:r>
      <w:r>
        <w:t xml:space="preserve"> Study guide page 3.</w:t>
      </w:r>
    </w:p>
  </w:footnote>
  <w:footnote w:id="3">
    <w:p w:rsidR="00B225F0" w:rsidRPr="00B225F0" w:rsidRDefault="00B225F0">
      <w:pPr>
        <w:pStyle w:val="FootnoteText"/>
        <w:rPr>
          <w:lang w:val="en-US"/>
        </w:rPr>
      </w:pPr>
      <w:r>
        <w:rPr>
          <w:rStyle w:val="FootnoteReference"/>
        </w:rPr>
        <w:footnoteRef/>
      </w:r>
      <w:r>
        <w:t xml:space="preserve"> </w:t>
      </w:r>
      <w:r>
        <w:rPr>
          <w:lang w:val="en-US"/>
        </w:rPr>
        <w:t>Study guide page 4.</w:t>
      </w:r>
    </w:p>
  </w:footnote>
  <w:footnote w:id="4">
    <w:p w:rsidR="00715558" w:rsidRPr="00715558" w:rsidRDefault="00715558">
      <w:pPr>
        <w:pStyle w:val="FootnoteText"/>
        <w:rPr>
          <w:lang w:val="en-US"/>
        </w:rPr>
      </w:pPr>
      <w:r>
        <w:rPr>
          <w:rStyle w:val="FootnoteReference"/>
        </w:rPr>
        <w:footnoteRef/>
      </w:r>
      <w:r>
        <w:t xml:space="preserve"> </w:t>
      </w:r>
      <w:r>
        <w:rPr>
          <w:lang w:val="en-US"/>
        </w:rPr>
        <w:t>Study guide page 4.</w:t>
      </w:r>
    </w:p>
  </w:footnote>
  <w:footnote w:id="5">
    <w:p w:rsidR="00C64DD8" w:rsidRPr="00C64DD8" w:rsidRDefault="00C64DD8">
      <w:pPr>
        <w:pStyle w:val="FootnoteText"/>
      </w:pPr>
      <w:r>
        <w:rPr>
          <w:rStyle w:val="FootnoteReference"/>
        </w:rPr>
        <w:footnoteRef/>
      </w:r>
      <w:r>
        <w:t xml:space="preserve"> Study guide page 18.</w:t>
      </w:r>
    </w:p>
  </w:footnote>
  <w:footnote w:id="6">
    <w:p w:rsidR="002D6773" w:rsidRPr="002D6773" w:rsidRDefault="002D6773">
      <w:pPr>
        <w:pStyle w:val="FootnoteText"/>
      </w:pPr>
      <w:r>
        <w:rPr>
          <w:rStyle w:val="FootnoteReference"/>
        </w:rPr>
        <w:footnoteRef/>
      </w:r>
      <w:r>
        <w:t xml:space="preserve"> Study guide page 18.</w:t>
      </w:r>
    </w:p>
  </w:footnote>
  <w:footnote w:id="7">
    <w:p w:rsidR="00B56E8B" w:rsidRPr="00B56E8B" w:rsidRDefault="00B56E8B">
      <w:pPr>
        <w:pStyle w:val="FootnoteText"/>
      </w:pPr>
      <w:r>
        <w:rPr>
          <w:rStyle w:val="FootnoteReference"/>
        </w:rPr>
        <w:footnoteRef/>
      </w:r>
      <w:r>
        <w:t xml:space="preserve"> Study guide page 45.</w:t>
      </w:r>
    </w:p>
  </w:footnote>
  <w:footnote w:id="8">
    <w:p w:rsidR="001827F2" w:rsidRPr="001827F2" w:rsidRDefault="001827F2">
      <w:pPr>
        <w:pStyle w:val="FootnoteText"/>
      </w:pPr>
      <w:r>
        <w:rPr>
          <w:rStyle w:val="FootnoteReference"/>
        </w:rPr>
        <w:footnoteRef/>
      </w:r>
      <w:r>
        <w:t xml:space="preserve"> Study guide page 12.</w:t>
      </w:r>
    </w:p>
  </w:footnote>
  <w:footnote w:id="9">
    <w:p w:rsidR="002773E5" w:rsidRPr="002773E5" w:rsidRDefault="002773E5">
      <w:pPr>
        <w:pStyle w:val="FootnoteText"/>
        <w:rPr>
          <w:lang w:val="en-US"/>
        </w:rPr>
      </w:pPr>
      <w:r>
        <w:rPr>
          <w:rStyle w:val="FootnoteReference"/>
        </w:rPr>
        <w:footnoteRef/>
      </w:r>
      <w:r>
        <w:t xml:space="preserve"> </w:t>
      </w:r>
      <w:r>
        <w:rPr>
          <w:lang w:val="en-US"/>
        </w:rPr>
        <w:t>Study guide page 53.</w:t>
      </w:r>
    </w:p>
  </w:footnote>
  <w:footnote w:id="10">
    <w:p w:rsidR="00EF5F64" w:rsidRDefault="00EF5F64">
      <w:pPr>
        <w:pStyle w:val="FootnoteText"/>
      </w:pPr>
      <w:r>
        <w:rPr>
          <w:rStyle w:val="FootnoteReference"/>
        </w:rPr>
        <w:footnoteRef/>
      </w:r>
      <w:r>
        <w:t xml:space="preserve"> Study guide page 37.</w:t>
      </w:r>
    </w:p>
  </w:footnote>
  <w:footnote w:id="11">
    <w:p w:rsidR="00070D7C" w:rsidRPr="00070D7C" w:rsidRDefault="00070D7C" w:rsidP="00070D7C">
      <w:pPr>
        <w:pStyle w:val="FootnoteText"/>
      </w:pPr>
      <w:r>
        <w:rPr>
          <w:rStyle w:val="FootnoteReference"/>
        </w:rPr>
        <w:footnoteRef/>
      </w:r>
      <w:r>
        <w:t xml:space="preserve"> Study guide page 38.</w:t>
      </w:r>
    </w:p>
  </w:footnote>
  <w:footnote w:id="12">
    <w:p w:rsidR="00D26025" w:rsidRPr="00D26025" w:rsidRDefault="00D26025">
      <w:pPr>
        <w:pStyle w:val="FootnoteText"/>
        <w:rPr>
          <w:lang w:val="en-US"/>
        </w:rPr>
      </w:pPr>
      <w:r>
        <w:rPr>
          <w:rStyle w:val="FootnoteReference"/>
        </w:rPr>
        <w:footnoteRef/>
      </w:r>
      <w:r>
        <w:t xml:space="preserve"> </w:t>
      </w:r>
      <w:r>
        <w:rPr>
          <w:lang w:val="en-US"/>
        </w:rPr>
        <w:t>Attorney’s act 53 of 1979 S15 (2).</w:t>
      </w:r>
    </w:p>
  </w:footnote>
  <w:footnote w:id="13">
    <w:p w:rsidR="00D26025" w:rsidRPr="00D26025" w:rsidRDefault="00D26025">
      <w:pPr>
        <w:pStyle w:val="FootnoteText"/>
      </w:pPr>
      <w:r>
        <w:rPr>
          <w:rStyle w:val="FootnoteReference"/>
        </w:rPr>
        <w:footnoteRef/>
      </w:r>
      <w:r>
        <w:t xml:space="preserve"> Study guide page 39.</w:t>
      </w:r>
    </w:p>
  </w:footnote>
  <w:footnote w:id="14">
    <w:p w:rsidR="0014664C" w:rsidRPr="0014664C" w:rsidRDefault="0014664C">
      <w:pPr>
        <w:pStyle w:val="FootnoteText"/>
      </w:pPr>
      <w:r>
        <w:rPr>
          <w:rStyle w:val="FootnoteReference"/>
        </w:rPr>
        <w:footnoteRef/>
      </w:r>
      <w:r>
        <w:t xml:space="preserve"> Study guide page 39</w:t>
      </w:r>
    </w:p>
  </w:footnote>
  <w:footnote w:id="15">
    <w:p w:rsidR="00D355DE" w:rsidRPr="00D355DE" w:rsidRDefault="00D355DE">
      <w:pPr>
        <w:pStyle w:val="FootnoteText"/>
        <w:rPr>
          <w:lang w:val="en-US"/>
        </w:rPr>
      </w:pPr>
      <w:r>
        <w:rPr>
          <w:rStyle w:val="FootnoteReference"/>
        </w:rPr>
        <w:footnoteRef/>
      </w:r>
      <w:r>
        <w:t xml:space="preserve"> </w:t>
      </w:r>
      <w:r>
        <w:rPr>
          <w:lang w:val="en-US"/>
        </w:rPr>
        <w:t>Contingency fees act 66 of 1997 S 2 (1) (a).</w:t>
      </w:r>
    </w:p>
  </w:footnote>
  <w:footnote w:id="16">
    <w:p w:rsidR="00D355DE" w:rsidRPr="00D355DE" w:rsidRDefault="00D355DE">
      <w:pPr>
        <w:pStyle w:val="FootnoteText"/>
        <w:rPr>
          <w:lang w:val="en-US"/>
        </w:rPr>
      </w:pPr>
      <w:r>
        <w:rPr>
          <w:rStyle w:val="FootnoteReference"/>
        </w:rPr>
        <w:footnoteRef/>
      </w:r>
      <w:r>
        <w:t xml:space="preserve"> </w:t>
      </w:r>
      <w:r>
        <w:rPr>
          <w:lang w:val="en-US"/>
        </w:rPr>
        <w:t>Study guide page 58, Contingency act S 2 (1) (b).</w:t>
      </w:r>
    </w:p>
  </w:footnote>
  <w:footnote w:id="17">
    <w:p w:rsidR="00D355DE" w:rsidRPr="00D355DE" w:rsidRDefault="00D355DE" w:rsidP="00D355DE">
      <w:pPr>
        <w:pStyle w:val="FootnoteText"/>
        <w:rPr>
          <w:lang w:val="en-US"/>
        </w:rPr>
      </w:pPr>
      <w:r>
        <w:rPr>
          <w:rStyle w:val="FootnoteReference"/>
        </w:rPr>
        <w:footnoteRef/>
      </w:r>
      <w:r>
        <w:t xml:space="preserve"> </w:t>
      </w:r>
      <w:r>
        <w:rPr>
          <w:lang w:val="en-US"/>
        </w:rPr>
        <w:t>Contingency act S 3</w:t>
      </w:r>
      <w:r w:rsidR="009B5CA8">
        <w:rPr>
          <w:lang w:val="en-US"/>
        </w:rPr>
        <w:t>.</w:t>
      </w:r>
    </w:p>
  </w:footnote>
  <w:footnote w:id="18">
    <w:p w:rsidR="009B0BF7" w:rsidRPr="009B0BF7" w:rsidRDefault="009B0BF7">
      <w:pPr>
        <w:pStyle w:val="FootnoteText"/>
        <w:rPr>
          <w:lang w:val="en-US"/>
        </w:rPr>
      </w:pPr>
      <w:r>
        <w:rPr>
          <w:rStyle w:val="FootnoteReference"/>
        </w:rPr>
        <w:footnoteRef/>
      </w:r>
      <w:r>
        <w:t xml:space="preserve"> </w:t>
      </w:r>
      <w:proofErr w:type="spellStart"/>
      <w:r>
        <w:rPr>
          <w:lang w:val="en-US"/>
        </w:rPr>
        <w:t>Masango</w:t>
      </w:r>
      <w:proofErr w:type="spellEnd"/>
      <w:r>
        <w:rPr>
          <w:lang w:val="en-US"/>
        </w:rPr>
        <w:t xml:space="preserve"> and another v Road accident fund and other 2016 (6) SA 508 (GJ</w:t>
      </w:r>
      <w:proofErr w:type="gramStart"/>
      <w:r>
        <w:rPr>
          <w:lang w:val="en-US"/>
        </w:rPr>
        <w:t>)  (</w:t>
      </w:r>
      <w:proofErr w:type="gramEnd"/>
      <w:r>
        <w:rPr>
          <w:lang w:val="en-US"/>
        </w:rPr>
        <w:t>herein referred to as ‘</w:t>
      </w:r>
      <w:proofErr w:type="spellStart"/>
      <w:r>
        <w:rPr>
          <w:lang w:val="en-US"/>
        </w:rPr>
        <w:t>Masango</w:t>
      </w:r>
      <w:proofErr w:type="spellEnd"/>
      <w:r>
        <w:rPr>
          <w:lang w:val="en-US"/>
        </w:rPr>
        <w:t>’) para 10.</w:t>
      </w:r>
    </w:p>
  </w:footnote>
  <w:footnote w:id="19">
    <w:p w:rsidR="009B5CA8" w:rsidRPr="009B5CA8" w:rsidRDefault="009B5CA8">
      <w:pPr>
        <w:pStyle w:val="FootnoteText"/>
        <w:rPr>
          <w:lang w:val="en-US"/>
        </w:rPr>
      </w:pPr>
      <w:r>
        <w:rPr>
          <w:rStyle w:val="FootnoteReference"/>
        </w:rPr>
        <w:footnoteRef/>
      </w:r>
      <w:r>
        <w:t xml:space="preserve"> </w:t>
      </w:r>
      <w:proofErr w:type="spellStart"/>
      <w:r>
        <w:rPr>
          <w:lang w:val="en-US"/>
        </w:rPr>
        <w:t>Masango</w:t>
      </w:r>
      <w:proofErr w:type="spellEnd"/>
      <w:r>
        <w:rPr>
          <w:lang w:val="en-US"/>
        </w:rPr>
        <w:t xml:space="preserve"> para 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4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A32718"/>
    <w:multiLevelType w:val="hybridMultilevel"/>
    <w:tmpl w:val="E27EC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02"/>
    <w:rsid w:val="00007FF2"/>
    <w:rsid w:val="00030C3F"/>
    <w:rsid w:val="00070D7C"/>
    <w:rsid w:val="000949E1"/>
    <w:rsid w:val="0012496D"/>
    <w:rsid w:val="0014664C"/>
    <w:rsid w:val="001827F2"/>
    <w:rsid w:val="001964B0"/>
    <w:rsid w:val="00196AFE"/>
    <w:rsid w:val="001A7886"/>
    <w:rsid w:val="001B1547"/>
    <w:rsid w:val="001D24E2"/>
    <w:rsid w:val="001D6FFC"/>
    <w:rsid w:val="001E2C00"/>
    <w:rsid w:val="00245758"/>
    <w:rsid w:val="00272BCD"/>
    <w:rsid w:val="0027461A"/>
    <w:rsid w:val="002773E5"/>
    <w:rsid w:val="00292ED8"/>
    <w:rsid w:val="002D533C"/>
    <w:rsid w:val="002D61F3"/>
    <w:rsid w:val="002D6773"/>
    <w:rsid w:val="002F1371"/>
    <w:rsid w:val="00320D02"/>
    <w:rsid w:val="003458B0"/>
    <w:rsid w:val="00345D33"/>
    <w:rsid w:val="003B5FD3"/>
    <w:rsid w:val="00411A30"/>
    <w:rsid w:val="0041415D"/>
    <w:rsid w:val="004272CD"/>
    <w:rsid w:val="004546D0"/>
    <w:rsid w:val="00490DC4"/>
    <w:rsid w:val="00581A8F"/>
    <w:rsid w:val="005C25F2"/>
    <w:rsid w:val="005F5398"/>
    <w:rsid w:val="00611454"/>
    <w:rsid w:val="00644E2A"/>
    <w:rsid w:val="006A3596"/>
    <w:rsid w:val="006E0CB7"/>
    <w:rsid w:val="00715558"/>
    <w:rsid w:val="00745F52"/>
    <w:rsid w:val="007A69F6"/>
    <w:rsid w:val="007F29F8"/>
    <w:rsid w:val="0081532C"/>
    <w:rsid w:val="008860DA"/>
    <w:rsid w:val="008A4B5F"/>
    <w:rsid w:val="008B6600"/>
    <w:rsid w:val="00961602"/>
    <w:rsid w:val="00970841"/>
    <w:rsid w:val="009760B3"/>
    <w:rsid w:val="009A6FEF"/>
    <w:rsid w:val="009B0BF7"/>
    <w:rsid w:val="009B5CA8"/>
    <w:rsid w:val="009E1981"/>
    <w:rsid w:val="009E7BA1"/>
    <w:rsid w:val="009F0C28"/>
    <w:rsid w:val="00A868F3"/>
    <w:rsid w:val="00AE66C8"/>
    <w:rsid w:val="00AF0FE6"/>
    <w:rsid w:val="00AF30BC"/>
    <w:rsid w:val="00B225F0"/>
    <w:rsid w:val="00B518AA"/>
    <w:rsid w:val="00B56E8B"/>
    <w:rsid w:val="00B756A4"/>
    <w:rsid w:val="00B8392E"/>
    <w:rsid w:val="00BA6403"/>
    <w:rsid w:val="00C0181B"/>
    <w:rsid w:val="00C04DAB"/>
    <w:rsid w:val="00C12DF7"/>
    <w:rsid w:val="00C63C2D"/>
    <w:rsid w:val="00C64DD8"/>
    <w:rsid w:val="00C843AF"/>
    <w:rsid w:val="00CB5162"/>
    <w:rsid w:val="00CC7F53"/>
    <w:rsid w:val="00CE491D"/>
    <w:rsid w:val="00D26025"/>
    <w:rsid w:val="00D355DE"/>
    <w:rsid w:val="00DC147C"/>
    <w:rsid w:val="00DC7D20"/>
    <w:rsid w:val="00DD422E"/>
    <w:rsid w:val="00DF03AD"/>
    <w:rsid w:val="00DF63F8"/>
    <w:rsid w:val="00E43072"/>
    <w:rsid w:val="00E555BA"/>
    <w:rsid w:val="00E57AE4"/>
    <w:rsid w:val="00E6798F"/>
    <w:rsid w:val="00E937B0"/>
    <w:rsid w:val="00EA081B"/>
    <w:rsid w:val="00EA5932"/>
    <w:rsid w:val="00EB5FC1"/>
    <w:rsid w:val="00EF5F64"/>
    <w:rsid w:val="00FF31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DBEF"/>
  <w15:chartTrackingRefBased/>
  <w15:docId w15:val="{D8E13B44-0788-4306-8D78-B726CE10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5DE"/>
    <w:pPr>
      <w:ind w:left="720"/>
      <w:contextualSpacing/>
    </w:pPr>
  </w:style>
  <w:style w:type="paragraph" w:styleId="FootnoteText">
    <w:name w:val="footnote text"/>
    <w:basedOn w:val="Normal"/>
    <w:link w:val="FootnoteTextChar"/>
    <w:uiPriority w:val="99"/>
    <w:semiHidden/>
    <w:unhideWhenUsed/>
    <w:rsid w:val="00D35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5DE"/>
    <w:rPr>
      <w:sz w:val="20"/>
      <w:szCs w:val="20"/>
    </w:rPr>
  </w:style>
  <w:style w:type="character" w:styleId="FootnoteReference">
    <w:name w:val="footnote reference"/>
    <w:basedOn w:val="DefaultParagraphFont"/>
    <w:uiPriority w:val="99"/>
    <w:semiHidden/>
    <w:unhideWhenUsed/>
    <w:rsid w:val="00D355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AE583-E7DF-4C53-8A5C-80B9D490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61</cp:revision>
  <dcterms:created xsi:type="dcterms:W3CDTF">2020-11-06T13:41:00Z</dcterms:created>
  <dcterms:modified xsi:type="dcterms:W3CDTF">2020-11-07T07:40:00Z</dcterms:modified>
</cp:coreProperties>
</file>