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EB8" w:rsidRPr="006D777C" w:rsidRDefault="00C57E88" w:rsidP="006D777C">
      <w:pPr>
        <w:jc w:val="both"/>
        <w:rPr>
          <w:rFonts w:ascii="Arial" w:hAnsi="Arial" w:cs="Arial"/>
          <w:b/>
          <w:bCs/>
          <w:sz w:val="24"/>
          <w:szCs w:val="24"/>
        </w:rPr>
      </w:pPr>
      <w:bookmarkStart w:id="0" w:name="_GoBack"/>
      <w:bookmarkEnd w:id="0"/>
      <w:r w:rsidRPr="006D777C">
        <w:rPr>
          <w:rFonts w:ascii="Arial" w:hAnsi="Arial" w:cs="Arial"/>
          <w:b/>
          <w:bCs/>
          <w:sz w:val="24"/>
          <w:szCs w:val="24"/>
        </w:rPr>
        <w:t xml:space="preserve">Introduction </w:t>
      </w:r>
    </w:p>
    <w:p w:rsidR="00AA5035" w:rsidRPr="006D777C" w:rsidRDefault="00C57E88" w:rsidP="006D777C">
      <w:pPr>
        <w:jc w:val="both"/>
        <w:rPr>
          <w:rFonts w:ascii="Arial" w:hAnsi="Arial" w:cs="Arial"/>
          <w:sz w:val="24"/>
          <w:szCs w:val="24"/>
        </w:rPr>
      </w:pPr>
      <w:r w:rsidRPr="006D777C">
        <w:rPr>
          <w:rFonts w:ascii="Arial" w:hAnsi="Arial" w:cs="Arial"/>
          <w:sz w:val="24"/>
          <w:szCs w:val="24"/>
        </w:rPr>
        <w:t xml:space="preserve">The Rei Vindicatio and the Condictio Furtuva </w:t>
      </w:r>
      <w:r w:rsidR="006A4620" w:rsidRPr="006D777C">
        <w:rPr>
          <w:rFonts w:ascii="Arial" w:hAnsi="Arial" w:cs="Arial"/>
          <w:sz w:val="24"/>
          <w:szCs w:val="24"/>
        </w:rPr>
        <w:t xml:space="preserve">are both actions to recover lost possession of a thing. Although these actions ostensibly do the same thing, </w:t>
      </w:r>
      <w:r w:rsidR="00AA5035" w:rsidRPr="006D777C">
        <w:rPr>
          <w:rFonts w:ascii="Arial" w:hAnsi="Arial" w:cs="Arial"/>
          <w:sz w:val="24"/>
          <w:szCs w:val="24"/>
        </w:rPr>
        <w:t xml:space="preserve">there are differences between them. Following I will explore both actions. I will look at what the definition of the actions, what there requirements are and the differences between the two </w:t>
      </w:r>
    </w:p>
    <w:p w:rsidR="00AA5035" w:rsidRPr="006D777C" w:rsidRDefault="00AA5035" w:rsidP="006D777C">
      <w:pPr>
        <w:jc w:val="both"/>
        <w:rPr>
          <w:rFonts w:ascii="Arial" w:hAnsi="Arial" w:cs="Arial"/>
          <w:sz w:val="24"/>
          <w:szCs w:val="24"/>
        </w:rPr>
      </w:pPr>
    </w:p>
    <w:p w:rsidR="00AA5035" w:rsidRPr="006D777C" w:rsidRDefault="00AA5035" w:rsidP="006D777C">
      <w:pPr>
        <w:jc w:val="both"/>
        <w:rPr>
          <w:rFonts w:ascii="Arial" w:hAnsi="Arial" w:cs="Arial"/>
          <w:b/>
          <w:bCs/>
          <w:sz w:val="24"/>
          <w:szCs w:val="24"/>
        </w:rPr>
      </w:pPr>
      <w:r w:rsidRPr="006D777C">
        <w:rPr>
          <w:rFonts w:ascii="Arial" w:hAnsi="Arial" w:cs="Arial"/>
          <w:b/>
          <w:bCs/>
          <w:sz w:val="24"/>
          <w:szCs w:val="24"/>
        </w:rPr>
        <w:t xml:space="preserve">Definition </w:t>
      </w:r>
    </w:p>
    <w:p w:rsidR="00AA5035" w:rsidRDefault="00686FF3" w:rsidP="006D777C">
      <w:pPr>
        <w:jc w:val="both"/>
        <w:rPr>
          <w:rFonts w:ascii="Arial" w:hAnsi="Arial" w:cs="Arial"/>
          <w:sz w:val="24"/>
          <w:szCs w:val="24"/>
        </w:rPr>
      </w:pPr>
      <w:r>
        <w:rPr>
          <w:rFonts w:ascii="Arial" w:hAnsi="Arial" w:cs="Arial"/>
          <w:b/>
          <w:bCs/>
          <w:sz w:val="24"/>
          <w:szCs w:val="24"/>
        </w:rPr>
        <w:t>Condictio Furtuva</w:t>
      </w:r>
      <w:r w:rsidR="00AA5035" w:rsidRPr="006D777C">
        <w:rPr>
          <w:rFonts w:ascii="Arial" w:hAnsi="Arial" w:cs="Arial"/>
          <w:b/>
          <w:bCs/>
          <w:sz w:val="24"/>
          <w:szCs w:val="24"/>
        </w:rPr>
        <w:t xml:space="preserve">: </w:t>
      </w:r>
      <w:r>
        <w:rPr>
          <w:rFonts w:ascii="Arial" w:hAnsi="Arial" w:cs="Arial"/>
          <w:sz w:val="24"/>
          <w:szCs w:val="24"/>
        </w:rPr>
        <w:t>This is a delictual action which is used by a plaintiff that has their petromanial thing removed from their possession through theft. this action is availible to the owner of the thing or anyone with an interest in the stolen thing. This action can be brought against the thief and their heirs.</w:t>
      </w:r>
      <w:r>
        <w:rPr>
          <w:rStyle w:val="FootnoteReference"/>
          <w:rFonts w:ascii="Arial" w:hAnsi="Arial" w:cs="Arial"/>
          <w:sz w:val="24"/>
          <w:szCs w:val="24"/>
        </w:rPr>
        <w:footnoteReference w:id="1"/>
      </w:r>
    </w:p>
    <w:p w:rsidR="00C22074" w:rsidRDefault="00686FF3" w:rsidP="00686FF3">
      <w:pPr>
        <w:rPr>
          <w:rFonts w:ascii="Arial" w:hAnsi="Arial" w:cs="Arial"/>
          <w:i/>
          <w:iCs/>
        </w:rPr>
      </w:pPr>
      <w:r>
        <w:rPr>
          <w:rFonts w:ascii="Arial" w:hAnsi="Arial" w:cs="Arial"/>
          <w:sz w:val="24"/>
          <w:szCs w:val="24"/>
        </w:rPr>
        <w:t xml:space="preserve">This action can be used even in the absence of fualt from the defendant, this was decided in </w:t>
      </w:r>
      <w:r w:rsidRPr="00686FF3">
        <w:rPr>
          <w:rFonts w:ascii="Arial" w:hAnsi="Arial" w:cs="Arial"/>
          <w:sz w:val="24"/>
          <w:szCs w:val="24"/>
        </w:rPr>
        <w:t>Crots v Pretorius (2010 (6) SA 512 (SCA)</w:t>
      </w:r>
      <w:r>
        <w:rPr>
          <w:rFonts w:ascii="Arial" w:hAnsi="Arial" w:cs="Arial"/>
          <w:sz w:val="24"/>
          <w:szCs w:val="24"/>
        </w:rPr>
        <w:t xml:space="preserve">: </w:t>
      </w:r>
      <w:r w:rsidRPr="00686FF3">
        <w:rPr>
          <w:rFonts w:ascii="Arial" w:hAnsi="Arial" w:cs="Arial"/>
          <w:i/>
          <w:iCs/>
        </w:rPr>
        <w:t>The defendant bought heifers (cows) from a third party, during the sale he flouted the requirements if the provisions of the Stock Theft Act 57 of 1959 which he was familier with given he was a stock speculator for 7 years. The defendant agreed to buy the heifers provided he could pay the third party an amount that the heifers would make upon sluaghter.</w:t>
      </w:r>
      <w:r>
        <w:rPr>
          <w:rFonts w:ascii="Arial" w:hAnsi="Arial" w:cs="Arial"/>
          <w:i/>
          <w:iCs/>
        </w:rPr>
        <w:t xml:space="preserve"> The Stock Theft Act has provisions that the defendant </w:t>
      </w:r>
      <w:r w:rsidR="00C22074">
        <w:rPr>
          <w:rFonts w:ascii="Arial" w:hAnsi="Arial" w:cs="Arial"/>
          <w:i/>
          <w:iCs/>
        </w:rPr>
        <w:t>which the defendant floated and admitted to knowing. The defendant however claims to he had no direct knowledge of the theft</w:t>
      </w:r>
      <w:r>
        <w:rPr>
          <w:rFonts w:ascii="Arial" w:hAnsi="Arial" w:cs="Arial"/>
          <w:i/>
          <w:iCs/>
        </w:rPr>
        <w:t xml:space="preserve"> </w:t>
      </w:r>
      <w:r>
        <w:rPr>
          <w:rStyle w:val="FootnoteReference"/>
          <w:rFonts w:ascii="Arial" w:hAnsi="Arial" w:cs="Arial"/>
          <w:i/>
          <w:iCs/>
        </w:rPr>
        <w:footnoteReference w:id="2"/>
      </w:r>
    </w:p>
    <w:p w:rsidR="00686FF3" w:rsidRPr="00686FF3" w:rsidRDefault="00C22074" w:rsidP="00686FF3">
      <w:pPr>
        <w:rPr>
          <w:rFonts w:ascii="Arial" w:hAnsi="Arial" w:cs="Arial"/>
        </w:rPr>
      </w:pPr>
      <w:r>
        <w:rPr>
          <w:rFonts w:ascii="Arial" w:hAnsi="Arial" w:cs="Arial"/>
        </w:rPr>
        <w:t>The court found that dolus eventualis setisfies the requirements for theft unlike the court aquo the court investigated the defendents actions against these.</w:t>
      </w:r>
      <w:r>
        <w:rPr>
          <w:rStyle w:val="FootnoteReference"/>
          <w:rFonts w:ascii="Arial" w:hAnsi="Arial" w:cs="Arial"/>
        </w:rPr>
        <w:footnoteReference w:id="3"/>
      </w:r>
      <w:r>
        <w:rPr>
          <w:rFonts w:ascii="Arial" w:hAnsi="Arial" w:cs="Arial"/>
        </w:rPr>
        <w:t xml:space="preserve"> The court found that </w:t>
      </w:r>
    </w:p>
    <w:p w:rsidR="00686FF3" w:rsidRDefault="00686FF3" w:rsidP="006D777C">
      <w:pPr>
        <w:jc w:val="both"/>
        <w:rPr>
          <w:rFonts w:ascii="Arial" w:hAnsi="Arial" w:cs="Arial"/>
          <w:sz w:val="24"/>
          <w:szCs w:val="24"/>
        </w:rPr>
      </w:pPr>
    </w:p>
    <w:p w:rsidR="00686FF3" w:rsidRDefault="00686FF3" w:rsidP="006D777C">
      <w:pPr>
        <w:jc w:val="both"/>
        <w:rPr>
          <w:rFonts w:ascii="Arial" w:hAnsi="Arial" w:cs="Arial"/>
          <w:sz w:val="24"/>
          <w:szCs w:val="24"/>
        </w:rPr>
      </w:pPr>
    </w:p>
    <w:p w:rsidR="00686FF3" w:rsidRDefault="00686FF3" w:rsidP="006D777C">
      <w:pPr>
        <w:jc w:val="both"/>
        <w:rPr>
          <w:rFonts w:ascii="Arial" w:hAnsi="Arial" w:cs="Arial"/>
          <w:sz w:val="24"/>
          <w:szCs w:val="24"/>
        </w:rPr>
      </w:pPr>
    </w:p>
    <w:p w:rsidR="00686FF3" w:rsidRDefault="00686FF3" w:rsidP="006D777C">
      <w:pPr>
        <w:jc w:val="both"/>
        <w:rPr>
          <w:rFonts w:ascii="Arial" w:hAnsi="Arial" w:cs="Arial"/>
          <w:sz w:val="24"/>
          <w:szCs w:val="24"/>
        </w:rPr>
      </w:pPr>
    </w:p>
    <w:p w:rsidR="00686FF3" w:rsidRDefault="00686FF3" w:rsidP="006D777C">
      <w:pPr>
        <w:jc w:val="both"/>
        <w:rPr>
          <w:rFonts w:ascii="Arial" w:hAnsi="Arial" w:cs="Arial"/>
          <w:sz w:val="24"/>
          <w:szCs w:val="24"/>
        </w:rPr>
      </w:pPr>
    </w:p>
    <w:p w:rsidR="00686FF3" w:rsidRDefault="00686FF3" w:rsidP="006D777C">
      <w:pPr>
        <w:jc w:val="both"/>
        <w:rPr>
          <w:rFonts w:ascii="Arial" w:hAnsi="Arial" w:cs="Arial"/>
          <w:sz w:val="24"/>
          <w:szCs w:val="24"/>
        </w:rPr>
      </w:pPr>
    </w:p>
    <w:p w:rsidR="00686FF3" w:rsidRDefault="00686FF3" w:rsidP="006D777C">
      <w:pPr>
        <w:jc w:val="both"/>
        <w:rPr>
          <w:rFonts w:ascii="Arial" w:hAnsi="Arial" w:cs="Arial"/>
          <w:sz w:val="24"/>
          <w:szCs w:val="24"/>
        </w:rPr>
      </w:pPr>
    </w:p>
    <w:p w:rsidR="00686FF3" w:rsidRDefault="00686FF3" w:rsidP="006D777C">
      <w:pPr>
        <w:jc w:val="both"/>
        <w:rPr>
          <w:rFonts w:ascii="Arial" w:hAnsi="Arial" w:cs="Arial"/>
          <w:sz w:val="24"/>
          <w:szCs w:val="24"/>
        </w:rPr>
      </w:pPr>
    </w:p>
    <w:p w:rsidR="00686FF3" w:rsidRDefault="00686FF3" w:rsidP="006D777C">
      <w:pPr>
        <w:jc w:val="both"/>
        <w:rPr>
          <w:rFonts w:ascii="Arial" w:hAnsi="Arial" w:cs="Arial"/>
          <w:sz w:val="24"/>
          <w:szCs w:val="24"/>
        </w:rPr>
      </w:pPr>
    </w:p>
    <w:p w:rsidR="00686FF3" w:rsidRDefault="00686FF3" w:rsidP="006D777C">
      <w:pPr>
        <w:jc w:val="both"/>
        <w:rPr>
          <w:rFonts w:ascii="Arial" w:hAnsi="Arial" w:cs="Arial"/>
          <w:sz w:val="24"/>
          <w:szCs w:val="24"/>
        </w:rPr>
      </w:pPr>
    </w:p>
    <w:p w:rsidR="00686FF3" w:rsidRDefault="00686FF3" w:rsidP="006D777C">
      <w:pPr>
        <w:jc w:val="both"/>
        <w:rPr>
          <w:rFonts w:ascii="Arial" w:hAnsi="Arial" w:cs="Arial"/>
          <w:sz w:val="24"/>
          <w:szCs w:val="24"/>
        </w:rPr>
      </w:pPr>
    </w:p>
    <w:p w:rsidR="00686FF3" w:rsidRDefault="00686FF3" w:rsidP="006D777C">
      <w:pPr>
        <w:jc w:val="both"/>
        <w:rPr>
          <w:rFonts w:ascii="Arial" w:hAnsi="Arial" w:cs="Arial"/>
          <w:sz w:val="24"/>
          <w:szCs w:val="24"/>
        </w:rPr>
      </w:pPr>
    </w:p>
    <w:p w:rsidR="00686FF3" w:rsidRDefault="00686FF3" w:rsidP="006D777C">
      <w:pPr>
        <w:jc w:val="both"/>
        <w:rPr>
          <w:rFonts w:ascii="Arial" w:hAnsi="Arial" w:cs="Arial"/>
          <w:sz w:val="24"/>
          <w:szCs w:val="24"/>
        </w:rPr>
      </w:pPr>
    </w:p>
    <w:p w:rsidR="00686FF3" w:rsidRDefault="00686FF3" w:rsidP="006D777C">
      <w:pPr>
        <w:jc w:val="both"/>
        <w:rPr>
          <w:rFonts w:ascii="Arial" w:hAnsi="Arial" w:cs="Arial"/>
          <w:sz w:val="24"/>
          <w:szCs w:val="24"/>
        </w:rPr>
      </w:pPr>
    </w:p>
    <w:p w:rsidR="00686FF3" w:rsidRDefault="00686FF3" w:rsidP="006D777C">
      <w:pPr>
        <w:jc w:val="both"/>
        <w:rPr>
          <w:rFonts w:ascii="Arial" w:hAnsi="Arial" w:cs="Arial"/>
          <w:sz w:val="24"/>
          <w:szCs w:val="24"/>
        </w:rPr>
      </w:pPr>
    </w:p>
    <w:p w:rsidR="00686FF3" w:rsidRDefault="00686FF3" w:rsidP="006D777C">
      <w:pPr>
        <w:jc w:val="both"/>
        <w:rPr>
          <w:rFonts w:ascii="Arial" w:hAnsi="Arial" w:cs="Arial"/>
          <w:sz w:val="24"/>
          <w:szCs w:val="24"/>
        </w:rPr>
      </w:pPr>
    </w:p>
    <w:p w:rsidR="00686FF3" w:rsidRDefault="00686FF3" w:rsidP="006D777C">
      <w:pPr>
        <w:jc w:val="both"/>
        <w:rPr>
          <w:rFonts w:ascii="Arial" w:hAnsi="Arial" w:cs="Arial"/>
          <w:sz w:val="24"/>
          <w:szCs w:val="24"/>
        </w:rPr>
      </w:pPr>
    </w:p>
    <w:p w:rsidR="00686FF3" w:rsidRDefault="00686FF3" w:rsidP="006D777C">
      <w:pPr>
        <w:jc w:val="both"/>
        <w:rPr>
          <w:rFonts w:ascii="Arial" w:hAnsi="Arial" w:cs="Arial"/>
          <w:sz w:val="24"/>
          <w:szCs w:val="24"/>
        </w:rPr>
      </w:pPr>
    </w:p>
    <w:p w:rsidR="00686FF3" w:rsidRDefault="00686FF3" w:rsidP="006D777C">
      <w:pPr>
        <w:jc w:val="both"/>
        <w:rPr>
          <w:rFonts w:ascii="Arial" w:hAnsi="Arial" w:cs="Arial"/>
          <w:sz w:val="24"/>
          <w:szCs w:val="24"/>
        </w:rPr>
      </w:pPr>
    </w:p>
    <w:p w:rsidR="00686FF3" w:rsidRDefault="00686FF3" w:rsidP="006D777C">
      <w:pPr>
        <w:jc w:val="both"/>
        <w:rPr>
          <w:rFonts w:ascii="Arial" w:hAnsi="Arial" w:cs="Arial"/>
          <w:sz w:val="24"/>
          <w:szCs w:val="24"/>
        </w:rPr>
      </w:pPr>
    </w:p>
    <w:p w:rsidR="00686FF3" w:rsidRDefault="00686FF3" w:rsidP="006D777C">
      <w:pPr>
        <w:jc w:val="both"/>
        <w:rPr>
          <w:rFonts w:ascii="Arial" w:hAnsi="Arial" w:cs="Arial"/>
          <w:sz w:val="24"/>
          <w:szCs w:val="24"/>
        </w:rPr>
      </w:pPr>
    </w:p>
    <w:p w:rsidR="00686FF3" w:rsidRDefault="00686FF3" w:rsidP="006D777C">
      <w:pPr>
        <w:jc w:val="both"/>
        <w:rPr>
          <w:rFonts w:ascii="Arial" w:hAnsi="Arial" w:cs="Arial"/>
          <w:sz w:val="24"/>
          <w:szCs w:val="24"/>
        </w:rPr>
      </w:pPr>
    </w:p>
    <w:p w:rsidR="00686FF3" w:rsidRDefault="00686FF3" w:rsidP="006D777C">
      <w:pPr>
        <w:jc w:val="both"/>
        <w:rPr>
          <w:rFonts w:ascii="Arial" w:hAnsi="Arial" w:cs="Arial"/>
          <w:sz w:val="24"/>
          <w:szCs w:val="24"/>
        </w:rPr>
      </w:pPr>
    </w:p>
    <w:p w:rsidR="00686FF3" w:rsidRDefault="00686FF3" w:rsidP="006D777C">
      <w:pPr>
        <w:jc w:val="both"/>
        <w:rPr>
          <w:rFonts w:ascii="Arial" w:hAnsi="Arial" w:cs="Arial"/>
          <w:sz w:val="24"/>
          <w:szCs w:val="24"/>
        </w:rPr>
      </w:pPr>
    </w:p>
    <w:p w:rsidR="00686FF3" w:rsidRDefault="00686FF3" w:rsidP="006D777C">
      <w:pPr>
        <w:jc w:val="both"/>
        <w:rPr>
          <w:rFonts w:ascii="Arial" w:hAnsi="Arial" w:cs="Arial"/>
          <w:sz w:val="24"/>
          <w:szCs w:val="24"/>
        </w:rPr>
      </w:pPr>
    </w:p>
    <w:p w:rsidR="00686FF3" w:rsidRDefault="00686FF3" w:rsidP="006D777C">
      <w:pPr>
        <w:jc w:val="both"/>
        <w:rPr>
          <w:rFonts w:ascii="Arial" w:hAnsi="Arial" w:cs="Arial"/>
          <w:sz w:val="24"/>
          <w:szCs w:val="24"/>
        </w:rPr>
      </w:pPr>
    </w:p>
    <w:p w:rsidR="00686FF3" w:rsidRPr="00686FF3" w:rsidRDefault="00686FF3" w:rsidP="006D777C">
      <w:pPr>
        <w:jc w:val="both"/>
        <w:rPr>
          <w:rFonts w:ascii="Arial" w:hAnsi="Arial" w:cs="Arial"/>
          <w:sz w:val="24"/>
          <w:szCs w:val="24"/>
        </w:rPr>
      </w:pPr>
    </w:p>
    <w:sectPr w:rsidR="00686FF3" w:rsidRPr="00686F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2401" w:rsidRDefault="00FC2401" w:rsidP="00686FF3">
      <w:pPr>
        <w:spacing w:after="0" w:line="240" w:lineRule="auto"/>
      </w:pPr>
      <w:r>
        <w:separator/>
      </w:r>
    </w:p>
  </w:endnote>
  <w:endnote w:type="continuationSeparator" w:id="0">
    <w:p w:rsidR="00FC2401" w:rsidRDefault="00FC2401" w:rsidP="00686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2401" w:rsidRDefault="00FC2401" w:rsidP="00686FF3">
      <w:pPr>
        <w:spacing w:after="0" w:line="240" w:lineRule="auto"/>
      </w:pPr>
      <w:r>
        <w:separator/>
      </w:r>
    </w:p>
  </w:footnote>
  <w:footnote w:type="continuationSeparator" w:id="0">
    <w:p w:rsidR="00FC2401" w:rsidRDefault="00FC2401" w:rsidP="00686FF3">
      <w:pPr>
        <w:spacing w:after="0" w:line="240" w:lineRule="auto"/>
      </w:pPr>
      <w:r>
        <w:continuationSeparator/>
      </w:r>
    </w:p>
  </w:footnote>
  <w:footnote w:id="1">
    <w:p w:rsidR="00686FF3" w:rsidRPr="00686FF3" w:rsidRDefault="00686FF3" w:rsidP="00686FF3">
      <w:pPr>
        <w:rPr>
          <w:sz w:val="20"/>
          <w:szCs w:val="20"/>
        </w:rPr>
      </w:pPr>
      <w:r>
        <w:rPr>
          <w:rStyle w:val="FootnoteReference"/>
        </w:rPr>
        <w:footnoteRef/>
      </w:r>
      <w:r>
        <w:t xml:space="preserve"> </w:t>
      </w:r>
      <w:r w:rsidRPr="00686FF3">
        <w:rPr>
          <w:sz w:val="20"/>
          <w:szCs w:val="20"/>
        </w:rPr>
        <w:t>Crots v Pretorius (2010 (6) SA 512 (SCA)</w:t>
      </w:r>
      <w:r>
        <w:rPr>
          <w:sz w:val="20"/>
          <w:szCs w:val="20"/>
        </w:rPr>
        <w:t xml:space="preserve"> (herein refered to as “Crots”) 513.</w:t>
      </w:r>
    </w:p>
  </w:footnote>
  <w:footnote w:id="2">
    <w:p w:rsidR="00686FF3" w:rsidRDefault="00686FF3">
      <w:pPr>
        <w:pStyle w:val="FootnoteText"/>
      </w:pPr>
      <w:r>
        <w:rPr>
          <w:rStyle w:val="FootnoteReference"/>
        </w:rPr>
        <w:footnoteRef/>
      </w:r>
      <w:r>
        <w:t xml:space="preserve">  Crots 4, 6, 7.</w:t>
      </w:r>
    </w:p>
  </w:footnote>
  <w:footnote w:id="3">
    <w:p w:rsidR="00C22074" w:rsidRDefault="00C22074">
      <w:pPr>
        <w:pStyle w:val="FootnoteText"/>
      </w:pPr>
      <w:r>
        <w:rPr>
          <w:rStyle w:val="FootnoteReference"/>
        </w:rPr>
        <w:footnoteRef/>
      </w:r>
      <w:r>
        <w:t xml:space="preserve"> Crots 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E88"/>
    <w:rsid w:val="00163294"/>
    <w:rsid w:val="00686FF3"/>
    <w:rsid w:val="006A4620"/>
    <w:rsid w:val="006D777C"/>
    <w:rsid w:val="00920EB8"/>
    <w:rsid w:val="00AA5035"/>
    <w:rsid w:val="00C22074"/>
    <w:rsid w:val="00C57E88"/>
    <w:rsid w:val="00FC240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1A781F6A-FD60-48C5-890B-A00928E5A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686FF3"/>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86F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6FF3"/>
    <w:rPr>
      <w:sz w:val="20"/>
      <w:szCs w:val="20"/>
    </w:rPr>
  </w:style>
  <w:style w:type="character" w:styleId="FootnoteReference">
    <w:name w:val="footnote reference"/>
    <w:basedOn w:val="DefaultParagraphFont"/>
    <w:uiPriority w:val="99"/>
    <w:semiHidden/>
    <w:unhideWhenUsed/>
    <w:rsid w:val="00686FF3"/>
    <w:rPr>
      <w:vertAlign w:val="superscript"/>
    </w:rPr>
  </w:style>
  <w:style w:type="character" w:customStyle="1" w:styleId="Heading2Char">
    <w:name w:val="Heading 2 Char"/>
    <w:basedOn w:val="DefaultParagraphFont"/>
    <w:link w:val="Heading2"/>
    <w:uiPriority w:val="9"/>
    <w:rsid w:val="00686FF3"/>
    <w:rPr>
      <w:rFonts w:ascii="Times New Roman" w:eastAsia="Times New Roman" w:hAnsi="Times New Roman" w:cs="Times New Roman"/>
      <w:b/>
      <w:bCs/>
      <w:sz w:val="36"/>
      <w:szCs w:val="36"/>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443591">
      <w:bodyDiv w:val="1"/>
      <w:marLeft w:val="0"/>
      <w:marRight w:val="0"/>
      <w:marTop w:val="0"/>
      <w:marBottom w:val="0"/>
      <w:divBdr>
        <w:top w:val="none" w:sz="0" w:space="0" w:color="auto"/>
        <w:left w:val="none" w:sz="0" w:space="0" w:color="auto"/>
        <w:bottom w:val="none" w:sz="0" w:space="0" w:color="auto"/>
        <w:right w:val="none" w:sz="0" w:space="0" w:color="auto"/>
      </w:divBdr>
    </w:div>
    <w:div w:id="119716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685C6-5CA4-44CF-8EBF-D31B6BCBA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233</Words>
  <Characters>1334</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Hlongwane, Mpumelelo</dc:creator>
  <cp:keywords/>
  <dc:description/>
  <cp:lastModifiedBy>Hlongwane, Mpumelelo</cp:lastModifiedBy>
  <cp:revision>2</cp:revision>
  <dcterms:created xsi:type="dcterms:W3CDTF">2020-07-23T13:45:00Z</dcterms:created>
  <dcterms:modified xsi:type="dcterms:W3CDTF">2020-07-23T13:45:00Z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iteId">
    <vt:lpwstr>4032514a-830a-4f20-9539-81bbc35b3cd9</vt:lpwstr>
  </property>
  <property fmtid="{D5CDD505-2E9C-101B-9397-08002B2CF9AE}" pid="4" name="MSIP_Label_216eec4e-c7b8-491d-b7d8-90a69632743d_Owner">
    <vt:lpwstr>F5306922@FNB.CO.ZA</vt:lpwstr>
  </property>
  <property fmtid="{D5CDD505-2E9C-101B-9397-08002B2CF9AE}" pid="5" name="MSIP_Label_216eec4e-c7b8-491d-b7d8-90a69632743d_SetDate">
    <vt:lpwstr>2020-07-23T13:44:14.9693229Z</vt:lpwstr>
  </property>
  <property fmtid="{D5CDD505-2E9C-101B-9397-08002B2CF9AE}" pid="6" name="MSIP_Label_216eec4e-c7b8-491d-b7d8-90a69632743d_Name">
    <vt:lpwstr>Confidential</vt:lpwstr>
  </property>
  <property fmtid="{D5CDD505-2E9C-101B-9397-08002B2CF9AE}" pid="7" name="MSIP_Label_216eec4e-c7b8-491d-b7d8-90a69632743d_Application">
    <vt:lpwstr>Microsoft Azure Information Protection</vt:lpwstr>
  </property>
  <property fmtid="{D5CDD505-2E9C-101B-9397-08002B2CF9AE}" pid="8" name="MSIP_Label_216eec4e-c7b8-491d-b7d8-90a69632743d_ActionId">
    <vt:lpwstr>efe1a859-21e0-43bd-aceb-386c1ab28107</vt:lpwstr>
  </property>
  <property fmtid="{D5CDD505-2E9C-101B-9397-08002B2CF9AE}" pid="9" name="MSIP_Label_216eec4e-c7b8-491d-b7d8-90a69632743d_Extended_MSFT_Method">
    <vt:lpwstr>Automatic</vt:lpwstr>
  </property>
  <property fmtid="{D5CDD505-2E9C-101B-9397-08002B2CF9AE}" pid="10" name="Sensitivity">
    <vt:lpwstr>Confidential</vt:lpwstr>
  </property>
</Properties>
</file>