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6245F" w14:textId="77777777" w:rsidR="004E0E69" w:rsidRDefault="00000000">
      <w:pPr>
        <w:spacing w:before="120" w:after="20"/>
      </w:pPr>
      <w:r>
        <w:rPr>
          <w:b/>
          <w:bCs/>
          <w:caps/>
          <w:color w:val="B11F1F"/>
          <w:sz w:val="18"/>
          <w:szCs w:val="18"/>
        </w:rPr>
        <w:t xml:space="preserve">HUNGER.  </w:t>
      </w:r>
      <w:proofErr w:type="gramStart"/>
      <w:r>
        <w:rPr>
          <w:b/>
          <w:bCs/>
          <w:caps/>
          <w:color w:val="B11F1F"/>
          <w:sz w:val="18"/>
          <w:szCs w:val="18"/>
        </w:rPr>
        <w:t>·  ADVISORY</w:t>
      </w:r>
      <w:proofErr w:type="gramEnd"/>
      <w:r>
        <w:rPr>
          <w:b/>
          <w:bCs/>
          <w:caps/>
          <w:color w:val="B11F1F"/>
          <w:sz w:val="18"/>
          <w:szCs w:val="18"/>
        </w:rPr>
        <w:t xml:space="preserve"> BOARD</w:t>
      </w:r>
    </w:p>
    <w:p w14:paraId="49BE4ADF" w14:textId="77777777" w:rsidR="004E0E69" w:rsidRDefault="00000000">
      <w:pPr>
        <w:pStyle w:val="Heading1"/>
        <w:spacing w:after="40"/>
      </w:pPr>
      <w:r>
        <w:t>The seats we’re filling</w:t>
      </w:r>
      <w:r>
        <w:rPr>
          <w:color w:val="B11F1F"/>
        </w:rPr>
        <w:t>.</w:t>
      </w:r>
    </w:p>
    <w:p w14:paraId="244B1851" w14:textId="77777777" w:rsidR="004E0E69" w:rsidRDefault="004E0E69">
      <w:pPr>
        <w:pBdr>
          <w:bottom w:val="single" w:sz="18" w:space="1" w:color="B11F1F"/>
        </w:pBdr>
        <w:spacing w:before="60" w:after="220"/>
      </w:pPr>
    </w:p>
    <w:p w14:paraId="6FF0A3F4" w14:textId="77777777" w:rsidR="004E0E69" w:rsidRDefault="00000000">
      <w:pPr>
        <w:spacing w:before="80" w:after="80"/>
      </w:pPr>
      <w:r>
        <w:t xml:space="preserve">HUNGER is an apparel-led brand and a holistic fitness app, built for the generation that grew up watching the diet industry lie — and decided to defect. The brand is the rebellion. The product </w:t>
      </w:r>
      <w:proofErr w:type="gramStart"/>
      <w:r>
        <w:t>has to</w:t>
      </w:r>
      <w:proofErr w:type="gramEnd"/>
      <w:r>
        <w:t xml:space="preserve"> be the responsible adult underneath.</w:t>
      </w:r>
    </w:p>
    <w:p w14:paraId="7DCEC13F" w14:textId="77777777" w:rsidR="004E0E69" w:rsidRDefault="00000000">
      <w:pPr>
        <w:spacing w:before="80" w:after="80"/>
      </w:pPr>
      <w:r>
        <w:t>That second half isn’t marketing. It’s the reason this company can exist without harming the people it claims to serve — and it’s the job of this advisory board to guarantee it. We’re assembling a small, working group of experts whose judgment shapes how the product behaves, from before launch. These are not ceremonial seats. Each advisor owns a specific, load-bearing part of the product.</w:t>
      </w:r>
    </w:p>
    <w:p w14:paraId="7FD88698" w14:textId="77777777" w:rsidR="004E0E69" w:rsidRDefault="004E0E69">
      <w:pPr>
        <w:spacing w:before="160" w:after="120"/>
      </w:pPr>
    </w:p>
    <w:tbl>
      <w:tblPr>
        <w:tblW w:w="9360" w:type="dxa"/>
        <w:tblBorders>
          <w:top w:val="single" w:sz="2" w:space="0" w:color="F2EDE4"/>
          <w:left w:val="single" w:sz="12" w:space="0" w:color="B11F1F"/>
          <w:bottom w:val="single" w:sz="2" w:space="0" w:color="F2EDE4"/>
          <w:right w:val="single" w:sz="2" w:space="0" w:color="F2ED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0E69" w14:paraId="7C4AA351" w14:textId="77777777">
        <w:tblPrEx>
          <w:tblCellMar>
            <w:top w:w="0" w:type="dxa"/>
            <w:bottom w:w="0" w:type="dxa"/>
          </w:tblCellMar>
        </w:tblPrEx>
        <w:tc>
          <w:tcPr>
            <w:tcW w:w="9360" w:type="dxa"/>
            <w:shd w:val="clear" w:color="auto" w:fill="F2EDE4"/>
            <w:tcMar>
              <w:top w:w="200" w:type="dxa"/>
              <w:left w:w="260" w:type="dxa"/>
              <w:bottom w:w="200" w:type="dxa"/>
              <w:right w:w="260" w:type="dxa"/>
            </w:tcMar>
          </w:tcPr>
          <w:p w14:paraId="30B06709" w14:textId="77777777" w:rsidR="004E0E69" w:rsidRDefault="00000000">
            <w:pPr>
              <w:spacing w:after="120"/>
            </w:pPr>
            <w:r>
              <w:rPr>
                <w:b/>
                <w:bCs/>
                <w:caps/>
                <w:color w:val="B11F1F"/>
                <w:sz w:val="18"/>
                <w:szCs w:val="18"/>
              </w:rPr>
              <w:t>HOW THE BOARD WORKS</w:t>
            </w:r>
          </w:p>
          <w:p w14:paraId="7A6D9ACF" w14:textId="77777777" w:rsidR="004E0E69" w:rsidRDefault="00000000">
            <w:pPr>
              <w:spacing w:after="70"/>
            </w:pPr>
            <w:r>
              <w:rPr>
                <w:b/>
                <w:bCs/>
              </w:rPr>
              <w:t xml:space="preserve">Commitment.  </w:t>
            </w:r>
            <w:r>
              <w:t>About two hours a week — a standing monthly review, plus async input on product behavior and copy as questions arise.</w:t>
            </w:r>
          </w:p>
          <w:p w14:paraId="59D8EF88" w14:textId="77777777" w:rsidR="004E0E69" w:rsidRDefault="00000000">
            <w:pPr>
              <w:spacing w:after="70"/>
            </w:pPr>
            <w:r>
              <w:rPr>
                <w:b/>
                <w:bCs/>
              </w:rPr>
              <w:t xml:space="preserve">Compensation.  </w:t>
            </w:r>
            <w:r>
              <w:t xml:space="preserve">An advisory equity </w:t>
            </w:r>
            <w:proofErr w:type="gramStart"/>
            <w:r>
              <w:t>grant</w:t>
            </w:r>
            <w:proofErr w:type="gramEnd"/>
            <w:r>
              <w:t xml:space="preserve"> rather than an hourly fee — [X]% vesting over [24] months with a [3]-month cliff, set per seat. We’d rather you own a piece of what you’re protecting.</w:t>
            </w:r>
          </w:p>
          <w:p w14:paraId="726A29AB" w14:textId="77777777" w:rsidR="004E0E69" w:rsidRDefault="00000000">
            <w:pPr>
              <w:spacing w:after="70"/>
            </w:pPr>
            <w:r>
              <w:rPr>
                <w:b/>
                <w:bCs/>
              </w:rPr>
              <w:t xml:space="preserve">Independence.  </w:t>
            </w:r>
            <w:r>
              <w:t>Your equity is never contingent on a launch date or a growth target, and you keep the right to dissent — publicly — if we ever stop listening. A safety advisor who can be overruled by a deadline isn’t one.</w:t>
            </w:r>
          </w:p>
          <w:p w14:paraId="6DCD6939" w14:textId="77777777" w:rsidR="004E0E69" w:rsidRDefault="00000000">
            <w:r>
              <w:rPr>
                <w:b/>
                <w:bCs/>
              </w:rPr>
              <w:t xml:space="preserve">Term.  </w:t>
            </w:r>
            <w:r>
              <w:t>An initial [12–24]-month term, renewable by mutual agreement. Standard advisory agreement; final terms set with counsel.</w:t>
            </w:r>
          </w:p>
        </w:tc>
      </w:tr>
    </w:tbl>
    <w:p w14:paraId="5668651E" w14:textId="77777777" w:rsidR="004E0E69" w:rsidRDefault="00000000">
      <w:pPr>
        <w:spacing w:before="380" w:after="40"/>
      </w:pPr>
      <w:r>
        <w:rPr>
          <w:b/>
          <w:bCs/>
          <w:color w:val="0A0A0A"/>
          <w:sz w:val="30"/>
          <w:szCs w:val="30"/>
        </w:rPr>
        <w:t>The four seats</w:t>
      </w:r>
      <w:r>
        <w:rPr>
          <w:b/>
          <w:bCs/>
          <w:color w:val="B11F1F"/>
          <w:sz w:val="30"/>
          <w:szCs w:val="30"/>
        </w:rPr>
        <w:t>.</w:t>
      </w:r>
    </w:p>
    <w:p w14:paraId="7DFC1220" w14:textId="77777777" w:rsidR="004E0E69" w:rsidRDefault="00000000">
      <w:pPr>
        <w:spacing w:before="80" w:after="40"/>
      </w:pPr>
      <w:r>
        <w:rPr>
          <w:i/>
          <w:iCs/>
        </w:rPr>
        <w:t>Listed in order of how load-bearing each seat is to the product’s safety. The first is the one we most need filled before launch.</w:t>
      </w:r>
    </w:p>
    <w:p w14:paraId="4A505AD9" w14:textId="77777777" w:rsidR="004E0E69" w:rsidRDefault="00000000">
      <w:pPr>
        <w:spacing w:before="300" w:after="40"/>
      </w:pPr>
      <w:r>
        <w:rPr>
          <w:b/>
          <w:bCs/>
          <w:caps/>
          <w:color w:val="B11F1F"/>
          <w:sz w:val="16"/>
          <w:szCs w:val="16"/>
        </w:rPr>
        <w:t>Seat 01 — Clinical (Lead)</w:t>
      </w:r>
    </w:p>
    <w:p w14:paraId="07BA0F07" w14:textId="77777777" w:rsidR="004E0E69" w:rsidRDefault="00000000">
      <w:pPr>
        <w:pStyle w:val="Heading2"/>
        <w:spacing w:before="0"/>
      </w:pPr>
      <w:r>
        <w:t>Registered Dietitian</w:t>
      </w:r>
      <w:r>
        <w:rPr>
          <w:color w:val="B11F1F"/>
        </w:rPr>
        <w:t>.</w:t>
      </w:r>
    </w:p>
    <w:p w14:paraId="07DF2B01" w14:textId="77777777" w:rsidR="004E0E69" w:rsidRDefault="00000000">
      <w:pPr>
        <w:spacing w:before="60" w:after="60"/>
      </w:pPr>
      <w:r>
        <w:rPr>
          <w:b/>
          <w:bCs/>
        </w:rPr>
        <w:t xml:space="preserve">Mandate.  </w:t>
      </w:r>
      <w:r>
        <w:t>Set and own the nutritional safety floor of the entire product.</w:t>
      </w:r>
    </w:p>
    <w:p w14:paraId="17818654" w14:textId="77777777" w:rsidR="004E0E69" w:rsidRDefault="00000000">
      <w:pPr>
        <w:spacing w:before="60" w:after="20"/>
      </w:pPr>
      <w:r>
        <w:rPr>
          <w:b/>
          <w:bCs/>
        </w:rPr>
        <w:t>What you’d own:</w:t>
      </w:r>
    </w:p>
    <w:p w14:paraId="5F0B0A7F" w14:textId="77777777" w:rsidR="004E0E69" w:rsidRDefault="00000000">
      <w:pPr>
        <w:pStyle w:val="ListParagraph"/>
        <w:numPr>
          <w:ilvl w:val="0"/>
          <w:numId w:val="2"/>
        </w:numPr>
        <w:spacing w:before="30" w:after="30"/>
      </w:pPr>
      <w:r>
        <w:t>The minimum intake floors the AI coach (FIG) will never coach below, and the logic for adjusting them per user.</w:t>
      </w:r>
    </w:p>
    <w:p w14:paraId="459E9D00" w14:textId="77777777" w:rsidR="004E0E69" w:rsidRDefault="00000000">
      <w:pPr>
        <w:pStyle w:val="ListParagraph"/>
        <w:numPr>
          <w:ilvl w:val="0"/>
          <w:numId w:val="2"/>
        </w:numPr>
        <w:spacing w:before="30" w:after="30"/>
      </w:pPr>
      <w:r>
        <w:t>The under-fueling alert logic — when the app intervenes, and in what words.</w:t>
      </w:r>
    </w:p>
    <w:p w14:paraId="70F9F44B" w14:textId="77777777" w:rsidR="004E0E69" w:rsidRDefault="00000000">
      <w:pPr>
        <w:pStyle w:val="ListParagraph"/>
        <w:numPr>
          <w:ilvl w:val="0"/>
          <w:numId w:val="2"/>
        </w:numPr>
        <w:spacing w:before="30" w:after="30"/>
      </w:pPr>
      <w:r>
        <w:t>Final review of FIG’s refusal behavior before it ships.</w:t>
      </w:r>
    </w:p>
    <w:p w14:paraId="401DE5A5" w14:textId="77777777" w:rsidR="004E0E69" w:rsidRDefault="00000000">
      <w:pPr>
        <w:pStyle w:val="ListParagraph"/>
        <w:numPr>
          <w:ilvl w:val="0"/>
          <w:numId w:val="2"/>
        </w:numPr>
        <w:spacing w:before="30" w:after="30"/>
      </w:pPr>
      <w:r>
        <w:t>Co-ownership of the “do-not-print” list that governs apparel and marketing copy.</w:t>
      </w:r>
    </w:p>
    <w:p w14:paraId="55FFC348" w14:textId="77777777" w:rsidR="004E0E69" w:rsidRDefault="00000000">
      <w:pPr>
        <w:spacing w:before="60" w:after="60"/>
      </w:pPr>
      <w:r>
        <w:rPr>
          <w:b/>
          <w:bCs/>
        </w:rPr>
        <w:t xml:space="preserve">Ideal background.  </w:t>
      </w:r>
      <w:r>
        <w:t>RD/RDN in good standing. Experience in sports nutrition, intuitive eating, or eating-disorder-informed practice strongly preferred. This is the most load-bearing seat on the board.</w:t>
      </w:r>
    </w:p>
    <w:p w14:paraId="4FF380EA" w14:textId="77777777" w:rsidR="004E0E69" w:rsidRDefault="00000000">
      <w:pPr>
        <w:spacing w:before="300" w:after="40"/>
      </w:pPr>
      <w:r>
        <w:rPr>
          <w:b/>
          <w:bCs/>
          <w:caps/>
          <w:color w:val="B11F1F"/>
          <w:sz w:val="16"/>
          <w:szCs w:val="16"/>
        </w:rPr>
        <w:lastRenderedPageBreak/>
        <w:t>Seat 02 — Medical</w:t>
      </w:r>
    </w:p>
    <w:p w14:paraId="4BA57017" w14:textId="77777777" w:rsidR="004E0E69" w:rsidRDefault="00000000">
      <w:pPr>
        <w:pStyle w:val="Heading2"/>
        <w:spacing w:before="0"/>
      </w:pPr>
      <w:r>
        <w:t>Physician</w:t>
      </w:r>
      <w:r>
        <w:rPr>
          <w:color w:val="B11F1F"/>
        </w:rPr>
        <w:t>.</w:t>
      </w:r>
    </w:p>
    <w:p w14:paraId="24CA0F74" w14:textId="77777777" w:rsidR="004E0E69" w:rsidRDefault="00000000">
      <w:pPr>
        <w:spacing w:before="60" w:after="60"/>
      </w:pPr>
      <w:r>
        <w:rPr>
          <w:b/>
          <w:bCs/>
        </w:rPr>
        <w:t xml:space="preserve">Mandate.  </w:t>
      </w:r>
      <w:r>
        <w:t>Keep the product on the right side of the line between wellness and medicine.</w:t>
      </w:r>
    </w:p>
    <w:p w14:paraId="76BF9A99" w14:textId="77777777" w:rsidR="004E0E69" w:rsidRDefault="00000000">
      <w:pPr>
        <w:spacing w:before="60" w:after="20"/>
      </w:pPr>
      <w:r>
        <w:rPr>
          <w:b/>
          <w:bCs/>
        </w:rPr>
        <w:t>What you’d own:</w:t>
      </w:r>
    </w:p>
    <w:p w14:paraId="2F9AC809" w14:textId="77777777" w:rsidR="004E0E69" w:rsidRDefault="00000000">
      <w:pPr>
        <w:pStyle w:val="ListParagraph"/>
        <w:numPr>
          <w:ilvl w:val="0"/>
          <w:numId w:val="2"/>
        </w:numPr>
        <w:spacing w:before="30" w:after="30"/>
      </w:pPr>
      <w:r>
        <w:t>Review of any health-adjacent claim the brand or app makes in public.</w:t>
      </w:r>
    </w:p>
    <w:p w14:paraId="5FF8BCB0" w14:textId="77777777" w:rsidR="004E0E69" w:rsidRDefault="00000000">
      <w:pPr>
        <w:pStyle w:val="ListParagraph"/>
        <w:numPr>
          <w:ilvl w:val="0"/>
          <w:numId w:val="2"/>
        </w:numPr>
        <w:spacing w:before="30" w:after="30"/>
      </w:pPr>
      <w:r>
        <w:t>Guidance on the GLP-1 landscape — and how the product speaks to users who are on, or coming off, those medications.</w:t>
      </w:r>
    </w:p>
    <w:p w14:paraId="646B8759" w14:textId="77777777" w:rsidR="004E0E69" w:rsidRDefault="00000000">
      <w:pPr>
        <w:pStyle w:val="ListParagraph"/>
        <w:numPr>
          <w:ilvl w:val="0"/>
          <w:numId w:val="2"/>
        </w:numPr>
        <w:spacing w:before="30" w:after="30"/>
      </w:pPr>
      <w:r>
        <w:t>A clear boundary on what the app must never do (diagnose, prescribe, or replace care) and how it routes users to real help instead.</w:t>
      </w:r>
    </w:p>
    <w:p w14:paraId="0C345241" w14:textId="77777777" w:rsidR="004E0E69" w:rsidRDefault="00000000">
      <w:pPr>
        <w:spacing w:before="60" w:after="60"/>
      </w:pPr>
      <w:r>
        <w:rPr>
          <w:b/>
          <w:bCs/>
        </w:rPr>
        <w:t xml:space="preserve">Ideal background.  </w:t>
      </w:r>
      <w:r>
        <w:t>Licensed MD or DO. Internal, family, sports, or adolescent medicine. Comfort with digital health and with eating-disorder presentations is a plus.</w:t>
      </w:r>
    </w:p>
    <w:p w14:paraId="4E4430D3" w14:textId="77777777" w:rsidR="004E0E69" w:rsidRDefault="00000000">
      <w:pPr>
        <w:spacing w:before="300" w:after="40"/>
      </w:pPr>
      <w:r>
        <w:rPr>
          <w:b/>
          <w:bCs/>
          <w:caps/>
          <w:color w:val="B11F1F"/>
          <w:sz w:val="16"/>
          <w:szCs w:val="16"/>
        </w:rPr>
        <w:t>Seat 03 — Mental Health</w:t>
      </w:r>
    </w:p>
    <w:p w14:paraId="2911E4BF" w14:textId="77777777" w:rsidR="004E0E69" w:rsidRDefault="00000000">
      <w:pPr>
        <w:pStyle w:val="Heading2"/>
        <w:spacing w:before="0"/>
      </w:pPr>
      <w:r>
        <w:t>Therapist / Eating-Disorder Specialist</w:t>
      </w:r>
      <w:r>
        <w:rPr>
          <w:color w:val="B11F1F"/>
        </w:rPr>
        <w:t>.</w:t>
      </w:r>
    </w:p>
    <w:p w14:paraId="2E8141EA" w14:textId="77777777" w:rsidR="004E0E69" w:rsidRDefault="00000000">
      <w:pPr>
        <w:spacing w:before="60" w:after="60"/>
      </w:pPr>
      <w:r>
        <w:rPr>
          <w:b/>
          <w:bCs/>
        </w:rPr>
        <w:t xml:space="preserve">Mandate.  </w:t>
      </w:r>
      <w:r>
        <w:t>Protect the psychological safety of every interaction the product has with a user.</w:t>
      </w:r>
    </w:p>
    <w:p w14:paraId="2FCA6F46" w14:textId="77777777" w:rsidR="004E0E69" w:rsidRDefault="00000000">
      <w:pPr>
        <w:spacing w:before="60" w:after="20"/>
      </w:pPr>
      <w:r>
        <w:rPr>
          <w:b/>
          <w:bCs/>
        </w:rPr>
        <w:t>What you’d own:</w:t>
      </w:r>
    </w:p>
    <w:p w14:paraId="041B8BED" w14:textId="77777777" w:rsidR="004E0E69" w:rsidRDefault="00000000">
      <w:pPr>
        <w:pStyle w:val="ListParagraph"/>
        <w:numPr>
          <w:ilvl w:val="0"/>
          <w:numId w:val="2"/>
        </w:numPr>
        <w:spacing w:before="30" w:after="30"/>
      </w:pPr>
      <w:r>
        <w:t>The tone and boundaries of FIG, especially around mood, hunger, and body image.</w:t>
      </w:r>
    </w:p>
    <w:p w14:paraId="2FD3BF1E" w14:textId="77777777" w:rsidR="004E0E69" w:rsidRDefault="00000000">
      <w:pPr>
        <w:pStyle w:val="ListParagraph"/>
        <w:numPr>
          <w:ilvl w:val="0"/>
          <w:numId w:val="2"/>
        </w:numPr>
        <w:spacing w:before="30" w:after="30"/>
      </w:pPr>
      <w:r>
        <w:t>Crisis-resource design — how and where the National Alliance for Eating Disorders helpline surfaces, and the escalation path when a user is struggling.</w:t>
      </w:r>
    </w:p>
    <w:p w14:paraId="6957A854" w14:textId="77777777" w:rsidR="004E0E69" w:rsidRDefault="00000000">
      <w:pPr>
        <w:pStyle w:val="ListParagraph"/>
        <w:numPr>
          <w:ilvl w:val="0"/>
          <w:numId w:val="2"/>
        </w:numPr>
        <w:spacing w:before="30" w:after="30"/>
      </w:pPr>
      <w:r>
        <w:t>Recovery-aware language standards across the app and marketing.</w:t>
      </w:r>
    </w:p>
    <w:p w14:paraId="62E194D3" w14:textId="77777777" w:rsidR="004E0E69" w:rsidRDefault="00000000">
      <w:pPr>
        <w:pStyle w:val="ListParagraph"/>
        <w:numPr>
          <w:ilvl w:val="0"/>
          <w:numId w:val="2"/>
        </w:numPr>
        <w:spacing w:before="30" w:after="30"/>
      </w:pPr>
      <w:r>
        <w:t>Co-ownership of the do-not-print list, alongside the dietitian.</w:t>
      </w:r>
    </w:p>
    <w:p w14:paraId="03175B97" w14:textId="77777777" w:rsidR="004E0E69" w:rsidRDefault="00000000">
      <w:pPr>
        <w:spacing w:before="60" w:after="60"/>
      </w:pPr>
      <w:r>
        <w:rPr>
          <w:b/>
          <w:bCs/>
        </w:rPr>
        <w:t xml:space="preserve">Ideal background.  </w:t>
      </w:r>
      <w:r>
        <w:t>Licensed therapist, counselor, or clinical psychologist with direct eating-disorder or body-image treatment experience.</w:t>
      </w:r>
    </w:p>
    <w:p w14:paraId="322169C7" w14:textId="77777777" w:rsidR="004E0E69" w:rsidRDefault="00000000">
      <w:pPr>
        <w:spacing w:before="300" w:after="40"/>
      </w:pPr>
      <w:r>
        <w:rPr>
          <w:b/>
          <w:bCs/>
          <w:caps/>
          <w:color w:val="B11F1F"/>
          <w:sz w:val="16"/>
          <w:szCs w:val="16"/>
        </w:rPr>
        <w:t>Seat 04 — Performance &amp; Lived Experience</w:t>
      </w:r>
    </w:p>
    <w:p w14:paraId="46E3BA6E" w14:textId="77777777" w:rsidR="004E0E69" w:rsidRDefault="00000000">
      <w:pPr>
        <w:pStyle w:val="Heading2"/>
        <w:spacing w:before="0"/>
      </w:pPr>
      <w:r>
        <w:t>Athlete Advisor</w:t>
      </w:r>
      <w:r>
        <w:rPr>
          <w:color w:val="B11F1F"/>
        </w:rPr>
        <w:t>.</w:t>
      </w:r>
    </w:p>
    <w:p w14:paraId="2973F537" w14:textId="77777777" w:rsidR="004E0E69" w:rsidRDefault="00000000">
      <w:pPr>
        <w:spacing w:before="60" w:after="60"/>
      </w:pPr>
      <w:r>
        <w:rPr>
          <w:b/>
          <w:bCs/>
        </w:rPr>
        <w:t xml:space="preserve">Mandate.  </w:t>
      </w:r>
      <w:r>
        <w:t xml:space="preserve">Keep the product honest to the people who </w:t>
      </w:r>
      <w:proofErr w:type="gramStart"/>
      <w:r>
        <w:t>actually train</w:t>
      </w:r>
      <w:proofErr w:type="gramEnd"/>
      <w:r>
        <w:t>.</w:t>
      </w:r>
    </w:p>
    <w:p w14:paraId="6092FDFE" w14:textId="77777777" w:rsidR="004E0E69" w:rsidRDefault="00000000">
      <w:pPr>
        <w:spacing w:before="60" w:after="20"/>
      </w:pPr>
      <w:r>
        <w:rPr>
          <w:b/>
          <w:bCs/>
        </w:rPr>
        <w:t>What you’d own:</w:t>
      </w:r>
    </w:p>
    <w:p w14:paraId="0226F043" w14:textId="77777777" w:rsidR="004E0E69" w:rsidRDefault="00000000">
      <w:pPr>
        <w:pStyle w:val="ListParagraph"/>
        <w:numPr>
          <w:ilvl w:val="0"/>
          <w:numId w:val="2"/>
        </w:numPr>
        <w:spacing w:before="30" w:after="30"/>
      </w:pPr>
      <w:r>
        <w:t>Pressure-testing FIG’s coaching against the real demands of training and competition.</w:t>
      </w:r>
    </w:p>
    <w:p w14:paraId="2ADBFEE7" w14:textId="77777777" w:rsidR="004E0E69" w:rsidRDefault="00000000">
      <w:pPr>
        <w:pStyle w:val="ListParagraph"/>
        <w:numPr>
          <w:ilvl w:val="0"/>
          <w:numId w:val="2"/>
        </w:numPr>
        <w:spacing w:before="30" w:after="30"/>
      </w:pPr>
      <w:r>
        <w:t>Validating that “strong, not small” reads as true to serious athletes — not as a slogan.</w:t>
      </w:r>
    </w:p>
    <w:p w14:paraId="54CE9F1D" w14:textId="77777777" w:rsidR="004E0E69" w:rsidRDefault="00000000">
      <w:pPr>
        <w:pStyle w:val="ListParagraph"/>
        <w:numPr>
          <w:ilvl w:val="0"/>
          <w:numId w:val="2"/>
        </w:numPr>
        <w:spacing w:before="30" w:after="30"/>
      </w:pPr>
      <w:r>
        <w:t>Lived-experience input on the line between healthy ambition and harmful restriction.</w:t>
      </w:r>
    </w:p>
    <w:p w14:paraId="15BAF90C" w14:textId="77777777" w:rsidR="004E0E69" w:rsidRDefault="00000000">
      <w:pPr>
        <w:spacing w:before="60" w:after="60"/>
      </w:pPr>
      <w:r>
        <w:rPr>
          <w:b/>
          <w:bCs/>
        </w:rPr>
        <w:t xml:space="preserve">Ideal background.  </w:t>
      </w:r>
      <w:r>
        <w:t>Competitive or elite athletic background, ideally in a strength, physique, or endurance sport. A public platform is a plus, not a requirement.</w:t>
      </w:r>
    </w:p>
    <w:p w14:paraId="40F10F36" w14:textId="77777777" w:rsidR="004E0E69" w:rsidRDefault="004E0E69">
      <w:pPr>
        <w:pBdr>
          <w:top w:val="single" w:sz="4" w:space="8" w:color="DDDDDD"/>
        </w:pBdr>
        <w:spacing w:before="360" w:after="60"/>
      </w:pPr>
    </w:p>
    <w:p w14:paraId="7AE159E3" w14:textId="77777777" w:rsidR="004E0E69" w:rsidRDefault="00000000">
      <w:pPr>
        <w:spacing w:before="80" w:after="80"/>
      </w:pPr>
      <w:r>
        <w:t>Every line the brand says in public, and every decision the product makes in private, should be one this board would put its name behind. That is the entire point of building it.</w:t>
      </w:r>
    </w:p>
    <w:p w14:paraId="32426069" w14:textId="77777777" w:rsidR="004E0E69" w:rsidRDefault="00000000">
      <w:pPr>
        <w:spacing w:before="120"/>
      </w:pPr>
      <w:r>
        <w:rPr>
          <w:b/>
          <w:bCs/>
        </w:rPr>
        <w:t>To talk through a seat</w:t>
      </w:r>
      <w:proofErr w:type="gramStart"/>
      <w:r>
        <w:rPr>
          <w:b/>
          <w:bCs/>
        </w:rPr>
        <w:t xml:space="preserve">:  </w:t>
      </w:r>
      <w:r>
        <w:rPr>
          <w:color w:val="6B6B6B"/>
        </w:rPr>
        <w:t>[</w:t>
      </w:r>
      <w:proofErr w:type="gramEnd"/>
      <w:r>
        <w:rPr>
          <w:color w:val="6B6B6B"/>
        </w:rPr>
        <w:t>name] · [email]</w:t>
      </w:r>
    </w:p>
    <w:sectPr w:rsidR="004E0E6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ED17F" w14:textId="77777777" w:rsidR="00783D81" w:rsidRDefault="00783D81">
      <w:r>
        <w:separator/>
      </w:r>
    </w:p>
  </w:endnote>
  <w:endnote w:type="continuationSeparator" w:id="0">
    <w:p w14:paraId="4EAA9EF4" w14:textId="77777777" w:rsidR="00783D81" w:rsidRDefault="00783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890FB" w14:textId="77777777" w:rsidR="004E0E69" w:rsidRDefault="00000000">
    <w:pPr>
      <w:pBdr>
        <w:top w:val="single" w:sz="4" w:space="6" w:color="DDDDDD"/>
      </w:pBdr>
      <w:tabs>
        <w:tab w:val="right" w:pos="9360"/>
      </w:tabs>
    </w:pPr>
    <w:r>
      <w:rPr>
        <w:color w:val="6B6B6B"/>
        <w:sz w:val="14"/>
        <w:szCs w:val="14"/>
      </w:rPr>
      <w:t xml:space="preserve">HUNGER.  </w:t>
    </w:r>
    <w:proofErr w:type="gramStart"/>
    <w:r>
      <w:rPr>
        <w:color w:val="6B6B6B"/>
        <w:sz w:val="14"/>
        <w:szCs w:val="14"/>
      </w:rPr>
      <w:t>·  Advisory</w:t>
    </w:r>
    <w:proofErr w:type="gramEnd"/>
    <w:r>
      <w:rPr>
        <w:color w:val="6B6B6B"/>
        <w:sz w:val="14"/>
        <w:szCs w:val="14"/>
      </w:rPr>
      <w:t xml:space="preserve"> Board — Open Seats</w:t>
    </w:r>
    <w:r>
      <w:tab/>
    </w:r>
    <w:r>
      <w:rPr>
        <w:color w:val="6B6B6B"/>
        <w:sz w:val="14"/>
        <w:szCs w:val="14"/>
      </w:rPr>
      <w:t xml:space="preserve">Page </w:t>
    </w:r>
    <w:r>
      <w:rPr>
        <w:color w:val="6B6B6B"/>
        <w:sz w:val="14"/>
        <w:szCs w:val="14"/>
      </w:rPr>
      <w:fldChar w:fldCharType="begin"/>
    </w:r>
    <w:r>
      <w:rPr>
        <w:color w:val="6B6B6B"/>
        <w:sz w:val="14"/>
        <w:szCs w:val="14"/>
      </w:rPr>
      <w:instrText>PAGE</w:instrText>
    </w:r>
    <w:r>
      <w:rPr>
        <w:color w:val="6B6B6B"/>
        <w:sz w:val="14"/>
        <w:szCs w:val="14"/>
      </w:rPr>
      <w:fldChar w:fldCharType="separate"/>
    </w:r>
    <w:r w:rsidR="00DB79F8">
      <w:rPr>
        <w:noProof/>
        <w:color w:val="6B6B6B"/>
        <w:sz w:val="14"/>
        <w:szCs w:val="14"/>
      </w:rPr>
      <w:t>1</w:t>
    </w:r>
    <w:r>
      <w:rPr>
        <w:color w:val="6B6B6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82795" w14:textId="77777777" w:rsidR="00783D81" w:rsidRDefault="00783D81">
      <w:r>
        <w:separator/>
      </w:r>
    </w:p>
  </w:footnote>
  <w:footnote w:type="continuationSeparator" w:id="0">
    <w:p w14:paraId="2FFDF6D0" w14:textId="77777777" w:rsidR="00783D81" w:rsidRDefault="00783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87A00" w14:textId="77777777" w:rsidR="004E0E69" w:rsidRDefault="00000000">
    <w:pPr>
      <w:pBdr>
        <w:bottom w:val="single" w:sz="4" w:space="6" w:color="DDDDDD"/>
      </w:pBdr>
      <w:tabs>
        <w:tab w:val="right" w:pos="9360"/>
      </w:tabs>
    </w:pPr>
    <w:r>
      <w:rPr>
        <w:rFonts w:ascii="Arial Black" w:eastAsia="Arial Black" w:hAnsi="Arial Black" w:cs="Arial Black"/>
        <w:b/>
        <w:bCs/>
        <w:color w:val="0A0A0A"/>
        <w:sz w:val="20"/>
        <w:szCs w:val="20"/>
      </w:rPr>
      <w:t>HUNGER</w:t>
    </w:r>
    <w:r>
      <w:rPr>
        <w:rFonts w:ascii="Arial Black" w:eastAsia="Arial Black" w:hAnsi="Arial Black" w:cs="Arial Black"/>
        <w:b/>
        <w:bCs/>
        <w:color w:val="B11F1F"/>
        <w:sz w:val="20"/>
        <w:szCs w:val="20"/>
      </w:rPr>
      <w:t>.</w:t>
    </w:r>
    <w:r>
      <w:tab/>
    </w:r>
    <w:r>
      <w:rPr>
        <w:caps/>
        <w:color w:val="6B6B6B"/>
        <w:sz w:val="14"/>
        <w:szCs w:val="14"/>
      </w:rPr>
      <w:t xml:space="preserve">ADVISORY </w:t>
    </w:r>
    <w:proofErr w:type="gramStart"/>
    <w:r>
      <w:rPr>
        <w:caps/>
        <w:color w:val="6B6B6B"/>
        <w:sz w:val="14"/>
        <w:szCs w:val="14"/>
      </w:rPr>
      <w:t>BOARD  ·</w:t>
    </w:r>
    <w:proofErr w:type="gramEnd"/>
    <w:r>
      <w:rPr>
        <w:caps/>
        <w:color w:val="6B6B6B"/>
        <w:sz w:val="14"/>
        <w:szCs w:val="14"/>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120A5"/>
    <w:multiLevelType w:val="hybridMultilevel"/>
    <w:tmpl w:val="FF6EBFE6"/>
    <w:lvl w:ilvl="0" w:tplc="5BA2C0EC">
      <w:start w:val="1"/>
      <w:numFmt w:val="bullet"/>
      <w:lvlText w:val="—"/>
      <w:lvlJc w:val="left"/>
      <w:pPr>
        <w:ind w:left="460" w:hanging="260"/>
      </w:pPr>
      <w:rPr>
        <w:color w:val="B11F1F"/>
      </w:rPr>
    </w:lvl>
    <w:lvl w:ilvl="1" w:tplc="B71E7D30">
      <w:numFmt w:val="decimal"/>
      <w:lvlText w:val=""/>
      <w:lvlJc w:val="left"/>
    </w:lvl>
    <w:lvl w:ilvl="2" w:tplc="17BAAE40">
      <w:numFmt w:val="decimal"/>
      <w:lvlText w:val=""/>
      <w:lvlJc w:val="left"/>
    </w:lvl>
    <w:lvl w:ilvl="3" w:tplc="39B06F20">
      <w:numFmt w:val="decimal"/>
      <w:lvlText w:val=""/>
      <w:lvlJc w:val="left"/>
    </w:lvl>
    <w:lvl w:ilvl="4" w:tplc="A1B8768A">
      <w:numFmt w:val="decimal"/>
      <w:lvlText w:val=""/>
      <w:lvlJc w:val="left"/>
    </w:lvl>
    <w:lvl w:ilvl="5" w:tplc="15887F52">
      <w:numFmt w:val="decimal"/>
      <w:lvlText w:val=""/>
      <w:lvlJc w:val="left"/>
    </w:lvl>
    <w:lvl w:ilvl="6" w:tplc="12BAB6B8">
      <w:numFmt w:val="decimal"/>
      <w:lvlText w:val=""/>
      <w:lvlJc w:val="left"/>
    </w:lvl>
    <w:lvl w:ilvl="7" w:tplc="44A4D944">
      <w:numFmt w:val="decimal"/>
      <w:lvlText w:val=""/>
      <w:lvlJc w:val="left"/>
    </w:lvl>
    <w:lvl w:ilvl="8" w:tplc="97260358">
      <w:numFmt w:val="decimal"/>
      <w:lvlText w:val=""/>
      <w:lvlJc w:val="left"/>
    </w:lvl>
  </w:abstractNum>
  <w:abstractNum w:abstractNumId="1" w15:restartNumberingAfterBreak="0">
    <w:nsid w:val="2F243B14"/>
    <w:multiLevelType w:val="hybridMultilevel"/>
    <w:tmpl w:val="4B880C80"/>
    <w:lvl w:ilvl="0" w:tplc="D1CE87F8">
      <w:start w:val="1"/>
      <w:numFmt w:val="bullet"/>
      <w:lvlText w:val="●"/>
      <w:lvlJc w:val="left"/>
      <w:pPr>
        <w:ind w:left="720" w:hanging="360"/>
      </w:pPr>
    </w:lvl>
    <w:lvl w:ilvl="1" w:tplc="B48867DC">
      <w:start w:val="1"/>
      <w:numFmt w:val="bullet"/>
      <w:lvlText w:val="○"/>
      <w:lvlJc w:val="left"/>
      <w:pPr>
        <w:ind w:left="1440" w:hanging="360"/>
      </w:pPr>
    </w:lvl>
    <w:lvl w:ilvl="2" w:tplc="E64C94AE">
      <w:start w:val="1"/>
      <w:numFmt w:val="bullet"/>
      <w:lvlText w:val="■"/>
      <w:lvlJc w:val="left"/>
      <w:pPr>
        <w:ind w:left="2160" w:hanging="360"/>
      </w:pPr>
    </w:lvl>
    <w:lvl w:ilvl="3" w:tplc="4DE4AE80">
      <w:start w:val="1"/>
      <w:numFmt w:val="bullet"/>
      <w:lvlText w:val="●"/>
      <w:lvlJc w:val="left"/>
      <w:pPr>
        <w:ind w:left="2880" w:hanging="360"/>
      </w:pPr>
    </w:lvl>
    <w:lvl w:ilvl="4" w:tplc="DE585DBE">
      <w:start w:val="1"/>
      <w:numFmt w:val="bullet"/>
      <w:lvlText w:val="○"/>
      <w:lvlJc w:val="left"/>
      <w:pPr>
        <w:ind w:left="3600" w:hanging="360"/>
      </w:pPr>
    </w:lvl>
    <w:lvl w:ilvl="5" w:tplc="AB882B9A">
      <w:start w:val="1"/>
      <w:numFmt w:val="bullet"/>
      <w:lvlText w:val="■"/>
      <w:lvlJc w:val="left"/>
      <w:pPr>
        <w:ind w:left="4320" w:hanging="360"/>
      </w:pPr>
    </w:lvl>
    <w:lvl w:ilvl="6" w:tplc="1D2ED1A0">
      <w:start w:val="1"/>
      <w:numFmt w:val="bullet"/>
      <w:lvlText w:val="●"/>
      <w:lvlJc w:val="left"/>
      <w:pPr>
        <w:ind w:left="5040" w:hanging="360"/>
      </w:pPr>
    </w:lvl>
    <w:lvl w:ilvl="7" w:tplc="917CBC1E">
      <w:start w:val="1"/>
      <w:numFmt w:val="bullet"/>
      <w:lvlText w:val="●"/>
      <w:lvlJc w:val="left"/>
      <w:pPr>
        <w:ind w:left="5760" w:hanging="360"/>
      </w:pPr>
    </w:lvl>
    <w:lvl w:ilvl="8" w:tplc="3E2EE9DC">
      <w:start w:val="1"/>
      <w:numFmt w:val="bullet"/>
      <w:lvlText w:val="●"/>
      <w:lvlJc w:val="left"/>
      <w:pPr>
        <w:ind w:left="6480" w:hanging="360"/>
      </w:pPr>
    </w:lvl>
  </w:abstractNum>
  <w:num w:numId="1" w16cid:durableId="1597865124">
    <w:abstractNumId w:val="1"/>
    <w:lvlOverride w:ilvl="0">
      <w:startOverride w:val="1"/>
    </w:lvlOverride>
  </w:num>
  <w:num w:numId="2" w16cid:durableId="303660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E69"/>
    <w:rsid w:val="00452485"/>
    <w:rsid w:val="004E0E69"/>
    <w:rsid w:val="00783D81"/>
    <w:rsid w:val="00DB7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319CD6"/>
  <w15:docId w15:val="{82BDDC4D-AADB-D24D-9CF4-1F544154A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60"/>
      <w:outlineLvl w:val="0"/>
    </w:pPr>
    <w:rPr>
      <w:rFonts w:ascii="Arial Black" w:eastAsia="Arial Black" w:hAnsi="Arial Black" w:cs="Arial Black"/>
      <w:b/>
      <w:bCs/>
      <w:color w:val="0A0A0A"/>
      <w:sz w:val="44"/>
      <w:szCs w:val="44"/>
    </w:rPr>
  </w:style>
  <w:style w:type="paragraph" w:styleId="Heading2">
    <w:name w:val="heading 2"/>
    <w:uiPriority w:val="9"/>
    <w:unhideWhenUsed/>
    <w:qFormat/>
    <w:pPr>
      <w:spacing w:before="240" w:after="100"/>
      <w:outlineLvl w:val="1"/>
    </w:pPr>
    <w:rPr>
      <w:b/>
      <w:bCs/>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668</Words>
  <Characters>3573</Characters>
  <Application>Microsoft Office Word</Application>
  <DocSecurity>0</DocSecurity>
  <Lines>73</Lines>
  <Paragraphs>47</Paragraphs>
  <ScaleCrop>false</ScaleCrop>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HUNGER. Advisory Board — Open Seats</dc:title>
  <dc:creator>HUNGER.</dc:creator>
  <cp:lastModifiedBy>Josh Morris</cp:lastModifiedBy>
  <cp:revision>2</cp:revision>
  <dcterms:created xsi:type="dcterms:W3CDTF">2026-05-31T15:15:00Z</dcterms:created>
  <dcterms:modified xsi:type="dcterms:W3CDTF">2026-05-31T15:15:00Z</dcterms:modified>
</cp:coreProperties>
</file>