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A0AB0" w14:textId="77777777" w:rsidR="006F75C5" w:rsidRDefault="006F75C5" w:rsidP="005670AE">
      <w:pPr>
        <w:jc w:val="center"/>
        <w:rPr>
          <w:b/>
        </w:rPr>
      </w:pPr>
      <w:smartTag w:uri="urn:schemas-microsoft-com:office:smarttags" w:element="place">
        <w:smartTag w:uri="urn:schemas-microsoft-com:office:smarttags" w:element="PlaceName">
          <w:r>
            <w:rPr>
              <w:b/>
            </w:rPr>
            <w:t>Western</w:t>
          </w:r>
        </w:smartTag>
        <w:r>
          <w:rPr>
            <w:b/>
          </w:rPr>
          <w:t xml:space="preserve"> </w:t>
        </w:r>
        <w:smartTag w:uri="urn:schemas-microsoft-com:office:smarttags" w:element="PlaceType">
          <w:r>
            <w:rPr>
              <w:b/>
            </w:rPr>
            <w:t>University</w:t>
          </w:r>
        </w:smartTag>
      </w:smartTag>
    </w:p>
    <w:p w14:paraId="4908BB8F" w14:textId="77777777" w:rsidR="006F75C5" w:rsidRDefault="006F75C5" w:rsidP="005670AE">
      <w:pPr>
        <w:jc w:val="center"/>
        <w:rPr>
          <w:b/>
        </w:rPr>
      </w:pPr>
      <w:r>
        <w:rPr>
          <w:b/>
        </w:rPr>
        <w:t>Faculty of Engineering</w:t>
      </w:r>
    </w:p>
    <w:p w14:paraId="6F102A93" w14:textId="77777777" w:rsidR="006F75C5" w:rsidRDefault="006F75C5" w:rsidP="005670AE">
      <w:pPr>
        <w:jc w:val="center"/>
        <w:rPr>
          <w:b/>
        </w:rPr>
      </w:pPr>
      <w:r>
        <w:rPr>
          <w:b/>
        </w:rPr>
        <w:t>Department of Electrical and Computer Engineering</w:t>
      </w:r>
    </w:p>
    <w:p w14:paraId="5A3E2A22" w14:textId="77777777" w:rsidR="006F75C5" w:rsidRDefault="006F75C5" w:rsidP="005670AE">
      <w:pPr>
        <w:jc w:val="center"/>
        <w:rPr>
          <w:b/>
        </w:rPr>
      </w:pPr>
    </w:p>
    <w:p w14:paraId="1DE34760" w14:textId="77777777" w:rsidR="006F75C5" w:rsidRPr="005670AE" w:rsidRDefault="006F75C5" w:rsidP="005670AE">
      <w:pPr>
        <w:spacing w:after="120"/>
        <w:jc w:val="center"/>
        <w:rPr>
          <w:b/>
          <w:sz w:val="28"/>
          <w:szCs w:val="28"/>
        </w:rPr>
      </w:pPr>
      <w:r w:rsidRPr="005670AE">
        <w:rPr>
          <w:b/>
          <w:sz w:val="28"/>
          <w:szCs w:val="28"/>
        </w:rPr>
        <w:t xml:space="preserve">ECE </w:t>
      </w:r>
      <w:r>
        <w:rPr>
          <w:b/>
          <w:sz w:val="28"/>
          <w:szCs w:val="28"/>
        </w:rPr>
        <w:t>XXXX</w:t>
      </w:r>
      <w:r w:rsidRPr="005670AE">
        <w:rPr>
          <w:b/>
          <w:sz w:val="28"/>
          <w:szCs w:val="28"/>
        </w:rPr>
        <w:t>A</w:t>
      </w:r>
      <w:r>
        <w:rPr>
          <w:b/>
          <w:sz w:val="28"/>
          <w:szCs w:val="28"/>
        </w:rPr>
        <w:t>/B</w:t>
      </w:r>
      <w:r w:rsidRPr="005670AE">
        <w:rPr>
          <w:b/>
          <w:sz w:val="28"/>
          <w:szCs w:val="28"/>
        </w:rPr>
        <w:t xml:space="preserve">: </w:t>
      </w:r>
      <w:r>
        <w:rPr>
          <w:b/>
          <w:sz w:val="28"/>
          <w:szCs w:val="28"/>
        </w:rPr>
        <w:t>Course Title</w:t>
      </w:r>
    </w:p>
    <w:p w14:paraId="3335EC5E" w14:textId="77777777" w:rsidR="006F75C5" w:rsidRDefault="006F75C5" w:rsidP="005670AE">
      <w:pPr>
        <w:jc w:val="center"/>
        <w:rPr>
          <w:b/>
        </w:rPr>
      </w:pPr>
      <w:r>
        <w:rPr>
          <w:b/>
        </w:rPr>
        <w:t>Course Outline 20YY-YY</w:t>
      </w:r>
    </w:p>
    <w:p w14:paraId="36B9985B" w14:textId="77777777" w:rsidR="006F75C5" w:rsidRDefault="006F75C5" w:rsidP="005670AE">
      <w:pPr>
        <w:jc w:val="center"/>
        <w:rPr>
          <w:b/>
        </w:rPr>
      </w:pPr>
    </w:p>
    <w:p w14:paraId="0916BC78" w14:textId="77777777" w:rsidR="006F75C5" w:rsidRDefault="006F75C5" w:rsidP="005670AE">
      <w:pPr>
        <w:jc w:val="center"/>
        <w:rPr>
          <w:b/>
        </w:rPr>
      </w:pPr>
    </w:p>
    <w:p w14:paraId="4849002A" w14:textId="77777777" w:rsidR="006F75C5" w:rsidRDefault="006F75C5" w:rsidP="005670AE">
      <w:pPr>
        <w:jc w:val="both"/>
        <w:rPr>
          <w:spacing w:val="-3"/>
        </w:rPr>
      </w:pPr>
      <w:r>
        <w:rPr>
          <w:b/>
        </w:rPr>
        <w:t xml:space="preserve">Description: </w:t>
      </w:r>
    </w:p>
    <w:p w14:paraId="33982A6B" w14:textId="77777777" w:rsidR="006F75C5" w:rsidRDefault="006F75C5" w:rsidP="005670AE">
      <w:pPr>
        <w:jc w:val="both"/>
        <w:rPr>
          <w:spacing w:val="-3"/>
        </w:rPr>
      </w:pPr>
    </w:p>
    <w:p w14:paraId="6FA01892" w14:textId="77777777" w:rsidR="006F75C5" w:rsidRDefault="006F75C5" w:rsidP="00706BC0">
      <w:pPr>
        <w:jc w:val="both"/>
      </w:pPr>
      <w:r>
        <w:rPr>
          <w:b/>
        </w:rPr>
        <w:t>Instructor</w:t>
      </w:r>
      <w:r w:rsidRPr="007031E0">
        <w:rPr>
          <w:b/>
        </w:rPr>
        <w:t>:</w:t>
      </w:r>
      <w:r>
        <w:tab/>
        <w:t>Dr. Name, P.Eng.</w:t>
      </w:r>
    </w:p>
    <w:p w14:paraId="6BDB80BD" w14:textId="77777777" w:rsidR="006F75C5" w:rsidRDefault="006F75C5" w:rsidP="00706BC0">
      <w:pPr>
        <w:jc w:val="both"/>
      </w:pPr>
      <w:r>
        <w:tab/>
      </w:r>
      <w:r>
        <w:tab/>
      </w:r>
      <w:r>
        <w:tab/>
      </w:r>
      <w:r>
        <w:tab/>
        <w:t>TEB XXX, 519-661-2111 ext. XXXXX, UWO e-mail address as hyperlink</w:t>
      </w:r>
    </w:p>
    <w:p w14:paraId="5EE6BB7C" w14:textId="77777777" w:rsidR="006F75C5" w:rsidRPr="00706BC0" w:rsidRDefault="006F75C5" w:rsidP="005670AE">
      <w:pPr>
        <w:jc w:val="both"/>
      </w:pPr>
      <w:r>
        <w:tab/>
      </w:r>
      <w:r>
        <w:tab/>
      </w:r>
      <w:r>
        <w:tab/>
      </w:r>
      <w:r>
        <w:tab/>
        <w:t xml:space="preserve">Consultation hours: </w:t>
      </w:r>
    </w:p>
    <w:p w14:paraId="54B36261" w14:textId="77777777" w:rsidR="006F75C5" w:rsidRDefault="006F75C5" w:rsidP="005670AE">
      <w:pPr>
        <w:jc w:val="both"/>
        <w:rPr>
          <w:spacing w:val="-3"/>
        </w:rPr>
      </w:pPr>
    </w:p>
    <w:p w14:paraId="00D21762" w14:textId="77777777" w:rsidR="006F75C5" w:rsidRDefault="006F75C5" w:rsidP="0046444A">
      <w:pPr>
        <w:spacing w:after="120"/>
        <w:jc w:val="both"/>
        <w:rPr>
          <w:rStyle w:val="course-name"/>
        </w:rPr>
      </w:pPr>
      <w:r>
        <w:rPr>
          <w:b/>
          <w:spacing w:val="-3"/>
        </w:rPr>
        <w:t xml:space="preserve">Academic </w:t>
      </w:r>
      <w:r w:rsidRPr="00EE4FED">
        <w:rPr>
          <w:b/>
          <w:spacing w:val="-3"/>
        </w:rPr>
        <w:t>Calendar Copy:</w:t>
      </w:r>
      <w:r>
        <w:rPr>
          <w:spacing w:val="-3"/>
        </w:rPr>
        <w:t xml:space="preserve"> </w:t>
      </w:r>
    </w:p>
    <w:p w14:paraId="16D7AC8C" w14:textId="77777777" w:rsidR="006F75C5" w:rsidRDefault="006F75C5" w:rsidP="00EA6FDB">
      <w:pPr>
        <w:spacing w:after="120"/>
        <w:jc w:val="both"/>
        <w:rPr>
          <w:rStyle w:val="course-name"/>
        </w:rPr>
      </w:pPr>
      <w:r w:rsidRPr="00EE4FED">
        <w:rPr>
          <w:rStyle w:val="course-name"/>
          <w:b/>
        </w:rPr>
        <w:t>Contact Hours:</w:t>
      </w:r>
      <w:r>
        <w:rPr>
          <w:rStyle w:val="course-name"/>
        </w:rPr>
        <w:t xml:space="preserve"> X lecture hours, Y laboratory hours, Z tutorial hours, 0.5 course.</w:t>
      </w:r>
    </w:p>
    <w:p w14:paraId="6B033533" w14:textId="77777777" w:rsidR="006F75C5" w:rsidRPr="0036085B" w:rsidRDefault="006F75C5" w:rsidP="0036085B">
      <w:pPr>
        <w:spacing w:after="120"/>
        <w:jc w:val="both"/>
        <w:rPr>
          <w:rStyle w:val="course-name"/>
        </w:rPr>
      </w:pPr>
      <w:proofErr w:type="spellStart"/>
      <w:r>
        <w:rPr>
          <w:rStyle w:val="course-name"/>
          <w:b/>
        </w:rPr>
        <w:t>Antirequisite</w:t>
      </w:r>
      <w:proofErr w:type="spellEnd"/>
      <w:r>
        <w:rPr>
          <w:rStyle w:val="course-name"/>
          <w:b/>
        </w:rPr>
        <w:t>:</w:t>
      </w:r>
      <w:r>
        <w:rPr>
          <w:rStyle w:val="course-name"/>
        </w:rPr>
        <w:t xml:space="preserve"> </w:t>
      </w:r>
    </w:p>
    <w:p w14:paraId="751CCFA9" w14:textId="77777777" w:rsidR="006F75C5" w:rsidRDefault="006F75C5" w:rsidP="005670AE">
      <w:pPr>
        <w:jc w:val="both"/>
        <w:rPr>
          <w:rStyle w:val="course-name"/>
        </w:rPr>
      </w:pPr>
      <w:r w:rsidRPr="004971F7">
        <w:rPr>
          <w:rStyle w:val="course-name"/>
          <w:b/>
        </w:rPr>
        <w:t>Prerequisite</w:t>
      </w:r>
      <w:r>
        <w:rPr>
          <w:rStyle w:val="course-name"/>
          <w:b/>
        </w:rPr>
        <w:t>s</w:t>
      </w:r>
      <w:r w:rsidRPr="004971F7">
        <w:rPr>
          <w:rStyle w:val="course-name"/>
          <w:b/>
        </w:rPr>
        <w:t>:</w:t>
      </w:r>
      <w:r>
        <w:rPr>
          <w:rStyle w:val="course-name"/>
        </w:rPr>
        <w:t xml:space="preserve"> </w:t>
      </w:r>
    </w:p>
    <w:p w14:paraId="6D577ECD" w14:textId="77777777" w:rsidR="006F75C5" w:rsidRDefault="006F75C5" w:rsidP="00315F1A">
      <w:pPr>
        <w:spacing w:before="120"/>
        <w:jc w:val="both"/>
        <w:rPr>
          <w:rStyle w:val="course-name"/>
        </w:rPr>
      </w:pPr>
      <w:r w:rsidRPr="004971F7">
        <w:rPr>
          <w:rStyle w:val="course-name"/>
          <w:b/>
        </w:rPr>
        <w:t>Co-requisite:</w:t>
      </w:r>
      <w:r>
        <w:rPr>
          <w:rStyle w:val="course-name"/>
        </w:rPr>
        <w:t xml:space="preserve"> </w:t>
      </w:r>
    </w:p>
    <w:p w14:paraId="50A87AC7" w14:textId="77777777" w:rsidR="006F75C5" w:rsidRPr="00EE3D51" w:rsidRDefault="006F75C5" w:rsidP="00315F1A">
      <w:pPr>
        <w:spacing w:before="120"/>
        <w:jc w:val="both"/>
      </w:pPr>
      <w:r w:rsidRPr="00EE3D51">
        <w:t>Unless you have either the requisites for this course or written special permission from your Dean to enroll in it, you will be removed from this course and it will be deleted from your record. This decision may not be appealed. You will receive no adjustment to your fees in the event that you are dropped from a course for failing to have the necessary prerequisites.</w:t>
      </w:r>
    </w:p>
    <w:p w14:paraId="6A7B0B51" w14:textId="77777777" w:rsidR="006F75C5" w:rsidRDefault="006F75C5" w:rsidP="005670AE">
      <w:pPr>
        <w:jc w:val="both"/>
      </w:pPr>
    </w:p>
    <w:p w14:paraId="0D6E1944" w14:textId="77777777" w:rsidR="006F75C5" w:rsidRPr="005C0484" w:rsidRDefault="006F75C5" w:rsidP="005670AE">
      <w:pPr>
        <w:jc w:val="both"/>
      </w:pPr>
      <w:r w:rsidRPr="00FB3DBC">
        <w:rPr>
          <w:b/>
        </w:rPr>
        <w:t>CEAB Academic Units:</w:t>
      </w:r>
      <w:r>
        <w:t xml:space="preserve"> Engineering Science X%, Engineering Design Y%.</w:t>
      </w:r>
    </w:p>
    <w:p w14:paraId="53CBFC53" w14:textId="77777777" w:rsidR="006F75C5" w:rsidRDefault="006F75C5" w:rsidP="005670AE">
      <w:pPr>
        <w:jc w:val="both"/>
      </w:pPr>
    </w:p>
    <w:p w14:paraId="539BE5F3" w14:textId="77777777" w:rsidR="006F75C5" w:rsidRDefault="006F75C5" w:rsidP="005670AE">
      <w:pPr>
        <w:jc w:val="both"/>
      </w:pPr>
      <w:r>
        <w:rPr>
          <w:b/>
        </w:rPr>
        <w:t xml:space="preserve">Required </w:t>
      </w:r>
      <w:r w:rsidRPr="007031E0">
        <w:rPr>
          <w:b/>
        </w:rPr>
        <w:t>Textbook:</w:t>
      </w:r>
      <w:r w:rsidRPr="007031E0">
        <w:t xml:space="preserve"> </w:t>
      </w:r>
    </w:p>
    <w:p w14:paraId="1ED18767" w14:textId="77777777" w:rsidR="006F75C5" w:rsidRDefault="006F75C5" w:rsidP="005670AE">
      <w:pPr>
        <w:jc w:val="both"/>
      </w:pPr>
    </w:p>
    <w:p w14:paraId="67443203" w14:textId="77777777" w:rsidR="006F75C5" w:rsidRDefault="006F75C5" w:rsidP="005670AE">
      <w:pPr>
        <w:jc w:val="both"/>
      </w:pPr>
      <w:r w:rsidRPr="00DF790C">
        <w:rPr>
          <w:b/>
        </w:rPr>
        <w:t>Other Required References:</w:t>
      </w:r>
      <w:r>
        <w:t xml:space="preserve"> </w:t>
      </w:r>
    </w:p>
    <w:p w14:paraId="3E3F94C0" w14:textId="77777777" w:rsidR="006F75C5" w:rsidRDefault="006F75C5" w:rsidP="005670AE">
      <w:pPr>
        <w:jc w:val="both"/>
      </w:pPr>
    </w:p>
    <w:p w14:paraId="283A66AA" w14:textId="77777777" w:rsidR="006F75C5" w:rsidRDefault="006F75C5" w:rsidP="005670AE">
      <w:pPr>
        <w:jc w:val="both"/>
      </w:pPr>
      <w:r w:rsidRPr="00DF790C">
        <w:rPr>
          <w:b/>
        </w:rPr>
        <w:t>Recommended References:</w:t>
      </w:r>
      <w:r>
        <w:t xml:space="preserve"> </w:t>
      </w:r>
    </w:p>
    <w:p w14:paraId="63814439" w14:textId="77777777" w:rsidR="006F75C5" w:rsidRPr="005C0484" w:rsidRDefault="006F75C5" w:rsidP="00315F1A">
      <w:pPr>
        <w:spacing w:after="120"/>
        <w:jc w:val="both"/>
        <w:rPr>
          <w:b/>
        </w:rPr>
      </w:pPr>
      <w:r>
        <w:rPr>
          <w:b/>
        </w:rPr>
        <w:br w:type="page"/>
      </w:r>
      <w:r w:rsidRPr="005C0484">
        <w:rPr>
          <w:b/>
        </w:rPr>
        <w:lastRenderedPageBreak/>
        <w:t>General Learning Object</w:t>
      </w:r>
      <w:r>
        <w:rPr>
          <w:b/>
        </w:rPr>
        <w:t>ives (CEAB Graduate Attributes)</w:t>
      </w:r>
    </w:p>
    <w:tbl>
      <w:tblPr>
        <w:tblW w:w="9372" w:type="dxa"/>
        <w:jc w:val="center"/>
        <w:tblLayout w:type="fixed"/>
        <w:tblCellMar>
          <w:left w:w="10" w:type="dxa"/>
          <w:right w:w="10" w:type="dxa"/>
        </w:tblCellMar>
        <w:tblLook w:val="0000" w:firstRow="0" w:lastRow="0" w:firstColumn="0" w:lastColumn="0" w:noHBand="0" w:noVBand="0"/>
      </w:tblPr>
      <w:tblGrid>
        <w:gridCol w:w="2643"/>
        <w:gridCol w:w="489"/>
        <w:gridCol w:w="2643"/>
        <w:gridCol w:w="477"/>
        <w:gridCol w:w="2643"/>
        <w:gridCol w:w="477"/>
      </w:tblGrid>
      <w:tr w:rsidR="006F75C5" w:rsidRPr="00E07646" w14:paraId="465E2D90" w14:textId="77777777" w:rsidTr="000A670C">
        <w:trPr>
          <w:jc w:val="center"/>
        </w:trPr>
        <w:tc>
          <w:tcPr>
            <w:tcW w:w="263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1232EF2" w14:textId="77777777" w:rsidR="006F75C5" w:rsidRPr="00E07646" w:rsidRDefault="006F75C5" w:rsidP="00315F1A">
            <w:pPr>
              <w:pStyle w:val="Standard"/>
              <w:snapToGrid w:val="0"/>
              <w:rPr>
                <w:b w:val="0"/>
              </w:rPr>
            </w:pPr>
            <w:r w:rsidRPr="00E07646">
              <w:rPr>
                <w:b w:val="0"/>
              </w:rPr>
              <w:t>Knowledge Base</w:t>
            </w:r>
          </w:p>
        </w:tc>
        <w:tc>
          <w:tcPr>
            <w:tcW w:w="487" w:type="dxa"/>
            <w:tcBorders>
              <w:top w:val="single" w:sz="4" w:space="0" w:color="000000"/>
              <w:left w:val="single" w:sz="4" w:space="0" w:color="000000"/>
              <w:bottom w:val="single" w:sz="4" w:space="0" w:color="000000"/>
            </w:tcBorders>
            <w:tcMar>
              <w:top w:w="0" w:type="dxa"/>
              <w:left w:w="0" w:type="dxa"/>
              <w:bottom w:w="0" w:type="dxa"/>
              <w:right w:w="0" w:type="dxa"/>
            </w:tcMar>
            <w:vAlign w:val="center"/>
          </w:tcPr>
          <w:p w14:paraId="6DCCFDDC" w14:textId="3B7A0ED9" w:rsidR="006F75C5" w:rsidRPr="00E07646" w:rsidRDefault="007D05CD" w:rsidP="00315F1A">
            <w:pPr>
              <w:pStyle w:val="Standard"/>
              <w:snapToGrid w:val="0"/>
              <w:jc w:val="center"/>
              <w:rPr>
                <w:b w:val="0"/>
              </w:rPr>
            </w:pPr>
            <w:r>
              <w:rPr>
                <w:b w:val="0"/>
              </w:rPr>
              <w:t>x</w:t>
            </w:r>
          </w:p>
        </w:tc>
        <w:tc>
          <w:tcPr>
            <w:tcW w:w="263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C33DC2D" w14:textId="77777777" w:rsidR="006F75C5" w:rsidRPr="00E07646" w:rsidRDefault="006F75C5" w:rsidP="00315F1A">
            <w:pPr>
              <w:pStyle w:val="Standard"/>
              <w:snapToGrid w:val="0"/>
              <w:rPr>
                <w:b w:val="0"/>
              </w:rPr>
            </w:pPr>
            <w:r>
              <w:rPr>
                <w:b w:val="0"/>
              </w:rPr>
              <w:t xml:space="preserve">Use of </w:t>
            </w:r>
            <w:r w:rsidRPr="00E07646">
              <w:rPr>
                <w:b w:val="0"/>
              </w:rPr>
              <w:t>Engineering Tools</w:t>
            </w:r>
          </w:p>
        </w:tc>
        <w:tc>
          <w:tcPr>
            <w:tcW w:w="475" w:type="dxa"/>
            <w:tcBorders>
              <w:top w:val="single" w:sz="4" w:space="0" w:color="000000"/>
              <w:left w:val="single" w:sz="4" w:space="0" w:color="000000"/>
              <w:bottom w:val="single" w:sz="4" w:space="0" w:color="000000"/>
            </w:tcBorders>
            <w:tcMar>
              <w:top w:w="0" w:type="dxa"/>
              <w:left w:w="0" w:type="dxa"/>
              <w:bottom w:w="0" w:type="dxa"/>
              <w:right w:w="0" w:type="dxa"/>
            </w:tcMar>
            <w:vAlign w:val="center"/>
          </w:tcPr>
          <w:p w14:paraId="1C92A2E9" w14:textId="1B0B7FF5" w:rsidR="006F75C5" w:rsidRPr="00E07646" w:rsidRDefault="000638A3" w:rsidP="00315F1A">
            <w:pPr>
              <w:pStyle w:val="Standard"/>
              <w:snapToGrid w:val="0"/>
              <w:jc w:val="center"/>
              <w:rPr>
                <w:b w:val="0"/>
              </w:rPr>
            </w:pPr>
            <w:r>
              <w:rPr>
                <w:b w:val="0"/>
              </w:rPr>
              <w:t>x</w:t>
            </w:r>
          </w:p>
        </w:tc>
        <w:tc>
          <w:tcPr>
            <w:tcW w:w="263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0808229" w14:textId="77777777" w:rsidR="006F75C5" w:rsidRPr="00E07646" w:rsidRDefault="006F75C5" w:rsidP="00315F1A">
            <w:pPr>
              <w:pStyle w:val="Standard"/>
              <w:snapToGrid w:val="0"/>
              <w:rPr>
                <w:b w:val="0"/>
              </w:rPr>
            </w:pPr>
            <w:r w:rsidRPr="00E07646">
              <w:rPr>
                <w:b w:val="0"/>
              </w:rPr>
              <w:t>Impact on Society</w:t>
            </w:r>
            <w:r>
              <w:rPr>
                <w:b w:val="0"/>
              </w:rPr>
              <w:t xml:space="preserve"> and the Environment</w:t>
            </w:r>
          </w:p>
        </w:tc>
        <w:tc>
          <w:tcPr>
            <w:tcW w:w="47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D0E3D9B" w14:textId="2623A743" w:rsidR="006F75C5" w:rsidRPr="000A670C" w:rsidRDefault="000638A3" w:rsidP="00315F1A">
            <w:pPr>
              <w:pStyle w:val="Standard"/>
              <w:snapToGrid w:val="0"/>
              <w:jc w:val="center"/>
              <w:rPr>
                <w:b w:val="0"/>
                <w:color w:val="000000"/>
              </w:rPr>
            </w:pPr>
            <w:r>
              <w:rPr>
                <w:b w:val="0"/>
              </w:rPr>
              <w:t>x</w:t>
            </w:r>
          </w:p>
        </w:tc>
      </w:tr>
      <w:tr w:rsidR="006F75C5" w:rsidRPr="00E07646" w14:paraId="60CD6B84" w14:textId="77777777" w:rsidTr="000A670C">
        <w:trPr>
          <w:jc w:val="center"/>
        </w:trPr>
        <w:tc>
          <w:tcPr>
            <w:tcW w:w="263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606C761" w14:textId="77777777" w:rsidR="006F75C5" w:rsidRPr="00E07646" w:rsidRDefault="006F75C5" w:rsidP="00315F1A">
            <w:pPr>
              <w:pStyle w:val="Standard"/>
              <w:snapToGrid w:val="0"/>
              <w:rPr>
                <w:b w:val="0"/>
              </w:rPr>
            </w:pPr>
            <w:r w:rsidRPr="00E07646">
              <w:rPr>
                <w:b w:val="0"/>
              </w:rPr>
              <w:t>Problem Analysis</w:t>
            </w:r>
          </w:p>
        </w:tc>
        <w:tc>
          <w:tcPr>
            <w:tcW w:w="487" w:type="dxa"/>
            <w:tcBorders>
              <w:top w:val="single" w:sz="4" w:space="0" w:color="000000"/>
              <w:left w:val="single" w:sz="4" w:space="0" w:color="000000"/>
              <w:bottom w:val="single" w:sz="4" w:space="0" w:color="000000"/>
            </w:tcBorders>
            <w:tcMar>
              <w:top w:w="0" w:type="dxa"/>
              <w:left w:w="0" w:type="dxa"/>
              <w:bottom w:w="0" w:type="dxa"/>
              <w:right w:w="0" w:type="dxa"/>
            </w:tcMar>
            <w:vAlign w:val="center"/>
          </w:tcPr>
          <w:p w14:paraId="6D1B9473" w14:textId="70446BE1" w:rsidR="006F75C5" w:rsidRPr="00E07646" w:rsidRDefault="000638A3" w:rsidP="00315F1A">
            <w:pPr>
              <w:pStyle w:val="Standard"/>
              <w:snapToGrid w:val="0"/>
              <w:jc w:val="center"/>
              <w:rPr>
                <w:b w:val="0"/>
              </w:rPr>
            </w:pPr>
            <w:r>
              <w:rPr>
                <w:b w:val="0"/>
              </w:rPr>
              <w:t>x</w:t>
            </w:r>
          </w:p>
        </w:tc>
        <w:tc>
          <w:tcPr>
            <w:tcW w:w="263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61AF32A" w14:textId="77777777" w:rsidR="006F75C5" w:rsidRPr="00854B77" w:rsidRDefault="006F75C5" w:rsidP="00315F1A">
            <w:pPr>
              <w:pStyle w:val="Standard"/>
              <w:snapToGrid w:val="0"/>
              <w:rPr>
                <w:b w:val="0"/>
              </w:rPr>
            </w:pPr>
            <w:r w:rsidRPr="00854B77">
              <w:rPr>
                <w:b w:val="0"/>
              </w:rPr>
              <w:t xml:space="preserve">Individual </w:t>
            </w:r>
            <w:r>
              <w:rPr>
                <w:b w:val="0"/>
              </w:rPr>
              <w:t>and</w:t>
            </w:r>
            <w:r w:rsidRPr="00854B77">
              <w:rPr>
                <w:b w:val="0"/>
              </w:rPr>
              <w:t xml:space="preserve"> Team Work</w:t>
            </w:r>
          </w:p>
        </w:tc>
        <w:tc>
          <w:tcPr>
            <w:tcW w:w="475" w:type="dxa"/>
            <w:tcBorders>
              <w:top w:val="single" w:sz="4" w:space="0" w:color="000000"/>
              <w:left w:val="single" w:sz="4" w:space="0" w:color="000000"/>
              <w:bottom w:val="single" w:sz="4" w:space="0" w:color="000000"/>
            </w:tcBorders>
            <w:tcMar>
              <w:top w:w="0" w:type="dxa"/>
              <w:left w:w="0" w:type="dxa"/>
              <w:bottom w:w="0" w:type="dxa"/>
              <w:right w:w="0" w:type="dxa"/>
            </w:tcMar>
            <w:vAlign w:val="center"/>
          </w:tcPr>
          <w:p w14:paraId="62EF87F8" w14:textId="23389F51" w:rsidR="006F75C5" w:rsidRPr="00854B77" w:rsidRDefault="000638A3" w:rsidP="00315F1A">
            <w:pPr>
              <w:pStyle w:val="Standard"/>
              <w:snapToGrid w:val="0"/>
              <w:jc w:val="center"/>
              <w:rPr>
                <w:b w:val="0"/>
              </w:rPr>
            </w:pPr>
            <w:r>
              <w:rPr>
                <w:b w:val="0"/>
              </w:rPr>
              <w:t>x</w:t>
            </w:r>
          </w:p>
        </w:tc>
        <w:tc>
          <w:tcPr>
            <w:tcW w:w="263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1A401CA6" w14:textId="77777777" w:rsidR="006F75C5" w:rsidRPr="00E07646" w:rsidRDefault="006F75C5" w:rsidP="00315F1A">
            <w:pPr>
              <w:pStyle w:val="Standard"/>
              <w:snapToGrid w:val="0"/>
              <w:rPr>
                <w:b w:val="0"/>
              </w:rPr>
            </w:pPr>
            <w:r w:rsidRPr="00E07646">
              <w:rPr>
                <w:b w:val="0"/>
              </w:rPr>
              <w:t>Ethics and Equity</w:t>
            </w:r>
          </w:p>
        </w:tc>
        <w:tc>
          <w:tcPr>
            <w:tcW w:w="47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897C0D5" w14:textId="40D486F0" w:rsidR="006F75C5" w:rsidRPr="00E07646" w:rsidRDefault="000638A3" w:rsidP="00315F1A">
            <w:pPr>
              <w:pStyle w:val="Standard"/>
              <w:snapToGrid w:val="0"/>
              <w:jc w:val="center"/>
              <w:rPr>
                <w:b w:val="0"/>
              </w:rPr>
            </w:pPr>
            <w:r>
              <w:rPr>
                <w:b w:val="0"/>
              </w:rPr>
              <w:t>x</w:t>
            </w:r>
          </w:p>
        </w:tc>
      </w:tr>
      <w:tr w:rsidR="006F75C5" w:rsidRPr="00E07646" w14:paraId="38EA923F" w14:textId="77777777" w:rsidTr="000A670C">
        <w:trPr>
          <w:jc w:val="center"/>
        </w:trPr>
        <w:tc>
          <w:tcPr>
            <w:tcW w:w="263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3A29360" w14:textId="77777777" w:rsidR="006F75C5" w:rsidRPr="00E07646" w:rsidRDefault="006F75C5" w:rsidP="00315F1A">
            <w:pPr>
              <w:pStyle w:val="Standard"/>
              <w:snapToGrid w:val="0"/>
              <w:rPr>
                <w:b w:val="0"/>
              </w:rPr>
            </w:pPr>
            <w:r w:rsidRPr="00E07646">
              <w:rPr>
                <w:b w:val="0"/>
              </w:rPr>
              <w:t>Investigation</w:t>
            </w:r>
          </w:p>
        </w:tc>
        <w:tc>
          <w:tcPr>
            <w:tcW w:w="487" w:type="dxa"/>
            <w:tcBorders>
              <w:top w:val="single" w:sz="4" w:space="0" w:color="000000"/>
              <w:left w:val="single" w:sz="4" w:space="0" w:color="000000"/>
              <w:bottom w:val="single" w:sz="4" w:space="0" w:color="000000"/>
            </w:tcBorders>
            <w:tcMar>
              <w:top w:w="0" w:type="dxa"/>
              <w:left w:w="0" w:type="dxa"/>
              <w:bottom w:w="0" w:type="dxa"/>
              <w:right w:w="0" w:type="dxa"/>
            </w:tcMar>
            <w:vAlign w:val="center"/>
          </w:tcPr>
          <w:p w14:paraId="4EFC9D58" w14:textId="0BEB7EF8" w:rsidR="006F75C5" w:rsidRPr="00E07646" w:rsidRDefault="000638A3" w:rsidP="00315F1A">
            <w:pPr>
              <w:pStyle w:val="Standard"/>
              <w:snapToGrid w:val="0"/>
              <w:jc w:val="center"/>
              <w:rPr>
                <w:b w:val="0"/>
              </w:rPr>
            </w:pPr>
            <w:r>
              <w:rPr>
                <w:b w:val="0"/>
              </w:rPr>
              <w:t>x</w:t>
            </w:r>
          </w:p>
        </w:tc>
        <w:tc>
          <w:tcPr>
            <w:tcW w:w="263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C2D2025" w14:textId="77777777" w:rsidR="006F75C5" w:rsidRPr="00E07646" w:rsidRDefault="006F75C5" w:rsidP="00315F1A">
            <w:pPr>
              <w:pStyle w:val="Standard"/>
              <w:snapToGrid w:val="0"/>
              <w:rPr>
                <w:b w:val="0"/>
              </w:rPr>
            </w:pPr>
            <w:r w:rsidRPr="00E07646">
              <w:rPr>
                <w:b w:val="0"/>
              </w:rPr>
              <w:t>Communication</w:t>
            </w:r>
            <w:r>
              <w:rPr>
                <w:b w:val="0"/>
              </w:rPr>
              <w:t xml:space="preserve"> Skills</w:t>
            </w:r>
          </w:p>
        </w:tc>
        <w:tc>
          <w:tcPr>
            <w:tcW w:w="475" w:type="dxa"/>
            <w:tcBorders>
              <w:top w:val="single" w:sz="4" w:space="0" w:color="000000"/>
              <w:left w:val="single" w:sz="4" w:space="0" w:color="000000"/>
              <w:bottom w:val="single" w:sz="4" w:space="0" w:color="000000"/>
            </w:tcBorders>
            <w:tcMar>
              <w:top w:w="0" w:type="dxa"/>
              <w:left w:w="0" w:type="dxa"/>
              <w:bottom w:w="0" w:type="dxa"/>
              <w:right w:w="0" w:type="dxa"/>
            </w:tcMar>
            <w:vAlign w:val="center"/>
          </w:tcPr>
          <w:p w14:paraId="7A3709D9" w14:textId="4E449A93" w:rsidR="006F75C5" w:rsidRPr="00E07646" w:rsidRDefault="000638A3" w:rsidP="00315F1A">
            <w:pPr>
              <w:pStyle w:val="Standard"/>
              <w:snapToGrid w:val="0"/>
              <w:jc w:val="center"/>
              <w:rPr>
                <w:b w:val="0"/>
              </w:rPr>
            </w:pPr>
            <w:r>
              <w:rPr>
                <w:b w:val="0"/>
              </w:rPr>
              <w:t>x</w:t>
            </w:r>
          </w:p>
        </w:tc>
        <w:tc>
          <w:tcPr>
            <w:tcW w:w="263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C81C4F1" w14:textId="77777777" w:rsidR="006F75C5" w:rsidRPr="00E07646" w:rsidRDefault="006F75C5" w:rsidP="00315F1A">
            <w:pPr>
              <w:pStyle w:val="Standard"/>
              <w:snapToGrid w:val="0"/>
              <w:rPr>
                <w:b w:val="0"/>
              </w:rPr>
            </w:pPr>
            <w:r w:rsidRPr="00E07646">
              <w:rPr>
                <w:b w:val="0"/>
              </w:rPr>
              <w:t>Economics and Project M</w:t>
            </w:r>
            <w:r>
              <w:rPr>
                <w:b w:val="0"/>
              </w:rPr>
              <w:t>anagement</w:t>
            </w:r>
          </w:p>
        </w:tc>
        <w:tc>
          <w:tcPr>
            <w:tcW w:w="47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96D15D0" w14:textId="3449779C" w:rsidR="006F75C5" w:rsidRPr="00E07646" w:rsidRDefault="000638A3" w:rsidP="00315F1A">
            <w:pPr>
              <w:pStyle w:val="Standard"/>
              <w:snapToGrid w:val="0"/>
              <w:jc w:val="center"/>
              <w:rPr>
                <w:b w:val="0"/>
              </w:rPr>
            </w:pPr>
            <w:r>
              <w:rPr>
                <w:b w:val="0"/>
              </w:rPr>
              <w:t>x</w:t>
            </w:r>
          </w:p>
        </w:tc>
      </w:tr>
      <w:tr w:rsidR="006F75C5" w:rsidRPr="00E07646" w14:paraId="4190E88A" w14:textId="77777777" w:rsidTr="000A670C">
        <w:trPr>
          <w:trHeight w:val="602"/>
          <w:jc w:val="center"/>
        </w:trPr>
        <w:tc>
          <w:tcPr>
            <w:tcW w:w="263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19F951E2" w14:textId="77777777" w:rsidR="006F75C5" w:rsidRPr="00E07646" w:rsidRDefault="006F75C5" w:rsidP="00315F1A">
            <w:pPr>
              <w:pStyle w:val="Standard"/>
              <w:snapToGrid w:val="0"/>
              <w:rPr>
                <w:b w:val="0"/>
              </w:rPr>
            </w:pPr>
            <w:r w:rsidRPr="00E07646">
              <w:rPr>
                <w:b w:val="0"/>
              </w:rPr>
              <w:t>Design</w:t>
            </w:r>
          </w:p>
        </w:tc>
        <w:tc>
          <w:tcPr>
            <w:tcW w:w="487" w:type="dxa"/>
            <w:tcBorders>
              <w:top w:val="single" w:sz="4" w:space="0" w:color="000000"/>
              <w:left w:val="single" w:sz="4" w:space="0" w:color="000000"/>
              <w:bottom w:val="single" w:sz="4" w:space="0" w:color="000000"/>
            </w:tcBorders>
            <w:tcMar>
              <w:top w:w="0" w:type="dxa"/>
              <w:left w:w="0" w:type="dxa"/>
              <w:bottom w:w="0" w:type="dxa"/>
              <w:right w:w="0" w:type="dxa"/>
            </w:tcMar>
            <w:vAlign w:val="center"/>
          </w:tcPr>
          <w:p w14:paraId="0CC6FA29" w14:textId="647296AE" w:rsidR="006F75C5" w:rsidRPr="00E07646" w:rsidRDefault="000638A3" w:rsidP="00315F1A">
            <w:pPr>
              <w:pStyle w:val="Standard"/>
              <w:snapToGrid w:val="0"/>
              <w:jc w:val="center"/>
              <w:rPr>
                <w:b w:val="0"/>
              </w:rPr>
            </w:pPr>
            <w:r>
              <w:rPr>
                <w:b w:val="0"/>
              </w:rPr>
              <w:t>x</w:t>
            </w:r>
          </w:p>
        </w:tc>
        <w:tc>
          <w:tcPr>
            <w:tcW w:w="263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877AD11" w14:textId="77777777" w:rsidR="006F75C5" w:rsidRPr="00E07646" w:rsidRDefault="006F75C5" w:rsidP="00315F1A">
            <w:pPr>
              <w:pStyle w:val="Standard"/>
              <w:snapToGrid w:val="0"/>
              <w:rPr>
                <w:b w:val="0"/>
              </w:rPr>
            </w:pPr>
            <w:r w:rsidRPr="00E07646">
              <w:rPr>
                <w:b w:val="0"/>
              </w:rPr>
              <w:t>Professionalism</w:t>
            </w:r>
          </w:p>
        </w:tc>
        <w:tc>
          <w:tcPr>
            <w:tcW w:w="475" w:type="dxa"/>
            <w:tcBorders>
              <w:top w:val="single" w:sz="4" w:space="0" w:color="000000"/>
              <w:left w:val="single" w:sz="4" w:space="0" w:color="000000"/>
              <w:bottom w:val="single" w:sz="4" w:space="0" w:color="000000"/>
            </w:tcBorders>
            <w:tcMar>
              <w:top w:w="0" w:type="dxa"/>
              <w:left w:w="0" w:type="dxa"/>
              <w:bottom w:w="0" w:type="dxa"/>
              <w:right w:w="0" w:type="dxa"/>
            </w:tcMar>
            <w:vAlign w:val="center"/>
          </w:tcPr>
          <w:p w14:paraId="32374B87" w14:textId="38EAE36D" w:rsidR="006F75C5" w:rsidRPr="00E07646" w:rsidRDefault="000638A3" w:rsidP="00315F1A">
            <w:pPr>
              <w:pStyle w:val="Standard"/>
              <w:snapToGrid w:val="0"/>
              <w:jc w:val="center"/>
              <w:rPr>
                <w:b w:val="0"/>
              </w:rPr>
            </w:pPr>
            <w:r>
              <w:rPr>
                <w:b w:val="0"/>
              </w:rPr>
              <w:t>x</w:t>
            </w:r>
          </w:p>
        </w:tc>
        <w:tc>
          <w:tcPr>
            <w:tcW w:w="263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0E595888" w14:textId="77777777" w:rsidR="006F75C5" w:rsidRPr="00E07646" w:rsidRDefault="006F75C5" w:rsidP="00315F1A">
            <w:pPr>
              <w:pStyle w:val="Standard"/>
              <w:snapToGrid w:val="0"/>
              <w:rPr>
                <w:b w:val="0"/>
              </w:rPr>
            </w:pPr>
            <w:r w:rsidRPr="00E07646">
              <w:rPr>
                <w:b w:val="0"/>
              </w:rPr>
              <w:t>Life-Long Learning</w:t>
            </w:r>
          </w:p>
        </w:tc>
        <w:tc>
          <w:tcPr>
            <w:tcW w:w="47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4A60EC2" w14:textId="017E6E06" w:rsidR="006F75C5" w:rsidRPr="00E07646" w:rsidRDefault="000638A3" w:rsidP="00315F1A">
            <w:pPr>
              <w:pStyle w:val="Standard"/>
              <w:snapToGrid w:val="0"/>
              <w:jc w:val="center"/>
              <w:rPr>
                <w:b w:val="0"/>
              </w:rPr>
            </w:pPr>
            <w:r>
              <w:rPr>
                <w:b w:val="0"/>
              </w:rPr>
              <w:t>x</w:t>
            </w:r>
          </w:p>
        </w:tc>
      </w:tr>
    </w:tbl>
    <w:p w14:paraId="6F35DB95" w14:textId="7A223B85" w:rsidR="006F75C5" w:rsidRPr="000A670C" w:rsidRDefault="006F75C5" w:rsidP="000638A3">
      <w:pPr>
        <w:spacing w:before="60"/>
        <w:jc w:val="both"/>
        <w:rPr>
          <w:iCs/>
          <w:sz w:val="22"/>
          <w:szCs w:val="22"/>
        </w:rPr>
      </w:pPr>
      <w:r w:rsidRPr="000A670C">
        <w:rPr>
          <w:iCs/>
          <w:sz w:val="22"/>
          <w:szCs w:val="22"/>
        </w:rPr>
        <w:t>Notation</w:t>
      </w:r>
      <w:r w:rsidRPr="000638A3">
        <w:rPr>
          <w:i/>
          <w:sz w:val="22"/>
          <w:szCs w:val="22"/>
        </w:rPr>
        <w:t xml:space="preserve">: where x </w:t>
      </w:r>
      <w:r w:rsidR="000638A3" w:rsidRPr="000638A3">
        <w:rPr>
          <w:i/>
          <w:sz w:val="22"/>
          <w:szCs w:val="22"/>
        </w:rPr>
        <w:t>be I: Introductory, D: Intermediate, A: Advanced</w:t>
      </w:r>
      <w:r w:rsidR="000638A3">
        <w:rPr>
          <w:i/>
          <w:sz w:val="22"/>
          <w:szCs w:val="22"/>
        </w:rPr>
        <w:t>, or empty</w:t>
      </w:r>
      <w:r w:rsidR="000638A3">
        <w:rPr>
          <w:iCs/>
          <w:sz w:val="22"/>
          <w:szCs w:val="22"/>
        </w:rPr>
        <w:t xml:space="preserve">. </w:t>
      </w:r>
      <w:r w:rsidR="000638A3" w:rsidRPr="000638A3">
        <w:rPr>
          <w:iCs/>
          <w:sz w:val="22"/>
          <w:szCs w:val="22"/>
        </w:rPr>
        <w:t>I – The instructor will introduce the topic at the level required.  It is not necessary for the student to have seen the material before. D – There may be a reminder or review, but the student is expected to have seen and been tested on the material before taking the course. A – It is expected that the student can apply the knowledge without prompting (e.g. no review)</w:t>
      </w:r>
      <w:r w:rsidR="000638A3">
        <w:rPr>
          <w:iCs/>
          <w:sz w:val="22"/>
          <w:szCs w:val="22"/>
        </w:rPr>
        <w:t>.</w:t>
      </w:r>
    </w:p>
    <w:p w14:paraId="0035E116" w14:textId="29F938E5" w:rsidR="006F75C5" w:rsidRDefault="006F75C5" w:rsidP="005670AE">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1984"/>
      </w:tblGrid>
      <w:tr w:rsidR="000638A3" w:rsidRPr="001B4467" w14:paraId="3D4BB668" w14:textId="77777777" w:rsidTr="00DE6990">
        <w:tc>
          <w:tcPr>
            <w:tcW w:w="7366" w:type="dxa"/>
            <w:tcBorders>
              <w:top w:val="single" w:sz="4" w:space="0" w:color="auto"/>
              <w:left w:val="single" w:sz="4" w:space="0" w:color="auto"/>
              <w:bottom w:val="single" w:sz="4" w:space="0" w:color="auto"/>
              <w:right w:val="single" w:sz="4" w:space="0" w:color="auto"/>
            </w:tcBorders>
          </w:tcPr>
          <w:p w14:paraId="31EBD161" w14:textId="77777777" w:rsidR="000638A3" w:rsidRPr="001B4467" w:rsidRDefault="000638A3" w:rsidP="00DE6990">
            <w:pPr>
              <w:spacing w:before="120"/>
              <w:jc w:val="both"/>
              <w:rPr>
                <w:rFonts w:asciiTheme="majorBidi" w:hAnsiTheme="majorBidi" w:cstheme="majorBidi"/>
                <w:b/>
              </w:rPr>
            </w:pPr>
            <w:r w:rsidRPr="001B4467">
              <w:rPr>
                <w:rFonts w:asciiTheme="majorBidi" w:hAnsiTheme="majorBidi" w:cstheme="majorBidi"/>
                <w:b/>
              </w:rPr>
              <w:t xml:space="preserve">Course Topics and Specific Learning </w:t>
            </w:r>
            <w:r>
              <w:rPr>
                <w:rFonts w:asciiTheme="majorBidi" w:hAnsiTheme="majorBidi" w:cstheme="majorBidi"/>
                <w:b/>
              </w:rPr>
              <w:t>Outcomes</w:t>
            </w:r>
          </w:p>
        </w:tc>
        <w:tc>
          <w:tcPr>
            <w:tcW w:w="1984" w:type="dxa"/>
            <w:tcBorders>
              <w:top w:val="single" w:sz="4" w:space="0" w:color="auto"/>
              <w:left w:val="single" w:sz="4" w:space="0" w:color="auto"/>
              <w:bottom w:val="single" w:sz="4" w:space="0" w:color="auto"/>
              <w:right w:val="single" w:sz="4" w:space="0" w:color="auto"/>
            </w:tcBorders>
          </w:tcPr>
          <w:p w14:paraId="3ECC43A4" w14:textId="77777777" w:rsidR="000638A3" w:rsidRPr="001B4467" w:rsidRDefault="000638A3" w:rsidP="00DE6990">
            <w:pPr>
              <w:spacing w:before="120"/>
              <w:rPr>
                <w:rFonts w:asciiTheme="majorBidi" w:hAnsiTheme="majorBidi" w:cstheme="majorBidi"/>
                <w:b/>
              </w:rPr>
            </w:pPr>
            <w:r w:rsidRPr="001B4467">
              <w:rPr>
                <w:rFonts w:asciiTheme="majorBidi" w:hAnsiTheme="majorBidi" w:cstheme="majorBidi"/>
                <w:b/>
              </w:rPr>
              <w:t>CEAB Graduate Attributes Indicators</w:t>
            </w:r>
          </w:p>
        </w:tc>
      </w:tr>
      <w:tr w:rsidR="000638A3" w:rsidRPr="001B4467" w14:paraId="398E13C6" w14:textId="77777777" w:rsidTr="00DE6990">
        <w:tc>
          <w:tcPr>
            <w:tcW w:w="7366" w:type="dxa"/>
            <w:tcBorders>
              <w:top w:val="single" w:sz="4" w:space="0" w:color="auto"/>
              <w:left w:val="single" w:sz="4" w:space="0" w:color="auto"/>
              <w:right w:val="single" w:sz="4" w:space="0" w:color="auto"/>
            </w:tcBorders>
          </w:tcPr>
          <w:p w14:paraId="1CA186BB" w14:textId="41110EDE" w:rsidR="000638A3" w:rsidRPr="001B4467" w:rsidRDefault="000638A3" w:rsidP="00DE6990">
            <w:pPr>
              <w:spacing w:before="120"/>
              <w:jc w:val="both"/>
              <w:rPr>
                <w:rFonts w:asciiTheme="majorBidi" w:hAnsiTheme="majorBidi" w:cstheme="majorBidi"/>
                <w:b/>
              </w:rPr>
            </w:pPr>
            <w:r w:rsidRPr="001B4467">
              <w:rPr>
                <w:rFonts w:asciiTheme="majorBidi" w:hAnsiTheme="majorBidi" w:cstheme="majorBidi"/>
                <w:b/>
              </w:rPr>
              <w:t>1.</w:t>
            </w:r>
            <w:r w:rsidRPr="001B4467">
              <w:rPr>
                <w:rFonts w:asciiTheme="majorBidi" w:hAnsiTheme="majorBidi" w:cstheme="majorBidi"/>
                <w:b/>
              </w:rPr>
              <w:tab/>
            </w:r>
            <w:r>
              <w:rPr>
                <w:b/>
              </w:rPr>
              <w:t>Topic 1</w:t>
            </w:r>
          </w:p>
        </w:tc>
        <w:tc>
          <w:tcPr>
            <w:tcW w:w="1984" w:type="dxa"/>
            <w:tcBorders>
              <w:top w:val="single" w:sz="4" w:space="0" w:color="auto"/>
              <w:left w:val="single" w:sz="4" w:space="0" w:color="auto"/>
              <w:right w:val="single" w:sz="4" w:space="0" w:color="auto"/>
            </w:tcBorders>
          </w:tcPr>
          <w:p w14:paraId="7BBA6A54" w14:textId="77777777" w:rsidR="000638A3" w:rsidRPr="001B4467" w:rsidRDefault="000638A3" w:rsidP="00DE6990">
            <w:pPr>
              <w:spacing w:before="120"/>
              <w:jc w:val="both"/>
              <w:rPr>
                <w:rFonts w:asciiTheme="majorBidi" w:hAnsiTheme="majorBidi" w:cstheme="majorBidi"/>
                <w:b/>
              </w:rPr>
            </w:pPr>
          </w:p>
        </w:tc>
      </w:tr>
      <w:tr w:rsidR="000638A3" w:rsidRPr="001B4467" w14:paraId="0D8533B5" w14:textId="77777777" w:rsidTr="00DE6990">
        <w:tc>
          <w:tcPr>
            <w:tcW w:w="7366" w:type="dxa"/>
            <w:tcBorders>
              <w:left w:val="single" w:sz="4" w:space="0" w:color="auto"/>
              <w:right w:val="single" w:sz="4" w:space="0" w:color="auto"/>
            </w:tcBorders>
          </w:tcPr>
          <w:p w14:paraId="1A996521" w14:textId="77777777" w:rsidR="000638A3" w:rsidRPr="001B4467" w:rsidRDefault="000638A3" w:rsidP="00DE6990">
            <w:pPr>
              <w:spacing w:before="60"/>
              <w:jc w:val="both"/>
              <w:rPr>
                <w:rFonts w:asciiTheme="majorBidi" w:hAnsiTheme="majorBidi" w:cstheme="majorBidi"/>
              </w:rPr>
            </w:pPr>
            <w:r w:rsidRPr="001B4467">
              <w:rPr>
                <w:rFonts w:asciiTheme="majorBidi" w:hAnsiTheme="majorBidi" w:cstheme="majorBidi"/>
              </w:rPr>
              <w:tab/>
              <w:t>At the end of this section, students will be able to:</w:t>
            </w:r>
          </w:p>
        </w:tc>
        <w:tc>
          <w:tcPr>
            <w:tcW w:w="1984" w:type="dxa"/>
            <w:tcBorders>
              <w:left w:val="single" w:sz="4" w:space="0" w:color="auto"/>
              <w:right w:val="single" w:sz="4" w:space="0" w:color="auto"/>
            </w:tcBorders>
          </w:tcPr>
          <w:p w14:paraId="09C9606F" w14:textId="77777777" w:rsidR="000638A3" w:rsidRPr="001B4467" w:rsidRDefault="000638A3" w:rsidP="00DE6990">
            <w:pPr>
              <w:spacing w:before="60"/>
              <w:jc w:val="both"/>
              <w:rPr>
                <w:rFonts w:asciiTheme="majorBidi" w:hAnsiTheme="majorBidi" w:cstheme="majorBidi"/>
                <w:b/>
              </w:rPr>
            </w:pPr>
          </w:p>
        </w:tc>
      </w:tr>
      <w:tr w:rsidR="000638A3" w:rsidRPr="001B4467" w14:paraId="436DAAED" w14:textId="77777777" w:rsidTr="00DE6990">
        <w:tc>
          <w:tcPr>
            <w:tcW w:w="7366" w:type="dxa"/>
            <w:tcBorders>
              <w:left w:val="single" w:sz="4" w:space="0" w:color="auto"/>
              <w:right w:val="single" w:sz="4" w:space="0" w:color="auto"/>
            </w:tcBorders>
          </w:tcPr>
          <w:p w14:paraId="4A1D4EC4" w14:textId="70933920" w:rsidR="000638A3" w:rsidRPr="001B4467" w:rsidRDefault="000638A3" w:rsidP="00DE6990">
            <w:pPr>
              <w:pStyle w:val="ListParagraph"/>
              <w:numPr>
                <w:ilvl w:val="0"/>
                <w:numId w:val="1"/>
              </w:numPr>
              <w:spacing w:before="60"/>
              <w:jc w:val="both"/>
              <w:rPr>
                <w:rFonts w:asciiTheme="majorBidi" w:hAnsiTheme="majorBidi" w:cstheme="majorBidi"/>
              </w:rPr>
            </w:pPr>
            <w:r>
              <w:rPr>
                <w:rFonts w:asciiTheme="majorBidi" w:hAnsiTheme="majorBidi" w:cstheme="majorBidi"/>
              </w:rPr>
              <w:t xml:space="preserve"> </w:t>
            </w:r>
          </w:p>
        </w:tc>
        <w:tc>
          <w:tcPr>
            <w:tcW w:w="1984" w:type="dxa"/>
            <w:tcBorders>
              <w:left w:val="single" w:sz="4" w:space="0" w:color="auto"/>
              <w:right w:val="single" w:sz="4" w:space="0" w:color="auto"/>
            </w:tcBorders>
          </w:tcPr>
          <w:p w14:paraId="61638EE4" w14:textId="3B91B7C0" w:rsidR="000638A3" w:rsidRPr="00C93EFC" w:rsidRDefault="000638A3" w:rsidP="00DE6990">
            <w:pPr>
              <w:spacing w:before="60"/>
              <w:ind w:left="180"/>
              <w:rPr>
                <w:rFonts w:asciiTheme="majorBidi" w:hAnsiTheme="majorBidi" w:cstheme="majorBidi"/>
                <w:bCs/>
              </w:rPr>
            </w:pPr>
            <w:r>
              <w:rPr>
                <w:rFonts w:asciiTheme="majorBidi" w:hAnsiTheme="majorBidi" w:cstheme="majorBidi"/>
                <w:bCs/>
              </w:rPr>
              <w:t xml:space="preserve"> </w:t>
            </w:r>
          </w:p>
        </w:tc>
      </w:tr>
      <w:tr w:rsidR="000638A3" w:rsidRPr="001B4467" w14:paraId="12C7D4F2" w14:textId="77777777" w:rsidTr="00DE6990">
        <w:tc>
          <w:tcPr>
            <w:tcW w:w="7366" w:type="dxa"/>
            <w:tcBorders>
              <w:left w:val="single" w:sz="4" w:space="0" w:color="auto"/>
              <w:right w:val="single" w:sz="4" w:space="0" w:color="auto"/>
            </w:tcBorders>
          </w:tcPr>
          <w:p w14:paraId="614327BA" w14:textId="2DAEF694" w:rsidR="000638A3" w:rsidRPr="001B4467" w:rsidRDefault="000638A3" w:rsidP="00DE6990">
            <w:pPr>
              <w:pStyle w:val="ListParagraph"/>
              <w:numPr>
                <w:ilvl w:val="0"/>
                <w:numId w:val="1"/>
              </w:numPr>
              <w:spacing w:before="60"/>
              <w:jc w:val="both"/>
              <w:rPr>
                <w:rFonts w:asciiTheme="majorBidi" w:hAnsiTheme="majorBidi" w:cstheme="majorBidi"/>
              </w:rPr>
            </w:pPr>
            <w:r>
              <w:rPr>
                <w:rFonts w:asciiTheme="majorBidi" w:hAnsiTheme="majorBidi" w:cstheme="majorBidi"/>
              </w:rPr>
              <w:t xml:space="preserve"> </w:t>
            </w:r>
          </w:p>
        </w:tc>
        <w:tc>
          <w:tcPr>
            <w:tcW w:w="1984" w:type="dxa"/>
            <w:tcBorders>
              <w:left w:val="single" w:sz="4" w:space="0" w:color="auto"/>
              <w:right w:val="single" w:sz="4" w:space="0" w:color="auto"/>
            </w:tcBorders>
          </w:tcPr>
          <w:p w14:paraId="6857FE68" w14:textId="0AAA75A9" w:rsidR="000638A3" w:rsidRPr="001B4467" w:rsidRDefault="000638A3" w:rsidP="00DE6990">
            <w:pPr>
              <w:spacing w:before="60"/>
              <w:ind w:left="180"/>
              <w:jc w:val="both"/>
              <w:rPr>
                <w:rFonts w:asciiTheme="majorBidi" w:hAnsiTheme="majorBidi" w:cstheme="majorBidi"/>
                <w:b/>
              </w:rPr>
            </w:pPr>
            <w:r>
              <w:rPr>
                <w:rFonts w:asciiTheme="majorBidi" w:hAnsiTheme="majorBidi" w:cstheme="majorBidi"/>
                <w:b/>
              </w:rPr>
              <w:t xml:space="preserve"> </w:t>
            </w:r>
          </w:p>
        </w:tc>
      </w:tr>
      <w:tr w:rsidR="000638A3" w:rsidRPr="001B4467" w14:paraId="429FF476" w14:textId="77777777" w:rsidTr="00DE6990">
        <w:tc>
          <w:tcPr>
            <w:tcW w:w="7366" w:type="dxa"/>
            <w:tcBorders>
              <w:left w:val="single" w:sz="4" w:space="0" w:color="auto"/>
              <w:right w:val="single" w:sz="4" w:space="0" w:color="auto"/>
            </w:tcBorders>
          </w:tcPr>
          <w:p w14:paraId="1740F061" w14:textId="3294850A" w:rsidR="000638A3" w:rsidRPr="001B4467" w:rsidRDefault="000638A3" w:rsidP="00DE6990">
            <w:pPr>
              <w:spacing w:before="120"/>
              <w:jc w:val="both"/>
              <w:rPr>
                <w:rFonts w:asciiTheme="majorBidi" w:hAnsiTheme="majorBidi" w:cstheme="majorBidi"/>
                <w:b/>
              </w:rPr>
            </w:pPr>
            <w:r w:rsidRPr="001B4467">
              <w:rPr>
                <w:rFonts w:asciiTheme="majorBidi" w:hAnsiTheme="majorBidi" w:cstheme="majorBidi"/>
                <w:b/>
              </w:rPr>
              <w:t>2.</w:t>
            </w:r>
            <w:r w:rsidRPr="001B4467">
              <w:rPr>
                <w:rFonts w:asciiTheme="majorBidi" w:hAnsiTheme="majorBidi" w:cstheme="majorBidi"/>
                <w:b/>
              </w:rPr>
              <w:tab/>
            </w:r>
            <w:r>
              <w:rPr>
                <w:b/>
              </w:rPr>
              <w:t>Topic 1</w:t>
            </w:r>
          </w:p>
        </w:tc>
        <w:tc>
          <w:tcPr>
            <w:tcW w:w="1984" w:type="dxa"/>
            <w:tcBorders>
              <w:left w:val="single" w:sz="4" w:space="0" w:color="auto"/>
              <w:right w:val="single" w:sz="4" w:space="0" w:color="auto"/>
            </w:tcBorders>
          </w:tcPr>
          <w:p w14:paraId="31527003" w14:textId="77777777" w:rsidR="000638A3" w:rsidRPr="001B4467" w:rsidRDefault="000638A3" w:rsidP="00DE6990">
            <w:pPr>
              <w:spacing w:before="120"/>
              <w:ind w:left="180"/>
              <w:jc w:val="both"/>
              <w:rPr>
                <w:rFonts w:asciiTheme="majorBidi" w:hAnsiTheme="majorBidi" w:cstheme="majorBidi"/>
                <w:b/>
              </w:rPr>
            </w:pPr>
          </w:p>
        </w:tc>
      </w:tr>
      <w:tr w:rsidR="000638A3" w:rsidRPr="001B4467" w14:paraId="4C61B556" w14:textId="77777777" w:rsidTr="00DE6990">
        <w:tc>
          <w:tcPr>
            <w:tcW w:w="7366" w:type="dxa"/>
            <w:tcBorders>
              <w:left w:val="single" w:sz="4" w:space="0" w:color="auto"/>
              <w:right w:val="single" w:sz="4" w:space="0" w:color="auto"/>
            </w:tcBorders>
          </w:tcPr>
          <w:p w14:paraId="0D7236C0" w14:textId="77777777" w:rsidR="000638A3" w:rsidRPr="001B4467" w:rsidRDefault="000638A3" w:rsidP="00DE6990">
            <w:pPr>
              <w:spacing w:before="60"/>
              <w:jc w:val="both"/>
              <w:rPr>
                <w:rFonts w:asciiTheme="majorBidi" w:hAnsiTheme="majorBidi" w:cstheme="majorBidi"/>
              </w:rPr>
            </w:pPr>
            <w:r w:rsidRPr="001B4467">
              <w:rPr>
                <w:rFonts w:asciiTheme="majorBidi" w:hAnsiTheme="majorBidi" w:cstheme="majorBidi"/>
              </w:rPr>
              <w:tab/>
              <w:t>At the end of this section, students will be able to:</w:t>
            </w:r>
          </w:p>
        </w:tc>
        <w:tc>
          <w:tcPr>
            <w:tcW w:w="1984" w:type="dxa"/>
            <w:tcBorders>
              <w:left w:val="single" w:sz="4" w:space="0" w:color="auto"/>
              <w:right w:val="single" w:sz="4" w:space="0" w:color="auto"/>
            </w:tcBorders>
          </w:tcPr>
          <w:p w14:paraId="71AB1C18" w14:textId="77777777" w:rsidR="000638A3" w:rsidRPr="001B4467" w:rsidRDefault="000638A3" w:rsidP="00DE6990">
            <w:pPr>
              <w:spacing w:before="60"/>
              <w:ind w:left="180"/>
              <w:jc w:val="both"/>
              <w:rPr>
                <w:rFonts w:asciiTheme="majorBidi" w:hAnsiTheme="majorBidi" w:cstheme="majorBidi"/>
                <w:b/>
              </w:rPr>
            </w:pPr>
          </w:p>
        </w:tc>
      </w:tr>
      <w:tr w:rsidR="000638A3" w:rsidRPr="001B4467" w14:paraId="54B7B3ED" w14:textId="77777777" w:rsidTr="00DE6990">
        <w:tc>
          <w:tcPr>
            <w:tcW w:w="7366" w:type="dxa"/>
            <w:tcBorders>
              <w:left w:val="single" w:sz="4" w:space="0" w:color="auto"/>
              <w:right w:val="single" w:sz="4" w:space="0" w:color="auto"/>
            </w:tcBorders>
          </w:tcPr>
          <w:p w14:paraId="5B767E61" w14:textId="67C05AFE" w:rsidR="000638A3" w:rsidRPr="001B4467" w:rsidRDefault="000638A3" w:rsidP="000638A3">
            <w:pPr>
              <w:pStyle w:val="ListParagraph"/>
              <w:numPr>
                <w:ilvl w:val="0"/>
                <w:numId w:val="3"/>
              </w:numPr>
              <w:spacing w:before="60"/>
              <w:jc w:val="both"/>
              <w:rPr>
                <w:rFonts w:asciiTheme="majorBidi" w:hAnsiTheme="majorBidi" w:cstheme="majorBidi"/>
              </w:rPr>
            </w:pPr>
          </w:p>
        </w:tc>
        <w:tc>
          <w:tcPr>
            <w:tcW w:w="1984" w:type="dxa"/>
            <w:tcBorders>
              <w:left w:val="single" w:sz="4" w:space="0" w:color="auto"/>
              <w:right w:val="single" w:sz="4" w:space="0" w:color="auto"/>
            </w:tcBorders>
          </w:tcPr>
          <w:p w14:paraId="6BDB3CC8" w14:textId="1748898F" w:rsidR="000638A3" w:rsidRPr="001B4467" w:rsidRDefault="000638A3" w:rsidP="00DE6990">
            <w:pPr>
              <w:spacing w:before="60"/>
              <w:ind w:left="180"/>
              <w:jc w:val="both"/>
              <w:rPr>
                <w:rFonts w:asciiTheme="majorBidi" w:hAnsiTheme="majorBidi" w:cstheme="majorBidi"/>
                <w:b/>
              </w:rPr>
            </w:pPr>
          </w:p>
        </w:tc>
      </w:tr>
      <w:tr w:rsidR="000638A3" w:rsidRPr="001B4467" w14:paraId="25CB8FF7" w14:textId="77777777" w:rsidTr="00DE6990">
        <w:tc>
          <w:tcPr>
            <w:tcW w:w="7366" w:type="dxa"/>
            <w:tcBorders>
              <w:left w:val="single" w:sz="4" w:space="0" w:color="auto"/>
              <w:right w:val="single" w:sz="4" w:space="0" w:color="auto"/>
            </w:tcBorders>
          </w:tcPr>
          <w:p w14:paraId="267E5AE6" w14:textId="596FBA4F" w:rsidR="000638A3" w:rsidRPr="001B4467" w:rsidRDefault="000638A3" w:rsidP="000638A3">
            <w:pPr>
              <w:pStyle w:val="ListParagraph"/>
              <w:numPr>
                <w:ilvl w:val="0"/>
                <w:numId w:val="3"/>
              </w:numPr>
              <w:spacing w:before="60"/>
              <w:jc w:val="both"/>
              <w:rPr>
                <w:rFonts w:asciiTheme="majorBidi" w:hAnsiTheme="majorBidi" w:cstheme="majorBidi"/>
              </w:rPr>
            </w:pPr>
          </w:p>
        </w:tc>
        <w:tc>
          <w:tcPr>
            <w:tcW w:w="1984" w:type="dxa"/>
            <w:tcBorders>
              <w:left w:val="single" w:sz="4" w:space="0" w:color="auto"/>
              <w:right w:val="single" w:sz="4" w:space="0" w:color="auto"/>
            </w:tcBorders>
          </w:tcPr>
          <w:p w14:paraId="5871EE30" w14:textId="54D1E78C" w:rsidR="000638A3" w:rsidRPr="001B4467" w:rsidRDefault="000638A3" w:rsidP="00DE6990">
            <w:pPr>
              <w:spacing w:before="60"/>
              <w:ind w:left="180"/>
              <w:jc w:val="both"/>
              <w:rPr>
                <w:rFonts w:asciiTheme="majorBidi" w:hAnsiTheme="majorBidi" w:cstheme="majorBidi"/>
                <w:b/>
              </w:rPr>
            </w:pPr>
          </w:p>
        </w:tc>
      </w:tr>
      <w:tr w:rsidR="000638A3" w:rsidRPr="001B4467" w14:paraId="7818A1BA" w14:textId="77777777" w:rsidTr="00DE6990">
        <w:tc>
          <w:tcPr>
            <w:tcW w:w="7366" w:type="dxa"/>
            <w:tcBorders>
              <w:left w:val="single" w:sz="4" w:space="0" w:color="auto"/>
              <w:right w:val="single" w:sz="4" w:space="0" w:color="auto"/>
            </w:tcBorders>
          </w:tcPr>
          <w:p w14:paraId="0D5EB91F" w14:textId="273382D2" w:rsidR="000638A3" w:rsidRPr="001B4467" w:rsidRDefault="000638A3" w:rsidP="00DE6990">
            <w:pPr>
              <w:spacing w:before="120"/>
              <w:jc w:val="both"/>
              <w:rPr>
                <w:rFonts w:asciiTheme="majorBidi" w:hAnsiTheme="majorBidi" w:cstheme="majorBidi"/>
                <w:b/>
              </w:rPr>
            </w:pPr>
            <w:r w:rsidRPr="001B4467">
              <w:rPr>
                <w:rFonts w:asciiTheme="majorBidi" w:hAnsiTheme="majorBidi" w:cstheme="majorBidi"/>
                <w:b/>
              </w:rPr>
              <w:t>3.</w:t>
            </w:r>
            <w:r w:rsidRPr="001B4467">
              <w:rPr>
                <w:rFonts w:asciiTheme="majorBidi" w:hAnsiTheme="majorBidi" w:cstheme="majorBidi"/>
                <w:b/>
              </w:rPr>
              <w:tab/>
            </w:r>
            <w:r>
              <w:rPr>
                <w:b/>
              </w:rPr>
              <w:t>Topic 1</w:t>
            </w:r>
          </w:p>
        </w:tc>
        <w:tc>
          <w:tcPr>
            <w:tcW w:w="1984" w:type="dxa"/>
            <w:tcBorders>
              <w:left w:val="single" w:sz="4" w:space="0" w:color="auto"/>
              <w:right w:val="single" w:sz="4" w:space="0" w:color="auto"/>
            </w:tcBorders>
          </w:tcPr>
          <w:p w14:paraId="05F08B32" w14:textId="77777777" w:rsidR="000638A3" w:rsidRPr="001B4467" w:rsidRDefault="000638A3" w:rsidP="00DE6990">
            <w:pPr>
              <w:spacing w:before="120"/>
              <w:ind w:left="180"/>
              <w:jc w:val="both"/>
              <w:rPr>
                <w:rFonts w:asciiTheme="majorBidi" w:hAnsiTheme="majorBidi" w:cstheme="majorBidi"/>
                <w:b/>
              </w:rPr>
            </w:pPr>
          </w:p>
        </w:tc>
      </w:tr>
      <w:tr w:rsidR="000638A3" w:rsidRPr="001B4467" w14:paraId="2F855653" w14:textId="77777777" w:rsidTr="00DE6990">
        <w:tc>
          <w:tcPr>
            <w:tcW w:w="7366" w:type="dxa"/>
            <w:tcBorders>
              <w:left w:val="single" w:sz="4" w:space="0" w:color="auto"/>
              <w:right w:val="single" w:sz="4" w:space="0" w:color="auto"/>
            </w:tcBorders>
          </w:tcPr>
          <w:p w14:paraId="64014EFC" w14:textId="77777777" w:rsidR="000638A3" w:rsidRPr="001B4467" w:rsidRDefault="000638A3" w:rsidP="00DE6990">
            <w:pPr>
              <w:spacing w:before="60"/>
              <w:jc w:val="both"/>
              <w:rPr>
                <w:rFonts w:asciiTheme="majorBidi" w:hAnsiTheme="majorBidi" w:cstheme="majorBidi"/>
              </w:rPr>
            </w:pPr>
            <w:r w:rsidRPr="001B4467">
              <w:rPr>
                <w:rFonts w:asciiTheme="majorBidi" w:hAnsiTheme="majorBidi" w:cstheme="majorBidi"/>
              </w:rPr>
              <w:tab/>
              <w:t>At the end of this section, students will be able to:</w:t>
            </w:r>
          </w:p>
        </w:tc>
        <w:tc>
          <w:tcPr>
            <w:tcW w:w="1984" w:type="dxa"/>
            <w:tcBorders>
              <w:left w:val="single" w:sz="4" w:space="0" w:color="auto"/>
              <w:right w:val="single" w:sz="4" w:space="0" w:color="auto"/>
            </w:tcBorders>
          </w:tcPr>
          <w:p w14:paraId="2140017A" w14:textId="77777777" w:rsidR="000638A3" w:rsidRPr="001B4467" w:rsidRDefault="000638A3" w:rsidP="00DE6990">
            <w:pPr>
              <w:spacing w:before="60"/>
              <w:ind w:left="180"/>
              <w:jc w:val="both"/>
              <w:rPr>
                <w:rFonts w:asciiTheme="majorBidi" w:hAnsiTheme="majorBidi" w:cstheme="majorBidi"/>
                <w:b/>
              </w:rPr>
            </w:pPr>
          </w:p>
        </w:tc>
      </w:tr>
      <w:tr w:rsidR="000638A3" w:rsidRPr="001B4467" w14:paraId="447500E5" w14:textId="77777777" w:rsidTr="00DE6990">
        <w:tc>
          <w:tcPr>
            <w:tcW w:w="7366" w:type="dxa"/>
            <w:tcBorders>
              <w:left w:val="single" w:sz="4" w:space="0" w:color="auto"/>
              <w:right w:val="single" w:sz="4" w:space="0" w:color="auto"/>
            </w:tcBorders>
          </w:tcPr>
          <w:p w14:paraId="294D800D" w14:textId="18333A95" w:rsidR="000638A3" w:rsidRPr="001B4467" w:rsidRDefault="000638A3" w:rsidP="000638A3">
            <w:pPr>
              <w:pStyle w:val="ListParagraph"/>
              <w:numPr>
                <w:ilvl w:val="0"/>
                <w:numId w:val="2"/>
              </w:numPr>
              <w:spacing w:before="60"/>
              <w:rPr>
                <w:rFonts w:asciiTheme="majorBidi" w:hAnsiTheme="majorBidi" w:cstheme="majorBidi"/>
              </w:rPr>
            </w:pPr>
          </w:p>
        </w:tc>
        <w:tc>
          <w:tcPr>
            <w:tcW w:w="1984" w:type="dxa"/>
            <w:tcBorders>
              <w:left w:val="single" w:sz="4" w:space="0" w:color="auto"/>
              <w:right w:val="single" w:sz="4" w:space="0" w:color="auto"/>
            </w:tcBorders>
          </w:tcPr>
          <w:p w14:paraId="1D363AA8" w14:textId="13ACD355" w:rsidR="000638A3" w:rsidRPr="001B4467" w:rsidRDefault="000638A3" w:rsidP="00DE6990">
            <w:pPr>
              <w:spacing w:before="60"/>
              <w:ind w:left="180"/>
              <w:rPr>
                <w:rFonts w:asciiTheme="majorBidi" w:hAnsiTheme="majorBidi" w:cstheme="majorBidi"/>
                <w:b/>
              </w:rPr>
            </w:pPr>
          </w:p>
        </w:tc>
      </w:tr>
      <w:tr w:rsidR="000638A3" w:rsidRPr="001B4467" w14:paraId="7C4DAF11" w14:textId="77777777" w:rsidTr="00DE6990">
        <w:tc>
          <w:tcPr>
            <w:tcW w:w="7366" w:type="dxa"/>
            <w:tcBorders>
              <w:left w:val="single" w:sz="4" w:space="0" w:color="auto"/>
              <w:right w:val="single" w:sz="4" w:space="0" w:color="auto"/>
            </w:tcBorders>
          </w:tcPr>
          <w:p w14:paraId="57B01E11" w14:textId="2E4B4217" w:rsidR="000638A3" w:rsidRPr="001B4467" w:rsidRDefault="000638A3" w:rsidP="000638A3">
            <w:pPr>
              <w:pStyle w:val="ListParagraph"/>
              <w:numPr>
                <w:ilvl w:val="0"/>
                <w:numId w:val="2"/>
              </w:numPr>
              <w:spacing w:before="60"/>
              <w:jc w:val="both"/>
              <w:rPr>
                <w:rFonts w:asciiTheme="majorBidi" w:hAnsiTheme="majorBidi" w:cstheme="majorBidi"/>
              </w:rPr>
            </w:pPr>
          </w:p>
        </w:tc>
        <w:tc>
          <w:tcPr>
            <w:tcW w:w="1984" w:type="dxa"/>
            <w:tcBorders>
              <w:left w:val="single" w:sz="4" w:space="0" w:color="auto"/>
              <w:right w:val="single" w:sz="4" w:space="0" w:color="auto"/>
            </w:tcBorders>
          </w:tcPr>
          <w:p w14:paraId="1A7E59F4" w14:textId="683425D0" w:rsidR="000638A3" w:rsidRPr="001B4467" w:rsidRDefault="000638A3" w:rsidP="00DE6990">
            <w:pPr>
              <w:spacing w:before="60"/>
              <w:ind w:left="180"/>
              <w:jc w:val="both"/>
              <w:rPr>
                <w:rFonts w:asciiTheme="majorBidi" w:hAnsiTheme="majorBidi" w:cstheme="majorBidi"/>
                <w:b/>
              </w:rPr>
            </w:pPr>
          </w:p>
        </w:tc>
      </w:tr>
      <w:tr w:rsidR="000638A3" w:rsidRPr="001B4467" w14:paraId="45655478" w14:textId="77777777" w:rsidTr="00DE6990">
        <w:tc>
          <w:tcPr>
            <w:tcW w:w="7366" w:type="dxa"/>
            <w:tcBorders>
              <w:left w:val="single" w:sz="4" w:space="0" w:color="auto"/>
              <w:right w:val="single" w:sz="4" w:space="0" w:color="auto"/>
            </w:tcBorders>
          </w:tcPr>
          <w:p w14:paraId="4B421FAD" w14:textId="5A722348" w:rsidR="000638A3" w:rsidRPr="001B4467" w:rsidRDefault="000638A3" w:rsidP="00DE6990">
            <w:pPr>
              <w:spacing w:before="120"/>
              <w:jc w:val="both"/>
              <w:rPr>
                <w:rFonts w:asciiTheme="majorBidi" w:hAnsiTheme="majorBidi" w:cstheme="majorBidi"/>
                <w:b/>
              </w:rPr>
            </w:pPr>
            <w:r w:rsidRPr="001B4467">
              <w:rPr>
                <w:rFonts w:asciiTheme="majorBidi" w:hAnsiTheme="majorBidi" w:cstheme="majorBidi"/>
                <w:b/>
              </w:rPr>
              <w:t>4.</w:t>
            </w:r>
            <w:r w:rsidRPr="001B4467">
              <w:rPr>
                <w:rFonts w:asciiTheme="majorBidi" w:hAnsiTheme="majorBidi" w:cstheme="majorBidi"/>
                <w:b/>
              </w:rPr>
              <w:tab/>
            </w:r>
            <w:r>
              <w:rPr>
                <w:b/>
              </w:rPr>
              <w:t>Topic 1</w:t>
            </w:r>
          </w:p>
        </w:tc>
        <w:tc>
          <w:tcPr>
            <w:tcW w:w="1984" w:type="dxa"/>
            <w:tcBorders>
              <w:left w:val="single" w:sz="4" w:space="0" w:color="auto"/>
              <w:right w:val="single" w:sz="4" w:space="0" w:color="auto"/>
            </w:tcBorders>
          </w:tcPr>
          <w:p w14:paraId="42C61D78" w14:textId="77777777" w:rsidR="000638A3" w:rsidRPr="001B4467" w:rsidRDefault="000638A3" w:rsidP="00DE6990">
            <w:pPr>
              <w:spacing w:before="120"/>
              <w:ind w:left="180"/>
              <w:jc w:val="both"/>
              <w:rPr>
                <w:rFonts w:asciiTheme="majorBidi" w:hAnsiTheme="majorBidi" w:cstheme="majorBidi"/>
                <w:b/>
              </w:rPr>
            </w:pPr>
          </w:p>
        </w:tc>
      </w:tr>
      <w:tr w:rsidR="000638A3" w:rsidRPr="001B4467" w14:paraId="35C620CD" w14:textId="77777777" w:rsidTr="00DE6990">
        <w:tc>
          <w:tcPr>
            <w:tcW w:w="7366" w:type="dxa"/>
            <w:tcBorders>
              <w:left w:val="single" w:sz="4" w:space="0" w:color="auto"/>
              <w:right w:val="single" w:sz="4" w:space="0" w:color="auto"/>
            </w:tcBorders>
          </w:tcPr>
          <w:p w14:paraId="5B664B32" w14:textId="77777777" w:rsidR="000638A3" w:rsidRPr="001B4467" w:rsidRDefault="000638A3" w:rsidP="00DE6990">
            <w:pPr>
              <w:spacing w:before="60"/>
              <w:jc w:val="both"/>
              <w:rPr>
                <w:rFonts w:asciiTheme="majorBidi" w:hAnsiTheme="majorBidi" w:cstheme="majorBidi"/>
              </w:rPr>
            </w:pPr>
            <w:r w:rsidRPr="001B4467">
              <w:rPr>
                <w:rFonts w:asciiTheme="majorBidi" w:hAnsiTheme="majorBidi" w:cstheme="majorBidi"/>
              </w:rPr>
              <w:tab/>
              <w:t>At the end of this section, students will be able to:</w:t>
            </w:r>
          </w:p>
        </w:tc>
        <w:tc>
          <w:tcPr>
            <w:tcW w:w="1984" w:type="dxa"/>
            <w:tcBorders>
              <w:left w:val="single" w:sz="4" w:space="0" w:color="auto"/>
              <w:right w:val="single" w:sz="4" w:space="0" w:color="auto"/>
            </w:tcBorders>
          </w:tcPr>
          <w:p w14:paraId="7E5FA191" w14:textId="77777777" w:rsidR="000638A3" w:rsidRPr="001B4467" w:rsidRDefault="000638A3" w:rsidP="00DE6990">
            <w:pPr>
              <w:spacing w:before="60"/>
              <w:ind w:left="180"/>
              <w:jc w:val="both"/>
              <w:rPr>
                <w:rFonts w:asciiTheme="majorBidi" w:hAnsiTheme="majorBidi" w:cstheme="majorBidi"/>
                <w:b/>
              </w:rPr>
            </w:pPr>
          </w:p>
        </w:tc>
      </w:tr>
      <w:tr w:rsidR="000638A3" w:rsidRPr="001B4467" w14:paraId="4F9D066F" w14:textId="77777777" w:rsidTr="00DE6990">
        <w:tc>
          <w:tcPr>
            <w:tcW w:w="7366" w:type="dxa"/>
            <w:tcBorders>
              <w:left w:val="single" w:sz="4" w:space="0" w:color="auto"/>
              <w:right w:val="single" w:sz="4" w:space="0" w:color="auto"/>
            </w:tcBorders>
          </w:tcPr>
          <w:p w14:paraId="0CE52C52" w14:textId="005B31E3" w:rsidR="000638A3" w:rsidRPr="001B4467" w:rsidRDefault="000638A3" w:rsidP="000638A3">
            <w:pPr>
              <w:pStyle w:val="ListParagraph"/>
              <w:numPr>
                <w:ilvl w:val="0"/>
                <w:numId w:val="4"/>
              </w:numPr>
              <w:spacing w:before="60"/>
              <w:rPr>
                <w:rFonts w:asciiTheme="majorBidi" w:hAnsiTheme="majorBidi" w:cstheme="majorBidi"/>
              </w:rPr>
            </w:pPr>
          </w:p>
        </w:tc>
        <w:tc>
          <w:tcPr>
            <w:tcW w:w="1984" w:type="dxa"/>
            <w:tcBorders>
              <w:left w:val="single" w:sz="4" w:space="0" w:color="auto"/>
              <w:right w:val="single" w:sz="4" w:space="0" w:color="auto"/>
            </w:tcBorders>
          </w:tcPr>
          <w:p w14:paraId="4EE20314" w14:textId="339B96C6" w:rsidR="000638A3" w:rsidRPr="001B4467" w:rsidRDefault="000638A3" w:rsidP="00DE6990">
            <w:pPr>
              <w:spacing w:before="60"/>
              <w:ind w:left="180"/>
              <w:rPr>
                <w:rFonts w:asciiTheme="majorBidi" w:hAnsiTheme="majorBidi" w:cstheme="majorBidi"/>
                <w:b/>
              </w:rPr>
            </w:pPr>
          </w:p>
        </w:tc>
      </w:tr>
      <w:tr w:rsidR="000638A3" w:rsidRPr="001B4467" w14:paraId="00E9608E" w14:textId="77777777" w:rsidTr="00DE6990">
        <w:tc>
          <w:tcPr>
            <w:tcW w:w="7366" w:type="dxa"/>
            <w:tcBorders>
              <w:left w:val="single" w:sz="4" w:space="0" w:color="auto"/>
              <w:bottom w:val="single" w:sz="4" w:space="0" w:color="auto"/>
              <w:right w:val="single" w:sz="4" w:space="0" w:color="auto"/>
            </w:tcBorders>
          </w:tcPr>
          <w:p w14:paraId="560CA6F1" w14:textId="54F6D617" w:rsidR="000638A3" w:rsidRPr="000638A3" w:rsidRDefault="000638A3" w:rsidP="000638A3">
            <w:pPr>
              <w:pStyle w:val="ListParagraph"/>
              <w:numPr>
                <w:ilvl w:val="0"/>
                <w:numId w:val="4"/>
              </w:numPr>
              <w:spacing w:before="60"/>
              <w:rPr>
                <w:rFonts w:asciiTheme="majorBidi" w:hAnsiTheme="majorBidi" w:cstheme="majorBidi"/>
              </w:rPr>
            </w:pPr>
            <w:r w:rsidRPr="001B4467">
              <w:rPr>
                <w:rFonts w:asciiTheme="majorBidi" w:hAnsiTheme="majorBidi" w:cstheme="majorBidi"/>
              </w:rPr>
              <w:t xml:space="preserve">  </w:t>
            </w:r>
          </w:p>
        </w:tc>
        <w:tc>
          <w:tcPr>
            <w:tcW w:w="1984" w:type="dxa"/>
            <w:tcBorders>
              <w:left w:val="single" w:sz="4" w:space="0" w:color="auto"/>
              <w:bottom w:val="single" w:sz="4" w:space="0" w:color="auto"/>
              <w:right w:val="single" w:sz="4" w:space="0" w:color="auto"/>
            </w:tcBorders>
          </w:tcPr>
          <w:p w14:paraId="3E6D447E" w14:textId="72F3E738" w:rsidR="000638A3" w:rsidRPr="001B4467" w:rsidRDefault="000638A3" w:rsidP="00DE6990">
            <w:pPr>
              <w:spacing w:before="60"/>
              <w:ind w:left="180"/>
              <w:rPr>
                <w:rFonts w:asciiTheme="majorBidi" w:hAnsiTheme="majorBidi" w:cstheme="majorBidi"/>
                <w:b/>
              </w:rPr>
            </w:pPr>
          </w:p>
        </w:tc>
      </w:tr>
    </w:tbl>
    <w:p w14:paraId="590863DC" w14:textId="1429E5B4" w:rsidR="000638A3" w:rsidRDefault="000638A3" w:rsidP="005670AE">
      <w:pPr>
        <w:jc w:val="both"/>
      </w:pPr>
    </w:p>
    <w:p w14:paraId="721A535F" w14:textId="77777777" w:rsidR="006F75C5" w:rsidRDefault="006F75C5" w:rsidP="005670AE">
      <w:pPr>
        <w:jc w:val="both"/>
      </w:pPr>
    </w:p>
    <w:p w14:paraId="76FD5493" w14:textId="77777777" w:rsidR="006F75C5" w:rsidRPr="00A1085B" w:rsidRDefault="006F75C5" w:rsidP="00E31AE3">
      <w:pPr>
        <w:spacing w:after="120"/>
        <w:jc w:val="both"/>
        <w:rPr>
          <w:b/>
        </w:rPr>
      </w:pPr>
      <w:r w:rsidRPr="00A1085B">
        <w:rPr>
          <w:b/>
        </w:rPr>
        <w:t>Evaluation</w:t>
      </w:r>
    </w:p>
    <w:tbl>
      <w:tblPr>
        <w:tblW w:w="5940" w:type="dxa"/>
        <w:jc w:val="center"/>
        <w:tblLayout w:type="fixed"/>
        <w:tblLook w:val="0000" w:firstRow="0" w:lastRow="0" w:firstColumn="0" w:lastColumn="0" w:noHBand="0" w:noVBand="0"/>
      </w:tblPr>
      <w:tblGrid>
        <w:gridCol w:w="4140"/>
        <w:gridCol w:w="1800"/>
      </w:tblGrid>
      <w:tr w:rsidR="006F75C5" w:rsidRPr="00E31AE3" w14:paraId="36EE270D" w14:textId="77777777" w:rsidTr="006F199F">
        <w:trPr>
          <w:trHeight w:hRule="exact" w:val="360"/>
          <w:jc w:val="center"/>
        </w:trPr>
        <w:tc>
          <w:tcPr>
            <w:tcW w:w="41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6FA28F59" w14:textId="77777777" w:rsidR="006F75C5" w:rsidRPr="00E31AE3" w:rsidRDefault="006F75C5" w:rsidP="00E31AE3">
            <w:r w:rsidRPr="00E31AE3">
              <w:rPr>
                <w:rFonts w:eastAsia="Times New Roman"/>
                <w:b/>
                <w:bCs/>
                <w:color w:val="000000"/>
              </w:rPr>
              <w:t>Course Component</w:t>
            </w:r>
          </w:p>
        </w:tc>
        <w:tc>
          <w:tcPr>
            <w:tcW w:w="18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4A624497" w14:textId="77777777" w:rsidR="006F75C5" w:rsidRPr="00E31AE3" w:rsidRDefault="006F75C5" w:rsidP="00E31AE3">
            <w:pPr>
              <w:jc w:val="center"/>
            </w:pPr>
            <w:r w:rsidRPr="00E31AE3">
              <w:rPr>
                <w:rFonts w:eastAsia="Times New Roman"/>
                <w:b/>
                <w:bCs/>
                <w:color w:val="000000"/>
              </w:rPr>
              <w:t>Weight</w:t>
            </w:r>
          </w:p>
        </w:tc>
      </w:tr>
      <w:tr w:rsidR="006F75C5" w:rsidRPr="00E31AE3" w14:paraId="019D4066" w14:textId="77777777" w:rsidTr="006F199F">
        <w:trPr>
          <w:trHeight w:hRule="exact" w:val="360"/>
          <w:jc w:val="center"/>
        </w:trPr>
        <w:tc>
          <w:tcPr>
            <w:tcW w:w="41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695D0186" w14:textId="77777777" w:rsidR="006F75C5" w:rsidRPr="00E31AE3" w:rsidRDefault="006F75C5" w:rsidP="00E31AE3">
            <w:r>
              <w:rPr>
                <w:rFonts w:eastAsia="Times New Roman"/>
                <w:color w:val="000000"/>
              </w:rPr>
              <w:t xml:space="preserve">Homework </w:t>
            </w:r>
            <w:r w:rsidRPr="00E31AE3">
              <w:rPr>
                <w:rFonts w:eastAsia="Times New Roman"/>
                <w:color w:val="000000"/>
              </w:rPr>
              <w:t>Assignments</w:t>
            </w:r>
          </w:p>
        </w:tc>
        <w:tc>
          <w:tcPr>
            <w:tcW w:w="18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30106FC9" w14:textId="77777777" w:rsidR="006F75C5" w:rsidRPr="00E31AE3" w:rsidRDefault="006F75C5" w:rsidP="00E31AE3">
            <w:pPr>
              <w:jc w:val="center"/>
            </w:pPr>
            <w:r w:rsidRPr="00E31AE3">
              <w:rPr>
                <w:rFonts w:eastAsia="Times New Roman"/>
                <w:color w:val="000000"/>
              </w:rPr>
              <w:t>%</w:t>
            </w:r>
          </w:p>
        </w:tc>
      </w:tr>
      <w:tr w:rsidR="006F75C5" w:rsidRPr="00E31AE3" w14:paraId="1F3BB361" w14:textId="77777777" w:rsidTr="006F199F">
        <w:trPr>
          <w:trHeight w:hRule="exact" w:val="360"/>
          <w:jc w:val="center"/>
        </w:trPr>
        <w:tc>
          <w:tcPr>
            <w:tcW w:w="41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08BC3C62" w14:textId="77777777" w:rsidR="006F75C5" w:rsidRDefault="006F75C5" w:rsidP="00E31AE3">
            <w:pPr>
              <w:rPr>
                <w:rFonts w:eastAsia="Times New Roman"/>
                <w:color w:val="000000"/>
              </w:rPr>
            </w:pPr>
            <w:r>
              <w:rPr>
                <w:rFonts w:eastAsia="Times New Roman"/>
                <w:color w:val="000000"/>
              </w:rPr>
              <w:t>Quizzes</w:t>
            </w:r>
          </w:p>
        </w:tc>
        <w:tc>
          <w:tcPr>
            <w:tcW w:w="18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38653F57" w14:textId="77777777" w:rsidR="006F75C5" w:rsidRPr="00E31AE3" w:rsidRDefault="006F75C5" w:rsidP="00E31AE3">
            <w:pPr>
              <w:jc w:val="center"/>
              <w:rPr>
                <w:rFonts w:eastAsia="Times New Roman"/>
                <w:color w:val="000000"/>
              </w:rPr>
            </w:pPr>
            <w:r>
              <w:rPr>
                <w:rFonts w:eastAsia="Times New Roman"/>
                <w:color w:val="000000"/>
              </w:rPr>
              <w:t>%</w:t>
            </w:r>
          </w:p>
        </w:tc>
      </w:tr>
      <w:tr w:rsidR="006F75C5" w:rsidRPr="00E31AE3" w14:paraId="3D1CA52B" w14:textId="77777777" w:rsidTr="006F199F">
        <w:trPr>
          <w:trHeight w:hRule="exact" w:val="360"/>
          <w:jc w:val="center"/>
        </w:trPr>
        <w:tc>
          <w:tcPr>
            <w:tcW w:w="41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505D4609" w14:textId="77777777" w:rsidR="006F75C5" w:rsidRDefault="006F75C5" w:rsidP="00E31AE3">
            <w:pPr>
              <w:rPr>
                <w:rFonts w:eastAsia="Times New Roman"/>
                <w:color w:val="000000"/>
              </w:rPr>
            </w:pPr>
            <w:r>
              <w:rPr>
                <w:rFonts w:eastAsia="Times New Roman"/>
                <w:color w:val="000000"/>
              </w:rPr>
              <w:lastRenderedPageBreak/>
              <w:t>Laboratory</w:t>
            </w:r>
          </w:p>
        </w:tc>
        <w:tc>
          <w:tcPr>
            <w:tcW w:w="18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2554B125" w14:textId="77777777" w:rsidR="006F75C5" w:rsidRPr="00E31AE3" w:rsidRDefault="006F75C5" w:rsidP="00E31AE3">
            <w:pPr>
              <w:jc w:val="center"/>
              <w:rPr>
                <w:rFonts w:eastAsia="Times New Roman"/>
                <w:color w:val="000000"/>
              </w:rPr>
            </w:pPr>
            <w:r>
              <w:rPr>
                <w:rFonts w:eastAsia="Times New Roman"/>
                <w:color w:val="000000"/>
              </w:rPr>
              <w:t>%</w:t>
            </w:r>
          </w:p>
        </w:tc>
      </w:tr>
      <w:tr w:rsidR="006F75C5" w:rsidRPr="00E31AE3" w14:paraId="03322387" w14:textId="77777777" w:rsidTr="006F199F">
        <w:trPr>
          <w:trHeight w:hRule="exact" w:val="360"/>
          <w:jc w:val="center"/>
        </w:trPr>
        <w:tc>
          <w:tcPr>
            <w:tcW w:w="41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0EF93C77" w14:textId="77777777" w:rsidR="006F75C5" w:rsidRDefault="006F75C5" w:rsidP="00E31AE3">
            <w:pPr>
              <w:rPr>
                <w:rFonts w:eastAsia="Times New Roman"/>
                <w:color w:val="000000"/>
              </w:rPr>
            </w:pPr>
            <w:r>
              <w:rPr>
                <w:rFonts w:eastAsia="Times New Roman"/>
                <w:color w:val="000000"/>
              </w:rPr>
              <w:t>Midterm Test</w:t>
            </w:r>
          </w:p>
        </w:tc>
        <w:tc>
          <w:tcPr>
            <w:tcW w:w="18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0A914C8B" w14:textId="77777777" w:rsidR="006F75C5" w:rsidRPr="00E31AE3" w:rsidRDefault="006F75C5" w:rsidP="00E31AE3">
            <w:pPr>
              <w:jc w:val="center"/>
              <w:rPr>
                <w:rFonts w:eastAsia="Times New Roman"/>
                <w:color w:val="000000"/>
              </w:rPr>
            </w:pPr>
            <w:r>
              <w:rPr>
                <w:rFonts w:eastAsia="Times New Roman"/>
                <w:color w:val="000000"/>
              </w:rPr>
              <w:t>%</w:t>
            </w:r>
          </w:p>
        </w:tc>
      </w:tr>
      <w:tr w:rsidR="006F75C5" w:rsidRPr="00E31AE3" w14:paraId="50B3AD40" w14:textId="77777777" w:rsidTr="006F199F">
        <w:trPr>
          <w:trHeight w:hRule="exact" w:val="360"/>
          <w:jc w:val="center"/>
        </w:trPr>
        <w:tc>
          <w:tcPr>
            <w:tcW w:w="41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358999E8" w14:textId="77777777" w:rsidR="006F75C5" w:rsidRPr="00E31AE3" w:rsidRDefault="006F75C5" w:rsidP="00E31AE3">
            <w:r w:rsidRPr="00E31AE3">
              <w:rPr>
                <w:rFonts w:eastAsia="Times New Roman"/>
                <w:color w:val="000000"/>
              </w:rPr>
              <w:t>Final Examination</w:t>
            </w:r>
          </w:p>
        </w:tc>
        <w:tc>
          <w:tcPr>
            <w:tcW w:w="18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7AE22508" w14:textId="77777777" w:rsidR="006F75C5" w:rsidRPr="00E31AE3" w:rsidRDefault="006F75C5" w:rsidP="00E31AE3">
            <w:pPr>
              <w:jc w:val="center"/>
            </w:pPr>
            <w:r>
              <w:rPr>
                <w:rFonts w:eastAsia="Times New Roman"/>
                <w:color w:val="000000"/>
              </w:rPr>
              <w:t>50</w:t>
            </w:r>
            <w:r w:rsidRPr="00E31AE3">
              <w:rPr>
                <w:rFonts w:eastAsia="Times New Roman"/>
                <w:color w:val="000000"/>
              </w:rPr>
              <w:t>%</w:t>
            </w:r>
          </w:p>
        </w:tc>
      </w:tr>
    </w:tbl>
    <w:p w14:paraId="180A4825" w14:textId="77777777" w:rsidR="006F75C5" w:rsidRPr="006F199F" w:rsidRDefault="006F75C5" w:rsidP="00DB288C">
      <w:pPr>
        <w:spacing w:before="120"/>
        <w:jc w:val="both"/>
        <w:rPr>
          <w:rFonts w:eastAsia="Times New Roman"/>
          <w:color w:val="000000"/>
        </w:rPr>
      </w:pPr>
      <w:r w:rsidRPr="006F199F">
        <w:rPr>
          <w:rFonts w:eastAsia="Times New Roman"/>
          <w:color w:val="000000"/>
        </w:rPr>
        <w:t xml:space="preserve">To obtain a passing grade in the course, a mark of 50% or more must be achieved on the </w:t>
      </w:r>
      <w:r>
        <w:rPr>
          <w:rFonts w:eastAsia="Times New Roman"/>
          <w:color w:val="000000"/>
        </w:rPr>
        <w:t>final examination</w:t>
      </w:r>
      <w:r w:rsidRPr="006F199F">
        <w:rPr>
          <w:rFonts w:eastAsia="Times New Roman"/>
          <w:color w:val="000000"/>
        </w:rPr>
        <w:t xml:space="preserve"> as </w:t>
      </w:r>
      <w:r>
        <w:rPr>
          <w:rFonts w:eastAsia="Times New Roman"/>
          <w:color w:val="000000"/>
        </w:rPr>
        <w:t>well as on the laboratory</w:t>
      </w:r>
      <w:r w:rsidRPr="006F199F">
        <w:rPr>
          <w:rFonts w:eastAsia="Times New Roman"/>
          <w:color w:val="000000"/>
        </w:rPr>
        <w:t xml:space="preserve">. A </w:t>
      </w:r>
      <w:r>
        <w:rPr>
          <w:rFonts w:eastAsia="Times New Roman"/>
          <w:color w:val="000000"/>
        </w:rPr>
        <w:t>final examination or laboratory</w:t>
      </w:r>
      <w:r w:rsidRPr="006F199F">
        <w:rPr>
          <w:rFonts w:eastAsia="Times New Roman"/>
          <w:color w:val="000000"/>
        </w:rPr>
        <w:t xml:space="preserve"> mark &lt; 50% will result in a final course grade of 48% or less.</w:t>
      </w:r>
    </w:p>
    <w:p w14:paraId="5D7E6963" w14:textId="77777777" w:rsidR="006F75C5" w:rsidRDefault="006F75C5" w:rsidP="00DB288C">
      <w:pPr>
        <w:spacing w:before="120"/>
        <w:jc w:val="both"/>
      </w:pPr>
      <w:r w:rsidRPr="00DB288C">
        <w:rPr>
          <w:b/>
        </w:rPr>
        <w:t>Homework Assignments:</w:t>
      </w:r>
      <w:r>
        <w:t xml:space="preserve"> </w:t>
      </w:r>
    </w:p>
    <w:p w14:paraId="559DF2C6" w14:textId="77777777" w:rsidR="006F75C5" w:rsidRDefault="006F75C5" w:rsidP="00DB288C">
      <w:pPr>
        <w:spacing w:before="120"/>
        <w:jc w:val="both"/>
      </w:pPr>
      <w:r w:rsidRPr="00DB288C">
        <w:rPr>
          <w:b/>
        </w:rPr>
        <w:t>Quizzes:</w:t>
      </w:r>
      <w:r>
        <w:t xml:space="preserve"> </w:t>
      </w:r>
    </w:p>
    <w:p w14:paraId="277780C7" w14:textId="77777777" w:rsidR="006F75C5" w:rsidRDefault="006F75C5" w:rsidP="00DB288C">
      <w:pPr>
        <w:spacing w:before="120"/>
        <w:jc w:val="both"/>
      </w:pPr>
      <w:r w:rsidRPr="00DB288C">
        <w:rPr>
          <w:b/>
        </w:rPr>
        <w:t>Laboratory:</w:t>
      </w:r>
      <w:r>
        <w:t xml:space="preserve"> </w:t>
      </w:r>
    </w:p>
    <w:p w14:paraId="2E942CE2" w14:textId="77777777" w:rsidR="006F75C5" w:rsidRDefault="006F75C5" w:rsidP="00DB288C">
      <w:pPr>
        <w:spacing w:before="120"/>
        <w:jc w:val="both"/>
      </w:pPr>
      <w:r w:rsidRPr="00DB288C">
        <w:rPr>
          <w:b/>
        </w:rPr>
        <w:t>Midterm Test:</w:t>
      </w:r>
      <w:r>
        <w:t xml:space="preserve"> </w:t>
      </w:r>
    </w:p>
    <w:p w14:paraId="058AA4BC" w14:textId="77777777" w:rsidR="006F75C5" w:rsidRDefault="006F75C5" w:rsidP="00DB288C">
      <w:pPr>
        <w:spacing w:before="120"/>
        <w:jc w:val="both"/>
      </w:pPr>
      <w:r w:rsidRPr="00DB288C">
        <w:rPr>
          <w:b/>
        </w:rPr>
        <w:t>Final Examination:</w:t>
      </w:r>
      <w:r>
        <w:t xml:space="preserve"> The final examination will be take place during the regular examination period. </w:t>
      </w:r>
    </w:p>
    <w:p w14:paraId="32DE707A" w14:textId="77777777" w:rsidR="006F75C5" w:rsidRDefault="006F75C5" w:rsidP="005670AE">
      <w:pPr>
        <w:jc w:val="both"/>
      </w:pPr>
    </w:p>
    <w:p w14:paraId="1A8DCA4B" w14:textId="77777777" w:rsidR="006F75C5" w:rsidRPr="00AC4301" w:rsidRDefault="006F75C5" w:rsidP="005670AE">
      <w:pPr>
        <w:jc w:val="both"/>
      </w:pPr>
      <w:r w:rsidRPr="003B44DF">
        <w:rPr>
          <w:b/>
        </w:rPr>
        <w:t xml:space="preserve">Late Submission Policy: </w:t>
      </w:r>
    </w:p>
    <w:p w14:paraId="4C966E25" w14:textId="77777777" w:rsidR="006F75C5" w:rsidRDefault="006F75C5" w:rsidP="005670AE">
      <w:pPr>
        <w:jc w:val="both"/>
      </w:pPr>
    </w:p>
    <w:p w14:paraId="420C658C" w14:textId="77777777" w:rsidR="006F75C5" w:rsidRDefault="006F75C5" w:rsidP="003B44DF">
      <w:pPr>
        <w:jc w:val="both"/>
      </w:pPr>
      <w:r w:rsidRPr="006918E3">
        <w:rPr>
          <w:b/>
        </w:rPr>
        <w:t xml:space="preserve">Assignment Submission Locker: </w:t>
      </w:r>
      <w:r>
        <w:t>Locker XYZ located on the second floor of TEB.</w:t>
      </w:r>
    </w:p>
    <w:p w14:paraId="70A0791C" w14:textId="77777777" w:rsidR="006F75C5" w:rsidRDefault="006F75C5" w:rsidP="003B44DF">
      <w:pPr>
        <w:jc w:val="both"/>
      </w:pPr>
    </w:p>
    <w:p w14:paraId="57530B6D" w14:textId="77777777" w:rsidR="006F75C5" w:rsidRDefault="006F75C5" w:rsidP="005670AE">
      <w:pPr>
        <w:jc w:val="both"/>
        <w:rPr>
          <w:snapToGrid w:val="0"/>
        </w:rPr>
      </w:pPr>
      <w:r w:rsidRPr="00825003">
        <w:rPr>
          <w:b/>
        </w:rPr>
        <w:t>Use of English</w:t>
      </w:r>
      <w:r>
        <w:rPr>
          <w:b/>
        </w:rPr>
        <w:t xml:space="preserve">: </w:t>
      </w:r>
      <w:r w:rsidRPr="005A6EF2">
        <w:rPr>
          <w:snapToGrid w:val="0"/>
        </w:rPr>
        <w:t>In accordance with Senate and Faculty Policy, students may be penalized up to 10% of the marks on all assignments, tests, and examinations fo</w:t>
      </w:r>
      <w:r>
        <w:rPr>
          <w:snapToGrid w:val="0"/>
        </w:rPr>
        <w:t xml:space="preserve">r improper use of English. </w:t>
      </w:r>
      <w:r w:rsidRPr="005A6EF2">
        <w:rPr>
          <w:snapToGrid w:val="0"/>
        </w:rPr>
        <w:t>Additionally, poorly written work with the exception of the final examination may be returned without grading. If resubmission of the work is permitted, it may be graded with marks deducted for poor English and/or late submission.</w:t>
      </w:r>
    </w:p>
    <w:p w14:paraId="27EA2FF0" w14:textId="77777777" w:rsidR="006F75C5" w:rsidRDefault="006F75C5" w:rsidP="005670AE">
      <w:pPr>
        <w:jc w:val="both"/>
      </w:pPr>
    </w:p>
    <w:p w14:paraId="5E3DCDC5" w14:textId="77777777" w:rsidR="006F75C5" w:rsidRPr="00825003" w:rsidRDefault="006F75C5" w:rsidP="005670AE">
      <w:pPr>
        <w:jc w:val="both"/>
        <w:rPr>
          <w:lang w:val="en-GB"/>
        </w:rPr>
      </w:pPr>
      <w:r w:rsidRPr="00825003">
        <w:rPr>
          <w:b/>
        </w:rPr>
        <w:t>Attendance:</w:t>
      </w:r>
      <w:r w:rsidRPr="00825003">
        <w:t xml:space="preserve"> </w:t>
      </w:r>
      <w:r w:rsidRPr="00825003">
        <w:rPr>
          <w:lang w:val="en-GB"/>
        </w:rPr>
        <w:t xml:space="preserve">Any student who, in the opinion of the instructor, is absent too frequently from class, laboratory, or tutorial periods will be reported to the Dean (after due warning has been given). On the recommendation of the </w:t>
      </w:r>
      <w:r>
        <w:rPr>
          <w:lang w:val="en-GB"/>
        </w:rPr>
        <w:t>d</w:t>
      </w:r>
      <w:r w:rsidRPr="00825003">
        <w:rPr>
          <w:lang w:val="en-GB"/>
        </w:rPr>
        <w:t>epartment, and with the permission of the Dean, the student will be debarred from taking the regular final examination in the course.</w:t>
      </w:r>
    </w:p>
    <w:p w14:paraId="040BF8A1" w14:textId="77777777" w:rsidR="006F75C5" w:rsidRPr="00825003" w:rsidRDefault="006F75C5" w:rsidP="005670AE">
      <w:pPr>
        <w:jc w:val="both"/>
        <w:rPr>
          <w:lang w:val="en-GB"/>
        </w:rPr>
      </w:pPr>
    </w:p>
    <w:p w14:paraId="5A4DE7D7" w14:textId="77777777" w:rsidR="006F75C5" w:rsidRDefault="006F75C5" w:rsidP="00353647">
      <w:pPr>
        <w:jc w:val="both"/>
      </w:pPr>
      <w:r w:rsidRPr="00353647">
        <w:rPr>
          <w:b/>
        </w:rPr>
        <w:t>Absence Due to Illness or Other Circumstances:</w:t>
      </w:r>
      <w:r>
        <w:t xml:space="preserve"> Students should immediately consult with the instructor or department Chair if they have any problems that could affect their performance in the course. Where appropriate, the problems should be documented (see the attached “Instructions for Students Unable to Write Tests or Examinations or Submit Assignments as Scheduled”). The student should seek advice from the instructor or department Chair regarding how best to deal with the problem. Failure to notify the instructor or department Chair immediately (or as soon as possible thereafter) will have a negative effect on any appeal.</w:t>
      </w:r>
    </w:p>
    <w:p w14:paraId="79C41B83" w14:textId="77777777" w:rsidR="006F75C5" w:rsidRDefault="006F75C5" w:rsidP="00353647">
      <w:pPr>
        <w:jc w:val="both"/>
      </w:pPr>
    </w:p>
    <w:p w14:paraId="73606CD1" w14:textId="77777777" w:rsidR="006F75C5" w:rsidRDefault="006F75C5" w:rsidP="00353647">
      <w:pPr>
        <w:jc w:val="both"/>
      </w:pPr>
      <w:r>
        <w:t>For more information concerning medical accommodations, see the relevant section of the Academic Handbook:</w:t>
      </w:r>
    </w:p>
    <w:p w14:paraId="553B946C" w14:textId="77777777" w:rsidR="006F75C5" w:rsidRDefault="00ED7130" w:rsidP="00353647">
      <w:pPr>
        <w:jc w:val="both"/>
      </w:pPr>
      <w:hyperlink r:id="rId5" w:history="1">
        <w:r w:rsidR="006F75C5" w:rsidRPr="004C5FB8">
          <w:rPr>
            <w:rStyle w:val="Hyperlink"/>
          </w:rPr>
          <w:t>http://www.uwo.ca/univsec/pdf/academic_policies/appeals/accommodation_medical.pdf</w:t>
        </w:r>
      </w:hyperlink>
    </w:p>
    <w:p w14:paraId="69B9CEDF" w14:textId="77777777" w:rsidR="006F75C5" w:rsidRDefault="006F75C5" w:rsidP="005670AE">
      <w:pPr>
        <w:jc w:val="both"/>
      </w:pPr>
    </w:p>
    <w:p w14:paraId="18422079" w14:textId="77777777" w:rsidR="006F75C5" w:rsidRPr="004A3AA7" w:rsidRDefault="006F75C5" w:rsidP="006918E3">
      <w:pPr>
        <w:jc w:val="both"/>
        <w:rPr>
          <w:bCs/>
          <w:lang w:val="en-US"/>
        </w:rPr>
      </w:pPr>
      <w:r w:rsidRPr="004A3AA7">
        <w:rPr>
          <w:bCs/>
          <w:lang w:val="en-US"/>
        </w:rPr>
        <w:t xml:space="preserve">For </w:t>
      </w:r>
      <w:r>
        <w:rPr>
          <w:bCs/>
          <w:lang w:val="en-US"/>
        </w:rPr>
        <w:t>more information concerning</w:t>
      </w:r>
      <w:r w:rsidRPr="004A3AA7">
        <w:rPr>
          <w:bCs/>
          <w:lang w:val="en-US"/>
        </w:rPr>
        <w:t xml:space="preserve"> </w:t>
      </w:r>
      <w:r>
        <w:rPr>
          <w:bCs/>
          <w:lang w:val="en-US"/>
        </w:rPr>
        <w:t>a</w:t>
      </w:r>
      <w:r w:rsidRPr="004A3AA7">
        <w:rPr>
          <w:bCs/>
          <w:lang w:val="en-US"/>
        </w:rPr>
        <w:t xml:space="preserve">ccommodations for </w:t>
      </w:r>
      <w:r>
        <w:rPr>
          <w:bCs/>
          <w:lang w:val="en-US"/>
        </w:rPr>
        <w:t>r</w:t>
      </w:r>
      <w:r w:rsidRPr="004A3AA7">
        <w:rPr>
          <w:bCs/>
          <w:lang w:val="en-US"/>
        </w:rPr>
        <w:t xml:space="preserve">eligious </w:t>
      </w:r>
      <w:r>
        <w:rPr>
          <w:bCs/>
          <w:lang w:val="en-US"/>
        </w:rPr>
        <w:t>h</w:t>
      </w:r>
      <w:r w:rsidRPr="004A3AA7">
        <w:rPr>
          <w:bCs/>
          <w:lang w:val="en-US"/>
        </w:rPr>
        <w:t>olidays</w:t>
      </w:r>
      <w:r>
        <w:rPr>
          <w:bCs/>
          <w:lang w:val="en-US"/>
        </w:rPr>
        <w:t>,</w:t>
      </w:r>
      <w:r w:rsidRPr="004A3AA7">
        <w:rPr>
          <w:bCs/>
          <w:lang w:val="en-US"/>
        </w:rPr>
        <w:t xml:space="preserve"> see</w:t>
      </w:r>
      <w:r>
        <w:rPr>
          <w:bCs/>
          <w:lang w:val="en-US"/>
        </w:rPr>
        <w:t xml:space="preserve"> </w:t>
      </w:r>
      <w:r>
        <w:t xml:space="preserve">the relevant section of </w:t>
      </w:r>
      <w:r>
        <w:rPr>
          <w:bCs/>
          <w:lang w:val="en-US"/>
        </w:rPr>
        <w:t>the Academic Handbook:</w:t>
      </w:r>
    </w:p>
    <w:p w14:paraId="3BE4852B" w14:textId="77777777" w:rsidR="006F75C5" w:rsidRDefault="00ED7130" w:rsidP="006918E3">
      <w:pPr>
        <w:jc w:val="both"/>
        <w:rPr>
          <w:bCs/>
        </w:rPr>
      </w:pPr>
      <w:hyperlink r:id="rId6" w:history="1">
        <w:r w:rsidR="006F75C5" w:rsidRPr="004C5FB8">
          <w:rPr>
            <w:rStyle w:val="Hyperlink"/>
            <w:bCs/>
            <w:lang w:val="en-US"/>
          </w:rPr>
          <w:t>http://www.uwo.ca/univsec/pdf/academic_policies/appeals/accommodation_religious.pdf</w:t>
        </w:r>
      </w:hyperlink>
    </w:p>
    <w:p w14:paraId="48D599D6" w14:textId="77777777" w:rsidR="006F75C5" w:rsidRDefault="006F75C5" w:rsidP="005670AE">
      <w:pPr>
        <w:jc w:val="both"/>
      </w:pPr>
    </w:p>
    <w:p w14:paraId="457B9111" w14:textId="77777777" w:rsidR="006F75C5" w:rsidRDefault="006F75C5" w:rsidP="00597D0B">
      <w:pPr>
        <w:jc w:val="both"/>
      </w:pPr>
      <w:r>
        <w:rPr>
          <w:b/>
        </w:rPr>
        <w:t xml:space="preserve">Missed Midterm Examinations: </w:t>
      </w:r>
      <w:r w:rsidRPr="00597D0B">
        <w:t xml:space="preserve">If a student misses a midterm examination, </w:t>
      </w:r>
      <w:r w:rsidR="00613C8E">
        <w:t xml:space="preserve">she or he </w:t>
      </w:r>
      <w:r w:rsidRPr="00597D0B">
        <w:t xml:space="preserve">must follow the Instructions for Students Unable to Write Tests and provide documentation to </w:t>
      </w:r>
      <w:r w:rsidR="00613C8E">
        <w:t xml:space="preserve">Undergraduate Services Office </w:t>
      </w:r>
      <w:r w:rsidRPr="00597D0B">
        <w:t xml:space="preserve">within 24 hours of the missed test. </w:t>
      </w:r>
      <w:r w:rsidR="00A02389">
        <w:t>If accommodation is granted, t</w:t>
      </w:r>
      <w:r w:rsidRPr="00597D0B">
        <w:t xml:space="preserve">he </w:t>
      </w:r>
      <w:r>
        <w:t>d</w:t>
      </w:r>
      <w:r w:rsidRPr="00597D0B">
        <w:t xml:space="preserve">epartment will decide whether to </w:t>
      </w:r>
      <w:r w:rsidR="003A44A9">
        <w:t xml:space="preserve">provide a make-up test or </w:t>
      </w:r>
      <w:r w:rsidRPr="00597D0B">
        <w:t>allow reweighting of the test, where reweighting means the marks normally allotted for the midterm will be added to the final exam. If no reasonable justification for missing the test can be found, then the student will receive a mark of zero for the test.</w:t>
      </w:r>
    </w:p>
    <w:p w14:paraId="3079095A" w14:textId="77777777" w:rsidR="006F75C5" w:rsidRPr="00597D0B" w:rsidRDefault="006F75C5" w:rsidP="00597D0B">
      <w:pPr>
        <w:jc w:val="both"/>
      </w:pPr>
    </w:p>
    <w:p w14:paraId="2E6882CF" w14:textId="77777777" w:rsidR="006F75C5" w:rsidRDefault="006F75C5" w:rsidP="006918E3">
      <w:pPr>
        <w:jc w:val="both"/>
        <w:rPr>
          <w:bCs/>
        </w:rPr>
      </w:pPr>
      <w:r w:rsidRPr="00597D0B">
        <w:rPr>
          <w:bCs/>
        </w:rPr>
        <w:t>If a student is going to miss the midterm examination for religious reasons, they must inform the instructor in writing within 48 hours of the announcement of the exam date or they will be required to write the exam.</w:t>
      </w:r>
      <w:r>
        <w:rPr>
          <w:bCs/>
        </w:rPr>
        <w:t xml:space="preserve"> </w:t>
      </w:r>
    </w:p>
    <w:p w14:paraId="7A6F131E" w14:textId="77777777" w:rsidR="006F75C5" w:rsidRDefault="006F75C5" w:rsidP="00E149A9">
      <w:pPr>
        <w:jc w:val="both"/>
        <w:rPr>
          <w:b/>
        </w:rPr>
      </w:pPr>
    </w:p>
    <w:p w14:paraId="123D5086" w14:textId="77777777" w:rsidR="006F75C5" w:rsidRDefault="006F75C5" w:rsidP="00E149A9">
      <w:pPr>
        <w:jc w:val="both"/>
      </w:pPr>
      <w:r w:rsidRPr="00543EB2">
        <w:rPr>
          <w:b/>
        </w:rPr>
        <w:t>Cheating and Plagiarism:</w:t>
      </w:r>
      <w:r>
        <w:t xml:space="preserve"> </w:t>
      </w:r>
      <w:r w:rsidRPr="00E149A9">
        <w:t>Students must write their essays and assignments in their own words. Whenever students take an id</w:t>
      </w:r>
      <w:r>
        <w:t>ea</w:t>
      </w:r>
      <w:r w:rsidRPr="00E149A9">
        <w:t xml:space="preserve"> or a passage from another author, they must acknowledge their debt both by using quotation marks where appropriate and by proper referencing such as footnotes or citations. University policy states that cheating, including plagiarism, is a scholastic offence. The commission of a scholastic offence is attended by academic penalties, which might include expulsion from the program. If you are caught cheating, there will be no second warning.</w:t>
      </w:r>
    </w:p>
    <w:p w14:paraId="5546EA70" w14:textId="77777777" w:rsidR="006F75C5" w:rsidRPr="00E149A9" w:rsidRDefault="006F75C5" w:rsidP="00E149A9">
      <w:pPr>
        <w:jc w:val="both"/>
      </w:pPr>
    </w:p>
    <w:p w14:paraId="1C9CA8A6" w14:textId="77777777" w:rsidR="006F75C5" w:rsidRDefault="006F75C5" w:rsidP="00E149A9">
      <w:pPr>
        <w:jc w:val="both"/>
      </w:pPr>
      <w:r w:rsidRPr="00E149A9">
        <w:t xml:space="preserve">All required papers may be subject to submission for textual similarity </w:t>
      </w:r>
      <w:r>
        <w:t>review to commercial plagiarism-</w:t>
      </w:r>
      <w:r w:rsidRPr="00E149A9">
        <w:t>detection software under l</w:t>
      </w:r>
      <w:r>
        <w:t>icense to the University for the detection of plagiarism</w:t>
      </w:r>
      <w:r w:rsidRPr="00E149A9">
        <w:t xml:space="preserve">. All papers submitted will be included as source documents on the reference database for the purpose of detecting plagiarism of papers subsequently submitted to the system. Use of the service is subject to the licensing agreement, currently between the </w:t>
      </w:r>
      <w:smartTag w:uri="urn:schemas-microsoft-com:office:smarttags" w:element="place">
        <w:smartTag w:uri="urn:schemas-microsoft-com:office:smarttags" w:element="PlaceType">
          <w:smartTag w:uri="urn:schemas-microsoft-com:office:smarttags" w:element="PlaceType">
            <w:r w:rsidRPr="00E149A9">
              <w:t>University</w:t>
            </w:r>
          </w:smartTag>
          <w:r w:rsidRPr="00E149A9">
            <w:t xml:space="preserve"> of </w:t>
          </w:r>
          <w:smartTag w:uri="urn:schemas-microsoft-com:office:smarttags" w:element="PlaceName">
            <w:r w:rsidRPr="00E149A9">
              <w:t>Western Ontario</w:t>
            </w:r>
          </w:smartTag>
        </w:smartTag>
      </w:smartTag>
      <w:r w:rsidRPr="00E149A9">
        <w:t xml:space="preserve"> and Turnitin.com (</w:t>
      </w:r>
      <w:hyperlink r:id="rId7" w:history="1">
        <w:r w:rsidRPr="00B90BA9">
          <w:rPr>
            <w:rStyle w:val="Hyperlink"/>
          </w:rPr>
          <w:t>http://www.turnitin.com</w:t>
        </w:r>
      </w:hyperlink>
      <w:r w:rsidRPr="00E149A9">
        <w:t>).</w:t>
      </w:r>
    </w:p>
    <w:p w14:paraId="40FEB99A" w14:textId="77777777" w:rsidR="006F75C5" w:rsidRPr="00EE3D51" w:rsidRDefault="006F75C5" w:rsidP="00E149A9">
      <w:pPr>
        <w:jc w:val="both"/>
        <w:rPr>
          <w:lang w:val="en-GB"/>
        </w:rPr>
      </w:pPr>
    </w:p>
    <w:p w14:paraId="072325DC" w14:textId="77777777" w:rsidR="006F75C5" w:rsidRPr="00EE3D51" w:rsidRDefault="006F75C5" w:rsidP="00EE3D51">
      <w:pPr>
        <w:jc w:val="both"/>
        <w:rPr>
          <w:lang w:val="en-US"/>
        </w:rPr>
      </w:pPr>
      <w:r w:rsidRPr="0011763B">
        <w:rPr>
          <w:lang w:val="en-US"/>
        </w:rPr>
        <w:t>Scholastic offences are taken seriously and students are directed to read the appropriate policy, specifically, the definition of what constitutes a Scholastic Offence</w:t>
      </w:r>
      <w:r>
        <w:rPr>
          <w:lang w:val="en-US"/>
        </w:rPr>
        <w:t xml:space="preserve">, in </w:t>
      </w:r>
      <w:r>
        <w:t xml:space="preserve">the relevant section of </w:t>
      </w:r>
      <w:r>
        <w:rPr>
          <w:lang w:val="en-US"/>
        </w:rPr>
        <w:t>the Academic Handbook</w:t>
      </w:r>
      <w:r w:rsidRPr="00EE3D51">
        <w:rPr>
          <w:lang w:val="en-US"/>
        </w:rPr>
        <w:t>:</w:t>
      </w:r>
    </w:p>
    <w:p w14:paraId="6A702563" w14:textId="77777777" w:rsidR="006F75C5" w:rsidRPr="00EE3D51" w:rsidRDefault="00ED7130" w:rsidP="00EE3D51">
      <w:pPr>
        <w:jc w:val="both"/>
        <w:rPr>
          <w:lang w:val="en-US"/>
        </w:rPr>
      </w:pPr>
      <w:hyperlink r:id="rId8" w:history="1">
        <w:r w:rsidR="006F75C5" w:rsidRPr="004C5FB8">
          <w:rPr>
            <w:rStyle w:val="Hyperlink"/>
            <w:lang w:val="en-US"/>
          </w:rPr>
          <w:t>http://www.uwo.ca/univsec/pdf/academic_policies/appeals/scholastic_discipline_undergrad.pdf</w:t>
        </w:r>
      </w:hyperlink>
    </w:p>
    <w:p w14:paraId="6B573735" w14:textId="77777777" w:rsidR="006F75C5" w:rsidRPr="00EE3D51" w:rsidRDefault="006F75C5" w:rsidP="00EE3D51">
      <w:pPr>
        <w:jc w:val="both"/>
        <w:rPr>
          <w:lang w:val="en-GB"/>
        </w:rPr>
      </w:pPr>
    </w:p>
    <w:p w14:paraId="0BEDC9D8" w14:textId="77777777" w:rsidR="006F75C5" w:rsidRDefault="006F75C5" w:rsidP="005670AE">
      <w:pPr>
        <w:jc w:val="both"/>
        <w:rPr>
          <w:b/>
        </w:rPr>
      </w:pPr>
      <w:r>
        <w:rPr>
          <w:b/>
        </w:rPr>
        <w:t xml:space="preserve">Use of Electronic Devices: </w:t>
      </w:r>
    </w:p>
    <w:p w14:paraId="3C651200" w14:textId="77777777" w:rsidR="007D05CD" w:rsidRPr="007D05CD" w:rsidRDefault="007D05CD" w:rsidP="005670AE">
      <w:pPr>
        <w:jc w:val="both"/>
      </w:pPr>
    </w:p>
    <w:p w14:paraId="0C705C20" w14:textId="77777777" w:rsidR="007D05CD" w:rsidRPr="007D05CD" w:rsidRDefault="007D05CD" w:rsidP="005670AE">
      <w:pPr>
        <w:jc w:val="both"/>
        <w:rPr>
          <w:b/>
        </w:rPr>
      </w:pPr>
      <w:r w:rsidRPr="007D05CD">
        <w:rPr>
          <w:b/>
        </w:rPr>
        <w:t>Use of Personal Response Devices (</w:t>
      </w:r>
      <w:r w:rsidR="00FC6731">
        <w:rPr>
          <w:b/>
        </w:rPr>
        <w:t>“</w:t>
      </w:r>
      <w:r w:rsidRPr="007D05CD">
        <w:rPr>
          <w:b/>
        </w:rPr>
        <w:t>Clickers</w:t>
      </w:r>
      <w:r w:rsidR="00FC6731">
        <w:rPr>
          <w:b/>
        </w:rPr>
        <w:t>”</w:t>
      </w:r>
      <w:r w:rsidRPr="007D05CD">
        <w:rPr>
          <w:b/>
        </w:rPr>
        <w:t xml:space="preserve">): </w:t>
      </w:r>
    </w:p>
    <w:p w14:paraId="4D8AEE19" w14:textId="77777777" w:rsidR="006F75C5" w:rsidRDefault="006F75C5" w:rsidP="005670AE">
      <w:pPr>
        <w:jc w:val="both"/>
      </w:pPr>
    </w:p>
    <w:p w14:paraId="65DD10F1" w14:textId="77777777" w:rsidR="006F75C5" w:rsidRDefault="006F75C5" w:rsidP="004A3AA7">
      <w:pPr>
        <w:jc w:val="both"/>
      </w:pPr>
      <w:r w:rsidRPr="004A3AA7">
        <w:rPr>
          <w:b/>
          <w:bCs/>
        </w:rPr>
        <w:t xml:space="preserve">Policy on Repeating All Components of </w:t>
      </w:r>
      <w:r>
        <w:rPr>
          <w:b/>
          <w:bCs/>
        </w:rPr>
        <w:t xml:space="preserve">a Course: </w:t>
      </w:r>
      <w:r w:rsidRPr="004A3AA7">
        <w:t>Students who are required to repeat an Engineering course must repeat all components of the course. No special permissions will be granted enabling a student to retain laboratory, assignment, or test marks from previous years. Previously completed assignments and laboratories cannot be resubmitted by the student for grading in subsequent years.</w:t>
      </w:r>
    </w:p>
    <w:p w14:paraId="6CDFE1E9" w14:textId="77777777" w:rsidR="006F75C5" w:rsidRDefault="006F75C5" w:rsidP="004A3AA7">
      <w:pPr>
        <w:jc w:val="both"/>
      </w:pPr>
    </w:p>
    <w:p w14:paraId="63EAAB37" w14:textId="77777777" w:rsidR="006F75C5" w:rsidRDefault="006F75C5" w:rsidP="004A3AA7">
      <w:pPr>
        <w:jc w:val="both"/>
        <w:rPr>
          <w:snapToGrid w:val="0"/>
        </w:rPr>
      </w:pPr>
      <w:r w:rsidRPr="004B1279">
        <w:rPr>
          <w:b/>
        </w:rPr>
        <w:t>Int</w:t>
      </w:r>
      <w:r>
        <w:rPr>
          <w:b/>
        </w:rPr>
        <w:t>ernet and Electronic Mail</w:t>
      </w:r>
      <w:r w:rsidRPr="004B1279">
        <w:rPr>
          <w:b/>
        </w:rPr>
        <w:t>:</w:t>
      </w:r>
      <w:r>
        <w:t xml:space="preserve"> </w:t>
      </w:r>
      <w:r w:rsidRPr="005A6EF2">
        <w:rPr>
          <w:snapToGrid w:val="0"/>
        </w:rPr>
        <w:t>Students are responsible for regularly checking their Western e</w:t>
      </w:r>
      <w:r>
        <w:rPr>
          <w:snapToGrid w:val="0"/>
        </w:rPr>
        <w:noBreakHyphen/>
        <w:t xml:space="preserve">mail and </w:t>
      </w:r>
      <w:r w:rsidRPr="005A6EF2">
        <w:rPr>
          <w:snapToGrid w:val="0"/>
        </w:rPr>
        <w:t xml:space="preserve">the course </w:t>
      </w:r>
      <w:r>
        <w:rPr>
          <w:snapToGrid w:val="0"/>
        </w:rPr>
        <w:t>web</w:t>
      </w:r>
      <w:r w:rsidRPr="005A6EF2">
        <w:rPr>
          <w:snapToGrid w:val="0"/>
        </w:rPr>
        <w:t xml:space="preserve"> site</w:t>
      </w:r>
      <w:r>
        <w:rPr>
          <w:snapToGrid w:val="0"/>
        </w:rPr>
        <w:t xml:space="preserve"> (</w:t>
      </w:r>
      <w:hyperlink r:id="rId9" w:history="1">
        <w:r w:rsidRPr="004C5FB8">
          <w:rPr>
            <w:rStyle w:val="Hyperlink"/>
            <w:snapToGrid w:val="0"/>
          </w:rPr>
          <w:t>https://owl.uwo.ca/portal/</w:t>
        </w:r>
      </w:hyperlink>
      <w:r>
        <w:rPr>
          <w:snapToGrid w:val="0"/>
        </w:rPr>
        <w:t>) and making themselves aware of any information that is posted about the course</w:t>
      </w:r>
      <w:r w:rsidRPr="005A6EF2">
        <w:rPr>
          <w:snapToGrid w:val="0"/>
        </w:rPr>
        <w:t>.</w:t>
      </w:r>
    </w:p>
    <w:p w14:paraId="3CB75BAF" w14:textId="77777777" w:rsidR="006F75C5" w:rsidRDefault="006F75C5" w:rsidP="004A3AA7">
      <w:pPr>
        <w:jc w:val="both"/>
        <w:rPr>
          <w:snapToGrid w:val="0"/>
        </w:rPr>
      </w:pPr>
    </w:p>
    <w:p w14:paraId="61452855" w14:textId="77777777" w:rsidR="006F75C5" w:rsidRDefault="006F75C5" w:rsidP="00B864D0">
      <w:pPr>
        <w:jc w:val="both"/>
        <w:rPr>
          <w:iCs/>
        </w:rPr>
      </w:pPr>
      <w:r w:rsidRPr="00B864D0">
        <w:rPr>
          <w:b/>
        </w:rPr>
        <w:lastRenderedPageBreak/>
        <w:t>Accessibility:</w:t>
      </w:r>
      <w:r>
        <w:t xml:space="preserve"> </w:t>
      </w:r>
      <w:r w:rsidRPr="00B864D0">
        <w:rPr>
          <w:iCs/>
        </w:rPr>
        <w:t>Please contact the course instructor if you require material in an alternate format or if any other arrangements can make this course more accessible to you. You may also wish to contact Services for Students with Disabilities (SSD) at 519-661-2111 ext. 82147 for any specific question regarding an accommodation.</w:t>
      </w:r>
    </w:p>
    <w:p w14:paraId="352923F7" w14:textId="77777777" w:rsidR="006F75C5" w:rsidRPr="00B864D0" w:rsidRDefault="006F75C5" w:rsidP="00B864D0">
      <w:pPr>
        <w:jc w:val="both"/>
        <w:rPr>
          <w:iCs/>
        </w:rPr>
      </w:pPr>
    </w:p>
    <w:p w14:paraId="06558177" w14:textId="77777777" w:rsidR="006F75C5" w:rsidRDefault="006F75C5" w:rsidP="00B864D0">
      <w:pPr>
        <w:jc w:val="both"/>
        <w:rPr>
          <w:iCs/>
        </w:rPr>
      </w:pPr>
      <w:r w:rsidRPr="0011763B">
        <w:rPr>
          <w:b/>
          <w:iCs/>
        </w:rPr>
        <w:t>Support Services:</w:t>
      </w:r>
      <w:r w:rsidRPr="0011763B">
        <w:rPr>
          <w:b/>
          <w:iCs/>
        </w:rPr>
        <w:tab/>
      </w:r>
      <w:r>
        <w:rPr>
          <w:iCs/>
        </w:rPr>
        <w:t xml:space="preserve">Office of the Registrar, </w:t>
      </w:r>
      <w:hyperlink r:id="rId10" w:history="1">
        <w:r w:rsidRPr="00916151">
          <w:rPr>
            <w:rStyle w:val="Hyperlink"/>
            <w:iCs/>
          </w:rPr>
          <w:t>http://www.registrar.uwo.ca/</w:t>
        </w:r>
      </w:hyperlink>
    </w:p>
    <w:p w14:paraId="195477B1" w14:textId="77777777" w:rsidR="006F75C5" w:rsidRDefault="006F75C5" w:rsidP="00B864D0">
      <w:pPr>
        <w:jc w:val="both"/>
        <w:rPr>
          <w:iCs/>
        </w:rPr>
      </w:pPr>
      <w:r>
        <w:rPr>
          <w:iCs/>
        </w:rPr>
        <w:tab/>
      </w:r>
      <w:r>
        <w:rPr>
          <w:iCs/>
        </w:rPr>
        <w:tab/>
      </w:r>
      <w:r>
        <w:rPr>
          <w:iCs/>
        </w:rPr>
        <w:tab/>
      </w:r>
      <w:r>
        <w:rPr>
          <w:iCs/>
        </w:rPr>
        <w:tab/>
      </w:r>
      <w:r>
        <w:rPr>
          <w:iCs/>
        </w:rPr>
        <w:tab/>
        <w:t xml:space="preserve">Student Development Centre, </w:t>
      </w:r>
      <w:hyperlink r:id="rId11" w:history="1">
        <w:r w:rsidRPr="00916151">
          <w:rPr>
            <w:rStyle w:val="Hyperlink"/>
            <w:iCs/>
          </w:rPr>
          <w:t>http://www.sdc.uwo.ca/</w:t>
        </w:r>
      </w:hyperlink>
    </w:p>
    <w:p w14:paraId="58808363" w14:textId="77777777" w:rsidR="006F75C5" w:rsidRDefault="006F75C5" w:rsidP="00B864D0">
      <w:pPr>
        <w:jc w:val="both"/>
        <w:rPr>
          <w:iCs/>
        </w:rPr>
      </w:pPr>
      <w:r>
        <w:rPr>
          <w:iCs/>
        </w:rPr>
        <w:tab/>
      </w:r>
      <w:r>
        <w:rPr>
          <w:iCs/>
        </w:rPr>
        <w:tab/>
      </w:r>
      <w:r>
        <w:rPr>
          <w:iCs/>
        </w:rPr>
        <w:tab/>
      </w:r>
      <w:r>
        <w:rPr>
          <w:iCs/>
        </w:rPr>
        <w:tab/>
      </w:r>
      <w:r>
        <w:rPr>
          <w:iCs/>
        </w:rPr>
        <w:tab/>
        <w:t xml:space="preserve">Engineering Undergraduate Services, </w:t>
      </w:r>
      <w:hyperlink r:id="rId12" w:history="1">
        <w:r w:rsidRPr="00916151">
          <w:rPr>
            <w:rStyle w:val="Hyperlink"/>
            <w:iCs/>
          </w:rPr>
          <w:t>http://www.eng.uwo.ca/undergraduate/</w:t>
        </w:r>
      </w:hyperlink>
    </w:p>
    <w:p w14:paraId="553D4EBF" w14:textId="77777777" w:rsidR="006F75C5" w:rsidRDefault="006F75C5" w:rsidP="00B864D0">
      <w:pPr>
        <w:jc w:val="both"/>
        <w:rPr>
          <w:iCs/>
        </w:rPr>
      </w:pPr>
      <w:r>
        <w:rPr>
          <w:iCs/>
        </w:rPr>
        <w:tab/>
      </w:r>
      <w:r>
        <w:rPr>
          <w:iCs/>
        </w:rPr>
        <w:tab/>
      </w:r>
      <w:r>
        <w:rPr>
          <w:iCs/>
        </w:rPr>
        <w:tab/>
      </w:r>
      <w:r>
        <w:rPr>
          <w:iCs/>
        </w:rPr>
        <w:tab/>
      </w:r>
      <w:r>
        <w:rPr>
          <w:iCs/>
        </w:rPr>
        <w:tab/>
        <w:t xml:space="preserve">USC Student Support Services, </w:t>
      </w:r>
      <w:hyperlink r:id="rId13" w:history="1">
        <w:r w:rsidRPr="00916151">
          <w:rPr>
            <w:rStyle w:val="Hyperlink"/>
            <w:iCs/>
          </w:rPr>
          <w:t>http://westernusc.ca/services/</w:t>
        </w:r>
      </w:hyperlink>
    </w:p>
    <w:p w14:paraId="2C02D0CD" w14:textId="77777777" w:rsidR="006F75C5" w:rsidRPr="0011763B" w:rsidRDefault="006F75C5" w:rsidP="00B864D0">
      <w:pPr>
        <w:jc w:val="both"/>
        <w:rPr>
          <w:b/>
          <w:iCs/>
        </w:rPr>
      </w:pPr>
    </w:p>
    <w:p w14:paraId="03111308" w14:textId="77777777" w:rsidR="006F75C5" w:rsidRPr="00B864D0" w:rsidRDefault="006F75C5" w:rsidP="00B864D0">
      <w:pPr>
        <w:jc w:val="both"/>
      </w:pPr>
      <w:r w:rsidRPr="00B864D0">
        <w:rPr>
          <w:iCs/>
        </w:rPr>
        <w:t xml:space="preserve">Students </w:t>
      </w:r>
      <w:r>
        <w:rPr>
          <w:iCs/>
        </w:rPr>
        <w:t>who</w:t>
      </w:r>
      <w:r w:rsidRPr="00B864D0">
        <w:rPr>
          <w:iCs/>
        </w:rPr>
        <w:t xml:space="preserve"> are in emotional/mental distress should refer to Mental Health @ Western, </w:t>
      </w:r>
      <w:hyperlink r:id="rId14" w:history="1">
        <w:r w:rsidRPr="004C5FB8">
          <w:rPr>
            <w:rStyle w:val="Hyperlink"/>
            <w:iCs/>
          </w:rPr>
          <w:t>http://www.health.uwo.ca/mental_health/</w:t>
        </w:r>
      </w:hyperlink>
      <w:r w:rsidRPr="00B864D0">
        <w:rPr>
          <w:iCs/>
        </w:rPr>
        <w:t>, for a complete list of options about how to obtain help.</w:t>
      </w:r>
    </w:p>
    <w:sectPr w:rsidR="006F75C5" w:rsidRPr="00B864D0" w:rsidSect="003B16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E1233"/>
    <w:multiLevelType w:val="hybridMultilevel"/>
    <w:tmpl w:val="847C2616"/>
    <w:lvl w:ilvl="0" w:tplc="3474CABE">
      <w:start w:val="1"/>
      <w:numFmt w:val="low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F4C009A"/>
    <w:multiLevelType w:val="hybridMultilevel"/>
    <w:tmpl w:val="847C2616"/>
    <w:lvl w:ilvl="0" w:tplc="3474CABE">
      <w:start w:val="1"/>
      <w:numFmt w:val="low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243478B"/>
    <w:multiLevelType w:val="hybridMultilevel"/>
    <w:tmpl w:val="9E84B8D6"/>
    <w:lvl w:ilvl="0" w:tplc="4B18361E">
      <w:start w:val="1"/>
      <w:numFmt w:val="low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57C1ECC"/>
    <w:multiLevelType w:val="hybridMultilevel"/>
    <w:tmpl w:val="34CA76BA"/>
    <w:lvl w:ilvl="0" w:tplc="498C183C">
      <w:start w:val="1"/>
      <w:numFmt w:val="low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23455041">
    <w:abstractNumId w:val="2"/>
  </w:num>
  <w:num w:numId="2" w16cid:durableId="1329288981">
    <w:abstractNumId w:val="3"/>
  </w:num>
  <w:num w:numId="3" w16cid:durableId="759107072">
    <w:abstractNumId w:val="0"/>
  </w:num>
  <w:num w:numId="4" w16cid:durableId="17068304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36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IxMLWwNLE0NzY1sjBW0lEKTi0uzszPAykwrAUArYZLPywAAAA="/>
  </w:docVars>
  <w:rsids>
    <w:rsidRoot w:val="005670AE"/>
    <w:rsid w:val="000638A3"/>
    <w:rsid w:val="000655DF"/>
    <w:rsid w:val="00074B85"/>
    <w:rsid w:val="00090C7B"/>
    <w:rsid w:val="000A670C"/>
    <w:rsid w:val="0011763B"/>
    <w:rsid w:val="001C42A7"/>
    <w:rsid w:val="001C70DC"/>
    <w:rsid w:val="00254E9D"/>
    <w:rsid w:val="00306B75"/>
    <w:rsid w:val="00315F1A"/>
    <w:rsid w:val="00324652"/>
    <w:rsid w:val="0035333A"/>
    <w:rsid w:val="00353647"/>
    <w:rsid w:val="0036085B"/>
    <w:rsid w:val="00367A7F"/>
    <w:rsid w:val="003A44A9"/>
    <w:rsid w:val="003B1628"/>
    <w:rsid w:val="003B44DF"/>
    <w:rsid w:val="003C29AB"/>
    <w:rsid w:val="003C4F08"/>
    <w:rsid w:val="003D4141"/>
    <w:rsid w:val="003E3503"/>
    <w:rsid w:val="00447F2D"/>
    <w:rsid w:val="0046444A"/>
    <w:rsid w:val="0048663A"/>
    <w:rsid w:val="004971F7"/>
    <w:rsid w:val="004A3AA7"/>
    <w:rsid w:val="004B1279"/>
    <w:rsid w:val="004C2456"/>
    <w:rsid w:val="004C5FB8"/>
    <w:rsid w:val="004D661E"/>
    <w:rsid w:val="004F54C4"/>
    <w:rsid w:val="00543EB2"/>
    <w:rsid w:val="005670AE"/>
    <w:rsid w:val="00597D0B"/>
    <w:rsid w:val="005A6EF2"/>
    <w:rsid w:val="005C0484"/>
    <w:rsid w:val="00613C8E"/>
    <w:rsid w:val="00660937"/>
    <w:rsid w:val="006918E3"/>
    <w:rsid w:val="006C3B5C"/>
    <w:rsid w:val="006F199F"/>
    <w:rsid w:val="006F75C5"/>
    <w:rsid w:val="007031E0"/>
    <w:rsid w:val="00706BC0"/>
    <w:rsid w:val="007D05CD"/>
    <w:rsid w:val="00805F24"/>
    <w:rsid w:val="00825003"/>
    <w:rsid w:val="008307D7"/>
    <w:rsid w:val="0084408F"/>
    <w:rsid w:val="00854B77"/>
    <w:rsid w:val="008838E2"/>
    <w:rsid w:val="008C4B72"/>
    <w:rsid w:val="00916151"/>
    <w:rsid w:val="00940A5B"/>
    <w:rsid w:val="00982701"/>
    <w:rsid w:val="00A02389"/>
    <w:rsid w:val="00A1085B"/>
    <w:rsid w:val="00A45177"/>
    <w:rsid w:val="00AA1AB4"/>
    <w:rsid w:val="00AB099D"/>
    <w:rsid w:val="00AC4301"/>
    <w:rsid w:val="00B04DEA"/>
    <w:rsid w:val="00B10B45"/>
    <w:rsid w:val="00B230FB"/>
    <w:rsid w:val="00B27FED"/>
    <w:rsid w:val="00B864D0"/>
    <w:rsid w:val="00B90BA9"/>
    <w:rsid w:val="00BA0F89"/>
    <w:rsid w:val="00C52362"/>
    <w:rsid w:val="00C729F8"/>
    <w:rsid w:val="00CD6D93"/>
    <w:rsid w:val="00CF6F32"/>
    <w:rsid w:val="00D073ED"/>
    <w:rsid w:val="00D11821"/>
    <w:rsid w:val="00D9348E"/>
    <w:rsid w:val="00DB288C"/>
    <w:rsid w:val="00DF1534"/>
    <w:rsid w:val="00DF790C"/>
    <w:rsid w:val="00E07646"/>
    <w:rsid w:val="00E149A9"/>
    <w:rsid w:val="00E31AE3"/>
    <w:rsid w:val="00EA6FDB"/>
    <w:rsid w:val="00ED7130"/>
    <w:rsid w:val="00EE3D51"/>
    <w:rsid w:val="00EE4FED"/>
    <w:rsid w:val="00F2059A"/>
    <w:rsid w:val="00FB3DBC"/>
    <w:rsid w:val="00FC6731"/>
    <w:rsid w:val="00FD0A7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2E312BFF"/>
  <w15:chartTrackingRefBased/>
  <w15:docId w15:val="{6AF1B243-3E47-4383-B642-8F7E06273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CA" w:eastAsia="en-CA"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1628"/>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urse-name">
    <w:name w:val="course-name"/>
    <w:rsid w:val="00EE4FED"/>
  </w:style>
  <w:style w:type="character" w:styleId="Hyperlink">
    <w:name w:val="Hyperlink"/>
    <w:rsid w:val="007031E0"/>
    <w:rPr>
      <w:color w:val="0000FF"/>
      <w:u w:val="single"/>
    </w:rPr>
  </w:style>
  <w:style w:type="paragraph" w:customStyle="1" w:styleId="Standard">
    <w:name w:val="Standard"/>
    <w:rsid w:val="00315F1A"/>
    <w:pPr>
      <w:suppressAutoHyphens/>
      <w:autoSpaceDN w:val="0"/>
      <w:textAlignment w:val="baseline"/>
    </w:pPr>
    <w:rPr>
      <w:rFonts w:cs="Arial Unicode MS"/>
      <w:b/>
      <w:kern w:val="3"/>
      <w:sz w:val="24"/>
      <w:szCs w:val="24"/>
    </w:rPr>
  </w:style>
  <w:style w:type="character" w:styleId="CommentReference">
    <w:name w:val="annotation reference"/>
    <w:semiHidden/>
    <w:rsid w:val="001C42A7"/>
    <w:rPr>
      <w:rFonts w:cs="Times New Roman"/>
      <w:sz w:val="16"/>
      <w:szCs w:val="16"/>
    </w:rPr>
  </w:style>
  <w:style w:type="paragraph" w:styleId="CommentText">
    <w:name w:val="annotation text"/>
    <w:basedOn w:val="Normal"/>
    <w:semiHidden/>
    <w:rsid w:val="001C42A7"/>
    <w:rPr>
      <w:sz w:val="20"/>
      <w:szCs w:val="20"/>
    </w:rPr>
  </w:style>
  <w:style w:type="paragraph" w:styleId="CommentSubject">
    <w:name w:val="annotation subject"/>
    <w:basedOn w:val="CommentText"/>
    <w:next w:val="CommentText"/>
    <w:semiHidden/>
    <w:rsid w:val="001C42A7"/>
    <w:rPr>
      <w:b/>
      <w:bCs/>
    </w:rPr>
  </w:style>
  <w:style w:type="paragraph" w:styleId="BalloonText">
    <w:name w:val="Balloon Text"/>
    <w:basedOn w:val="Normal"/>
    <w:semiHidden/>
    <w:rsid w:val="001C42A7"/>
    <w:rPr>
      <w:rFonts w:ascii="Tahoma" w:hAnsi="Tahoma" w:cs="Tahoma"/>
      <w:sz w:val="16"/>
      <w:szCs w:val="16"/>
    </w:rPr>
  </w:style>
  <w:style w:type="paragraph" w:styleId="ListParagraph">
    <w:name w:val="List Paragraph"/>
    <w:basedOn w:val="Normal"/>
    <w:uiPriority w:val="34"/>
    <w:qFormat/>
    <w:rsid w:val="000638A3"/>
    <w:pPr>
      <w:ind w:left="720"/>
      <w:contextualSpacing/>
    </w:pPr>
  </w:style>
  <w:style w:type="table" w:styleId="TableGrid">
    <w:name w:val="Table Grid"/>
    <w:basedOn w:val="TableNormal"/>
    <w:locked/>
    <w:rsid w:val="000638A3"/>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wo.ca/univsec/pdf/academic_policies/appeals/scholastic_discipline_undergrad.pdf" TargetMode="External"/><Relationship Id="rId13" Type="http://schemas.openxmlformats.org/officeDocument/2006/relationships/hyperlink" Target="http://westernusc.ca/services/" TargetMode="External"/><Relationship Id="rId3" Type="http://schemas.openxmlformats.org/officeDocument/2006/relationships/settings" Target="settings.xml"/><Relationship Id="rId7" Type="http://schemas.openxmlformats.org/officeDocument/2006/relationships/hyperlink" Target="http://www.turnitin.com" TargetMode="External"/><Relationship Id="rId12" Type="http://schemas.openxmlformats.org/officeDocument/2006/relationships/hyperlink" Target="http://www.eng.uwo.ca/undergraduat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uwo.ca/univsec/pdf/academic_policies/appeals/accommodation_religious.pdf" TargetMode="External"/><Relationship Id="rId11" Type="http://schemas.openxmlformats.org/officeDocument/2006/relationships/hyperlink" Target="http://www.sdc.uwo.ca/" TargetMode="External"/><Relationship Id="rId5" Type="http://schemas.openxmlformats.org/officeDocument/2006/relationships/hyperlink" Target="http://www.uwo.ca/univsec/pdf/academic_policies/appeals/accommodation_medical.pdf" TargetMode="External"/><Relationship Id="rId15" Type="http://schemas.openxmlformats.org/officeDocument/2006/relationships/fontTable" Target="fontTable.xml"/><Relationship Id="rId10" Type="http://schemas.openxmlformats.org/officeDocument/2006/relationships/hyperlink" Target="http://www.registrar.uwo.ca/" TargetMode="External"/><Relationship Id="rId4" Type="http://schemas.openxmlformats.org/officeDocument/2006/relationships/webSettings" Target="webSettings.xml"/><Relationship Id="rId9" Type="http://schemas.openxmlformats.org/officeDocument/2006/relationships/hyperlink" Target="https://owl.uwo.ca/portal/" TargetMode="External"/><Relationship Id="rId14" Type="http://schemas.openxmlformats.org/officeDocument/2006/relationships/hyperlink" Target="http://www.health.uwo.ca/mental_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1212</Words>
  <Characters>7671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Western University</vt:lpstr>
    </vt:vector>
  </TitlesOfParts>
  <Company/>
  <LinksUpToDate>false</LinksUpToDate>
  <CharactersWithSpaces>8866</CharactersWithSpaces>
  <SharedDoc>false</SharedDoc>
  <HLinks>
    <vt:vector size="60" baseType="variant">
      <vt:variant>
        <vt:i4>1835111</vt:i4>
      </vt:variant>
      <vt:variant>
        <vt:i4>27</vt:i4>
      </vt:variant>
      <vt:variant>
        <vt:i4>0</vt:i4>
      </vt:variant>
      <vt:variant>
        <vt:i4>5</vt:i4>
      </vt:variant>
      <vt:variant>
        <vt:lpwstr>http://www.health.uwo.ca/mental_health/</vt:lpwstr>
      </vt:variant>
      <vt:variant>
        <vt:lpwstr/>
      </vt:variant>
      <vt:variant>
        <vt:i4>3801139</vt:i4>
      </vt:variant>
      <vt:variant>
        <vt:i4>24</vt:i4>
      </vt:variant>
      <vt:variant>
        <vt:i4>0</vt:i4>
      </vt:variant>
      <vt:variant>
        <vt:i4>5</vt:i4>
      </vt:variant>
      <vt:variant>
        <vt:lpwstr>http://westernusc.ca/services/</vt:lpwstr>
      </vt:variant>
      <vt:variant>
        <vt:lpwstr/>
      </vt:variant>
      <vt:variant>
        <vt:i4>6029401</vt:i4>
      </vt:variant>
      <vt:variant>
        <vt:i4>21</vt:i4>
      </vt:variant>
      <vt:variant>
        <vt:i4>0</vt:i4>
      </vt:variant>
      <vt:variant>
        <vt:i4>5</vt:i4>
      </vt:variant>
      <vt:variant>
        <vt:lpwstr>http://www.eng.uwo.ca/undergraduate/</vt:lpwstr>
      </vt:variant>
      <vt:variant>
        <vt:lpwstr/>
      </vt:variant>
      <vt:variant>
        <vt:i4>7143458</vt:i4>
      </vt:variant>
      <vt:variant>
        <vt:i4>18</vt:i4>
      </vt:variant>
      <vt:variant>
        <vt:i4>0</vt:i4>
      </vt:variant>
      <vt:variant>
        <vt:i4>5</vt:i4>
      </vt:variant>
      <vt:variant>
        <vt:lpwstr>http://www.sdc.uwo.ca/</vt:lpwstr>
      </vt:variant>
      <vt:variant>
        <vt:lpwstr/>
      </vt:variant>
      <vt:variant>
        <vt:i4>1769567</vt:i4>
      </vt:variant>
      <vt:variant>
        <vt:i4>15</vt:i4>
      </vt:variant>
      <vt:variant>
        <vt:i4>0</vt:i4>
      </vt:variant>
      <vt:variant>
        <vt:i4>5</vt:i4>
      </vt:variant>
      <vt:variant>
        <vt:lpwstr>http://www.registrar.uwo.ca/</vt:lpwstr>
      </vt:variant>
      <vt:variant>
        <vt:lpwstr/>
      </vt:variant>
      <vt:variant>
        <vt:i4>3932258</vt:i4>
      </vt:variant>
      <vt:variant>
        <vt:i4>12</vt:i4>
      </vt:variant>
      <vt:variant>
        <vt:i4>0</vt:i4>
      </vt:variant>
      <vt:variant>
        <vt:i4>5</vt:i4>
      </vt:variant>
      <vt:variant>
        <vt:lpwstr>https://owl.uwo.ca/portal/</vt:lpwstr>
      </vt:variant>
      <vt:variant>
        <vt:lpwstr/>
      </vt:variant>
      <vt:variant>
        <vt:i4>1048703</vt:i4>
      </vt:variant>
      <vt:variant>
        <vt:i4>9</vt:i4>
      </vt:variant>
      <vt:variant>
        <vt:i4>0</vt:i4>
      </vt:variant>
      <vt:variant>
        <vt:i4>5</vt:i4>
      </vt:variant>
      <vt:variant>
        <vt:lpwstr>http://www.uwo.ca/univsec/pdf/academic_policies/appeals/scholastic_discipline_undergrad.pdf</vt:lpwstr>
      </vt:variant>
      <vt:variant>
        <vt:lpwstr/>
      </vt:variant>
      <vt:variant>
        <vt:i4>4391007</vt:i4>
      </vt:variant>
      <vt:variant>
        <vt:i4>6</vt:i4>
      </vt:variant>
      <vt:variant>
        <vt:i4>0</vt:i4>
      </vt:variant>
      <vt:variant>
        <vt:i4>5</vt:i4>
      </vt:variant>
      <vt:variant>
        <vt:lpwstr>http://www.turnitin.com/</vt:lpwstr>
      </vt:variant>
      <vt:variant>
        <vt:lpwstr/>
      </vt:variant>
      <vt:variant>
        <vt:i4>1376333</vt:i4>
      </vt:variant>
      <vt:variant>
        <vt:i4>3</vt:i4>
      </vt:variant>
      <vt:variant>
        <vt:i4>0</vt:i4>
      </vt:variant>
      <vt:variant>
        <vt:i4>5</vt:i4>
      </vt:variant>
      <vt:variant>
        <vt:lpwstr>http://www.uwo.ca/univsec/pdf/academic_policies/appeals/accommodation_religious.pdf</vt:lpwstr>
      </vt:variant>
      <vt:variant>
        <vt:lpwstr/>
      </vt:variant>
      <vt:variant>
        <vt:i4>6815790</vt:i4>
      </vt:variant>
      <vt:variant>
        <vt:i4>0</vt:i4>
      </vt:variant>
      <vt:variant>
        <vt:i4>0</vt:i4>
      </vt:variant>
      <vt:variant>
        <vt:i4>5</vt:i4>
      </vt:variant>
      <vt:variant>
        <vt:lpwstr>http://www.uwo.ca/univsec/pdf/academic_policies/appeals/accommodation_medical.pdf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Western University</dc:title>
  <dc:subject/>
  <dc:creator>AK Ouda</dc:creator>
  <cp:keywords/>
  <cp:lastModifiedBy>Shaimaa Ali</cp:lastModifiedBy>
  <cp:revision>2</cp:revision>
  <dcterms:created xsi:type="dcterms:W3CDTF">2022-11-08T18:32:00Z</dcterms:created>
  <dcterms:modified xsi:type="dcterms:W3CDTF">2022-11-08T18:32:00Z</dcterms:modified>
</cp:coreProperties>
</file>