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5" w:color="2D4858"/>
        </w:pBdr>
        <w:widowControl w:val="1"/>
      </w:pPr>
      <w:r>
        <w:rPr>
          <w:rFonts w:ascii="Aptos Display" w:hAnsi="Aptos Display"/>
          <w:b/>
          <w:color w:val="2D4858"/>
          <w:sz w:val="44"/>
        </w:rPr>
        <w:t>Theme 4 - Where Should a Small Marketing Agency Use AI First?</w:t>
      </w:r>
    </w:p>
    <w:p>
      <w:pPr>
        <w:widowControl w:val="1"/>
      </w:pPr>
      <w:r>
        <w:rPr>
          <w:rFonts w:ascii="Aptos" w:hAnsi="Aptos"/>
          <w:i/>
          <w:color w:val="5F6B72"/>
          <w:sz w:val="22"/>
        </w:rPr>
        <w:t>A practical chapter for selecting and testing one low-risk AI use case</w:t>
      </w:r>
    </w:p>
    <w:p>
      <w:pPr>
        <w:pStyle w:val="Metadata"/>
        <w:widowControl w:val="1"/>
      </w:pPr>
      <w:r>
        <w:t>Team 2  |  HAN AIBS x AEL 2026  |  Version 1.1 Final (24 October 2026)  |  SME: Reklaame, Arnhem (with written consent)</w:t>
      </w:r>
    </w:p>
    <w:p>
      <w:pPr>
        <w:pStyle w:val="Metadata"/>
        <w:widowControl w:val="1"/>
      </w:pPr>
      <w:r>
        <w:t>Sources last appraised: 23 October 2026</w:t>
      </w:r>
    </w:p>
    <w:p>
      <w:pPr>
        <w:spacing w:before="140" w:after="200"/>
        <w:ind w:left="173" w:right="58"/>
        <w:pBdr>
          <w:left w:val="single" w:sz="20" w:space="8" w:color="2D4858"/>
        </w:pBdr>
        <w:widowControl w:val="1"/>
      </w:pPr>
      <w:r>
        <w:rPr>
          <w:rFonts w:ascii="Aptos" w:hAnsi="Aptos"/>
          <w:b/>
          <w:color w:val="2D4858"/>
          <w:sz w:val="21"/>
        </w:rPr>
        <w:t xml:space="preserve">Core recommendation. </w:t>
      </w:r>
      <w:r>
        <w:rPr>
          <w:rFonts w:ascii="Aptos" w:hAnsi="Aptos"/>
          <w:color w:val="222222"/>
          <w:sz w:val="21"/>
        </w:rPr>
        <w:t>Use AI to remove avoidable execution work - not responsibility. Start with one repeatable, checkable workflow and scale only after the agency measures net value, verifies the output and protects the information.</w:t>
      </w:r>
    </w:p>
    <w:p>
      <w:pPr>
        <w:widowControl w:val="1"/>
      </w:pPr>
      <w:r>
        <w:rPr>
          <w:rFonts w:ascii="Aptos" w:hAnsi="Aptos"/>
          <w:b/>
          <w:color w:val="5F6B72"/>
          <w:sz w:val="17"/>
        </w:rPr>
        <w:t xml:space="preserve">Educational guidance: </w:t>
      </w:r>
      <w:r>
        <w:rPr>
          <w:rFonts w:ascii="Aptos" w:hAnsi="Aptos"/>
          <w:i/>
          <w:color w:val="5F6B72"/>
          <w:sz w:val="17"/>
        </w:rPr>
        <w:t>This chapter offers a practical starting point, not legal advice, consultancy or a guarantee of business results. The final decision remains with the company.</w:t>
      </w:r>
    </w:p>
    <w:p>
      <w:pPr>
        <w:pStyle w:val="Heading1"/>
        <w:pBdr>
          <w:bottom w:val="single" w:sz="4" w:space="2" w:color="D4D8DB"/>
        </w:pBdr>
        <w:widowControl w:val="1"/>
      </w:pPr>
      <w:r>
        <w:t>Decision at a glance</w:t>
      </w:r>
    </w:p>
    <w:tbl>
      <w:tblPr>
        <w:tblW w:type="auto" w:w="0"/>
        <w:jc w:val="center"/>
        <w:tblLayout w:type="fixed"/>
        <w:tblLook w:firstColumn="1" w:firstRow="1" w:lastColumn="0" w:lastRow="0" w:noHBand="0" w:noVBand="1" w:val="04A0"/>
      </w:tblPr>
      <w:tblGrid>
        <w:gridCol w:w="2232"/>
        <w:gridCol w:w="7992"/>
      </w:tblGrid>
      <w:tr>
        <w:trPr>
          <w:cantSplit/>
        </w:trPr>
        <w:tc>
          <w:tcPr>
            <w:tcW w:type="dxa" w:w="2232"/>
            <w:tcMar>
              <w:top w:w="70" w:type="dxa"/>
              <w:start w:w="90" w:type="dxa"/>
              <w:bottom w:w="70" w:type="dxa"/>
              <w:end w:w="90" w:type="dxa"/>
            </w:tcMar>
            <w:tcBorders>
              <w:top w:val="single" w:sz="4" w:color="D4D8DB"/>
              <w:left w:val="nil"/>
              <w:bottom w:val="single" w:sz="4" w:color="D4D8DB"/>
              <w:right w:val="nil"/>
            </w:tcBorders>
          </w:tcPr>
          <w:p>
            <w:r>
              <w:rPr>
                <w:rFonts w:ascii="Aptos" w:hAnsi="Aptos"/>
                <w:b/>
                <w:color w:val="2D4858"/>
                <w:sz w:val="18"/>
              </w:rPr>
              <w:t>Best first pilot</w:t>
            </w:r>
          </w:p>
        </w:tc>
        <w:tc>
          <w:tcPr>
            <w:tcW w:type="dxa" w:w="7992"/>
            <w:tcMar>
              <w:top w:w="70" w:type="dxa"/>
              <w:start w:w="90" w:type="dxa"/>
              <w:bottom w:w="70" w:type="dxa"/>
              <w:end w:w="90" w:type="dxa"/>
            </w:tcMar>
            <w:tcBorders>
              <w:top w:val="single" w:sz="4" w:color="D4D8DB"/>
              <w:left w:val="nil"/>
              <w:bottom w:val="single" w:sz="4" w:color="D4D8DB"/>
              <w:right w:val="nil"/>
            </w:tcBorders>
          </w:tcPr>
          <w:p>
            <w:r>
              <w:rPr>
                <w:rFonts w:ascii="Aptos" w:hAnsi="Aptos"/>
                <w:color w:val="222222"/>
                <w:sz w:val="18"/>
              </w:rPr>
              <w:t>AI-assisted commercial proposal preparation</w:t>
            </w:r>
          </w:p>
        </w:tc>
      </w:tr>
      <w:tr>
        <w:trPr>
          <w:cantSplit/>
        </w:trPr>
        <w:tc>
          <w:tcPr>
            <w:tcW w:type="dxa" w:w="2232"/>
            <w:tcMar>
              <w:top w:w="70" w:type="dxa"/>
              <w:start w:w="90" w:type="dxa"/>
              <w:bottom w:w="70" w:type="dxa"/>
              <w:end w:w="90" w:type="dxa"/>
            </w:tcMar>
            <w:tcBorders>
              <w:top w:val="single" w:sz="4" w:color="D4D8DB"/>
              <w:left w:val="nil"/>
              <w:bottom w:val="single" w:sz="4" w:color="D4D8DB"/>
              <w:right w:val="nil"/>
            </w:tcBorders>
            <w:shd w:fill="F3F4F5"/>
          </w:tcPr>
          <w:p>
            <w:r>
              <w:rPr>
                <w:rFonts w:ascii="Aptos" w:hAnsi="Aptos"/>
                <w:b/>
                <w:color w:val="2D4858"/>
                <w:sz w:val="18"/>
              </w:rPr>
              <w:t>Keep human</w:t>
            </w:r>
          </w:p>
        </w:tc>
        <w:tc>
          <w:tcPr>
            <w:tcW w:type="dxa" w:w="7992"/>
            <w:tcMar>
              <w:top w:w="70" w:type="dxa"/>
              <w:start w:w="90" w:type="dxa"/>
              <w:bottom w:w="70" w:type="dxa"/>
              <w:end w:w="90" w:type="dxa"/>
            </w:tcMar>
            <w:tcBorders>
              <w:top w:val="single" w:sz="4" w:color="D4D8DB"/>
              <w:left w:val="nil"/>
              <w:bottom w:val="single" w:sz="4" w:color="D4D8DB"/>
              <w:right w:val="nil"/>
            </w:tcBorders>
            <w:shd w:fill="F3F4F5"/>
          </w:tcPr>
          <w:p>
            <w:r>
              <w:rPr>
                <w:rFonts w:ascii="Aptos" w:hAnsi="Aptos"/>
                <w:color w:val="222222"/>
                <w:sz w:val="18"/>
              </w:rPr>
              <w:t>Ideation, client interaction, factual checking and final approval</w:t>
            </w:r>
          </w:p>
        </w:tc>
      </w:tr>
      <w:tr>
        <w:trPr>
          <w:cantSplit/>
        </w:trPr>
        <w:tc>
          <w:tcPr>
            <w:tcW w:type="dxa" w:w="2232"/>
            <w:tcMar>
              <w:top w:w="70" w:type="dxa"/>
              <w:start w:w="90" w:type="dxa"/>
              <w:bottom w:w="70" w:type="dxa"/>
              <w:end w:w="90" w:type="dxa"/>
            </w:tcMar>
            <w:tcBorders>
              <w:top w:val="single" w:sz="4" w:color="D4D8DB"/>
              <w:left w:val="nil"/>
              <w:bottom w:val="single" w:sz="4" w:color="D4D8DB"/>
              <w:right w:val="nil"/>
            </w:tcBorders>
          </w:tcPr>
          <w:p>
            <w:r>
              <w:rPr>
                <w:rFonts w:ascii="Aptos" w:hAnsi="Aptos"/>
                <w:b/>
                <w:color w:val="2D4858"/>
                <w:sz w:val="18"/>
              </w:rPr>
              <w:t>Measure</w:t>
            </w:r>
          </w:p>
        </w:tc>
        <w:tc>
          <w:tcPr>
            <w:tcW w:type="dxa" w:w="7992"/>
            <w:tcMar>
              <w:top w:w="70" w:type="dxa"/>
              <w:start w:w="90" w:type="dxa"/>
              <w:bottom w:w="70" w:type="dxa"/>
              <w:end w:w="90" w:type="dxa"/>
            </w:tcMar>
            <w:tcBorders>
              <w:top w:val="single" w:sz="4" w:color="D4D8DB"/>
              <w:left w:val="nil"/>
              <w:bottom w:val="single" w:sz="4" w:color="D4D8DB"/>
              <w:right w:val="nil"/>
            </w:tcBorders>
          </w:tcPr>
          <w:p>
            <w:r>
              <w:rPr>
                <w:rFonts w:ascii="Aptos" w:hAnsi="Aptos"/>
                <w:color w:val="222222"/>
                <w:sz w:val="18"/>
              </w:rPr>
              <w:t>Total time, corrections, factual and margin accuracy, cost and staff experience</w:t>
            </w:r>
          </w:p>
        </w:tc>
      </w:tr>
      <w:tr>
        <w:trPr>
          <w:cantSplit/>
        </w:trPr>
        <w:tc>
          <w:tcPr>
            <w:tcW w:type="dxa" w:w="2232"/>
            <w:tcMar>
              <w:top w:w="70" w:type="dxa"/>
              <w:start w:w="90" w:type="dxa"/>
              <w:bottom w:w="70" w:type="dxa"/>
              <w:end w:w="90" w:type="dxa"/>
            </w:tcMar>
            <w:tcBorders>
              <w:top w:val="single" w:sz="4" w:color="D4D8DB"/>
              <w:left w:val="nil"/>
              <w:bottom w:val="single" w:sz="4" w:color="D4D8DB"/>
              <w:right w:val="nil"/>
            </w:tcBorders>
            <w:shd w:fill="F3F4F5"/>
          </w:tcPr>
          <w:p>
            <w:r>
              <w:rPr>
                <w:rFonts w:ascii="Aptos" w:hAnsi="Aptos"/>
                <w:b/>
                <w:color w:val="2D4858"/>
                <w:sz w:val="18"/>
              </w:rPr>
              <w:t>Continue only if</w:t>
            </w:r>
          </w:p>
        </w:tc>
        <w:tc>
          <w:tcPr>
            <w:tcW w:type="dxa" w:w="7992"/>
            <w:tcMar>
              <w:top w:w="70" w:type="dxa"/>
              <w:start w:w="90" w:type="dxa"/>
              <w:bottom w:w="70" w:type="dxa"/>
              <w:end w:w="90" w:type="dxa"/>
            </w:tcMar>
            <w:tcBorders>
              <w:top w:val="single" w:sz="4" w:color="D4D8DB"/>
              <w:left w:val="nil"/>
              <w:bottom w:val="single" w:sz="4" w:color="D4D8DB"/>
              <w:right w:val="nil"/>
            </w:tcBorders>
            <w:shd w:fill="F3F4F5"/>
          </w:tcPr>
          <w:p>
            <w:r>
              <w:rPr>
                <w:rFonts w:ascii="Aptos" w:hAnsi="Aptos"/>
                <w:color w:val="222222"/>
                <w:sz w:val="18"/>
              </w:rPr>
              <w:t>The full workflow saves time, no material errors remain and data rules are followed</w:t>
            </w:r>
          </w:p>
        </w:tc>
      </w:tr>
    </w:tbl>
    <w:p>
      <w:pPr>
        <w:pStyle w:val="Heading1"/>
        <w:pBdr>
          <w:bottom w:val="single" w:sz="4" w:space="2" w:color="D4D8DB"/>
        </w:pBdr>
        <w:widowControl w:val="1"/>
      </w:pPr>
      <w:r>
        <w:t>1. The question, for this kind of SME</w:t>
      </w:r>
    </w:p>
    <w:p>
      <w:pPr>
        <w:widowControl w:val="1"/>
      </w:pPr>
      <w:r>
        <w:rPr>
          <w:rFonts w:ascii="Aptos" w:hAnsi="Aptos"/>
          <w:b/>
          <w:color w:val="222222"/>
          <w:sz w:val="22"/>
        </w:rPr>
        <w:t>Where should a 10-50-person marketing agency use AI first if it wants measurable value without weakening creative quality, privacy, employee learning or client trust?</w:t>
      </w:r>
    </w:p>
    <w:p>
      <w:pPr>
        <w:widowControl w:val="1"/>
      </w:pPr>
      <w:r>
        <w:rPr>
          <w:rFonts w:ascii="Aptos" w:hAnsi="Aptos"/>
          <w:i w:val="0"/>
          <w:color w:val="222222"/>
          <w:sz w:val="20"/>
        </w:rPr>
        <w:t>Our field interview showed that Reklaame already uses AI in several parts of its work. The founder described using Claude to support proposal preparation, AI to speed up design execution, and tools such as ChatGPT, Higgsfield and Microsoft Copilot for different tasks. At the same time, Reklaame does not want to delegate ideation, client interaction or final professional judgement to AI. [1]</w:t>
      </w:r>
    </w:p>
    <w:p>
      <w:pPr>
        <w:widowControl w:val="1"/>
      </w:pPr>
      <w:r>
        <w:rPr>
          <w:rFonts w:ascii="Aptos" w:hAnsi="Aptos"/>
          <w:i w:val="0"/>
          <w:color w:val="222222"/>
          <w:sz w:val="20"/>
        </w:rPr>
        <w:t>The main opportunity is therefore not to replace the creative team. It is to reduce avoidable execution and back-office work while keeping people responsible for the brief, creative direction, factual accuracy and client relationship.</w:t>
      </w:r>
    </w:p>
    <w:p>
      <w:pPr>
        <w:widowControl w:val="1"/>
      </w:pPr>
      <w:r>
        <w:rPr>
          <w:rFonts w:ascii="Aptos" w:hAnsi="Aptos"/>
          <w:i w:val="0"/>
          <w:color w:val="222222"/>
          <w:sz w:val="20"/>
        </w:rPr>
        <w:t>A suitable first use case should:</w:t>
      </w:r>
    </w:p>
    <w:p>
      <w:pPr>
        <w:pStyle w:val="ListBullet"/>
        <w:spacing w:after="40"/>
        <w:ind w:left="360" w:hanging="216"/>
        <w:widowControl w:val="1"/>
      </w:pPr>
      <w:r>
        <w:rPr>
          <w:rFonts w:ascii="Aptos" w:hAnsi="Aptos"/>
          <w:color w:val="222222"/>
          <w:sz w:val="20"/>
        </w:rPr>
        <w:t>be repeated often;</w:t>
      </w:r>
    </w:p>
    <w:p>
      <w:pPr>
        <w:pStyle w:val="ListBullet"/>
        <w:spacing w:after="40"/>
        <w:ind w:left="360" w:hanging="216"/>
        <w:widowControl w:val="1"/>
      </w:pPr>
      <w:r>
        <w:rPr>
          <w:rFonts w:ascii="Aptos" w:hAnsi="Aptos"/>
          <w:color w:val="222222"/>
          <w:sz w:val="20"/>
        </w:rPr>
        <w:t>have structured inputs and a clear output;</w:t>
      </w:r>
    </w:p>
    <w:p>
      <w:pPr>
        <w:pStyle w:val="ListBullet"/>
        <w:spacing w:after="40"/>
        <w:ind w:left="360" w:hanging="216"/>
        <w:widowControl w:val="1"/>
      </w:pPr>
      <w:r>
        <w:rPr>
          <w:rFonts w:ascii="Aptos" w:hAnsi="Aptos"/>
          <w:color w:val="222222"/>
          <w:sz w:val="20"/>
        </w:rPr>
        <w:t>be checkable by a knowledgeable employee;</w:t>
      </w:r>
    </w:p>
    <w:p>
      <w:pPr>
        <w:pStyle w:val="ListBullet"/>
        <w:spacing w:after="40"/>
        <w:ind w:left="360" w:hanging="216"/>
        <w:widowControl w:val="1"/>
      </w:pPr>
      <w:r>
        <w:rPr>
          <w:rFonts w:ascii="Aptos" w:hAnsi="Aptos"/>
          <w:color w:val="222222"/>
          <w:sz w:val="20"/>
        </w:rPr>
        <w:t>avoid unnecessary personal or confidential information;</w:t>
      </w:r>
    </w:p>
    <w:p>
      <w:pPr>
        <w:pStyle w:val="ListBullet"/>
        <w:spacing w:after="40"/>
        <w:ind w:left="360" w:hanging="216"/>
        <w:widowControl w:val="1"/>
      </w:pPr>
      <w:r>
        <w:rPr>
          <w:rFonts w:ascii="Aptos" w:hAnsi="Aptos"/>
          <w:color w:val="222222"/>
          <w:sz w:val="20"/>
        </w:rPr>
        <w:t>retain a manual fallback if the tool becomes unavailable.</w:t>
      </w:r>
    </w:p>
    <w:p>
      <w:pPr>
        <w:ind w:left="173"/>
        <w:pBdr>
          <w:left w:val="single" w:sz="12" w:space="7" w:color="D4D8DB"/>
        </w:pBdr>
        <w:widowControl w:val="1"/>
      </w:pPr>
      <w:r>
        <w:rPr>
          <w:rFonts w:ascii="Aptos" w:hAnsi="Aptos"/>
          <w:b/>
          <w:color w:val="2D4858"/>
          <w:sz w:val="19"/>
        </w:rPr>
        <w:t xml:space="preserve">Field-research finding. </w:t>
      </w:r>
      <w:r>
        <w:rPr>
          <w:rFonts w:ascii="Aptos" w:hAnsi="Aptos"/>
          <w:color w:val="222222"/>
          <w:sz w:val="19"/>
        </w:rPr>
        <w:t>For Reklaame, AI-assisted commercial proposal preparation is a realistic first pilot because the company already uses AI in that workflow. However, the interview did not provide a measured baseline for time saved, error rates or financial return. Those results still need to be tested.</w:t>
      </w:r>
    </w:p>
    <w:p>
      <w:pPr>
        <w:pStyle w:val="Heading1"/>
        <w:pBdr>
          <w:bottom w:val="single" w:sz="4" w:space="2" w:color="D4D8DB"/>
        </w:pBdr>
        <w:widowControl w:val="1"/>
      </w:pPr>
      <w:r>
        <w:t>2. The translation: what the evidence means for an agency owner</w:t>
      </w:r>
    </w:p>
    <w:p>
      <w:pPr>
        <w:pStyle w:val="Heading2"/>
        <w:widowControl w:val="1"/>
      </w:pPr>
      <w:r>
        <w:t>Start with execution, not responsibility</w:t>
      </w:r>
    </w:p>
    <w:p>
      <w:pPr>
        <w:widowControl w:val="1"/>
      </w:pPr>
      <w:r>
        <w:rPr>
          <w:rFonts w:ascii="Aptos" w:hAnsi="Aptos"/>
          <w:i w:val="0"/>
          <w:color w:val="222222"/>
          <w:sz w:val="20"/>
        </w:rPr>
        <w:t>AI is most useful where it can prepare a first version, search approved information or create alternatives that a person can review. Reklaame's experience supports this distinction: execution can be accelerated, but ideation and final judgement remain human responsibilities. [1]</w:t>
      </w:r>
    </w:p>
    <w:p>
      <w:pPr>
        <w:pStyle w:val="Heading2"/>
        <w:widowControl w:val="1"/>
      </w:pPr>
      <w:r>
        <w:t>Measure the complete workflow</w:t>
      </w:r>
    </w:p>
    <w:p>
      <w:pPr>
        <w:widowControl w:val="1"/>
      </w:pPr>
      <w:r>
        <w:rPr>
          <w:rFonts w:ascii="Aptos" w:hAnsi="Aptos"/>
          <w:i w:val="0"/>
          <w:color w:val="222222"/>
          <w:sz w:val="20"/>
        </w:rPr>
        <w:t>Generation speed alone is not business value. Measure preparation time, correction time, factual and pricing errors, revisions, final quality, employee experience and the cost of the tool and review process. Experimental research found productivity benefits from generative AI in professional writing, but those results cannot be assumed to apply directly to Dutch marketing agencies or every proposal workflow. [2]</w:t>
      </w:r>
    </w:p>
    <w:p>
      <w:pPr>
        <w:pStyle w:val="Heading2"/>
        <w:widowControl w:val="1"/>
      </w:pPr>
      <w:r>
        <w:t>Keep the use case narrow</w:t>
      </w:r>
    </w:p>
    <w:p>
      <w:pPr>
        <w:widowControl w:val="1"/>
      </w:pPr>
      <w:r>
        <w:rPr>
          <w:rFonts w:ascii="Aptos" w:hAnsi="Aptos"/>
          <w:i w:val="0"/>
          <w:color w:val="222222"/>
          <w:sz w:val="20"/>
        </w:rPr>
        <w:t>The first pilot should answer one clear decision: does AI-assisted proposal preparation reduce total work while maintaining correct information, acceptable margins and human accountability? A narrow pilot is easier to evaluate than introducing several tools across the whole agency at once.</w:t>
      </w:r>
    </w:p>
    <w:p>
      <w:pPr>
        <w:pStyle w:val="Heading2"/>
        <w:widowControl w:val="1"/>
      </w:pPr>
      <w:r>
        <w:t>Treat company knowledge as an input that needs rules</w:t>
      </w:r>
    </w:p>
    <w:p>
      <w:pPr>
        <w:widowControl w:val="1"/>
      </w:pPr>
      <w:r>
        <w:rPr>
          <w:rFonts w:ascii="Aptos" w:hAnsi="Aptos"/>
          <w:i w:val="0"/>
          <w:color w:val="222222"/>
          <w:sz w:val="20"/>
        </w:rPr>
        <w:t>The interview showed that Reklaame uses business information in AI-assisted work. [1] That does not mean all business information is automatically safe to share. Define which data is permitted, which provider and account may be used, and which personal or confidential information must remain outside the tool. [3]</w:t>
      </w:r>
    </w:p>
    <w:p>
      <w:pPr>
        <w:pStyle w:val="Heading1"/>
        <w:pBdr>
          <w:bottom w:val="single" w:sz="4" w:space="2" w:color="D4D8DB"/>
        </w:pBdr>
        <w:widowControl w:val="1"/>
      </w:pPr>
      <w:r>
        <w:t>3. Illustrative use case - AI-assisted proposal preparation through CRISP-DM</w:t>
      </w:r>
    </w:p>
    <w:p>
      <w:pPr>
        <w:widowControl w:val="1"/>
      </w:pPr>
      <w:r>
        <w:rPr>
          <w:rFonts w:ascii="Aptos" w:hAnsi="Aptos"/>
          <w:i/>
          <w:color w:val="222222"/>
          <w:sz w:val="20"/>
        </w:rPr>
        <w:t>This is a proposed controlled pilot based on a workflow Reklaame already described. It is not evidence that the workflow has already produced measured savings.</w:t>
      </w:r>
    </w:p>
    <w:tbl>
      <w:tblPr>
        <w:tblW w:type="auto" w:w="0"/>
        <w:jc w:val="center"/>
        <w:tblLayout w:type="fixed"/>
        <w:tblLook w:firstColumn="1" w:firstRow="1" w:lastColumn="0" w:lastRow="0" w:noHBand="0" w:noVBand="1" w:val="04A0"/>
      </w:tblPr>
      <w:tblGrid>
        <w:gridCol w:w="5069"/>
        <w:gridCol w:w="5069"/>
      </w:tblGrid>
      <w:tr>
        <w:trPr>
          <w:tblHeader w:val="true"/>
        </w:trPr>
        <w:tc>
          <w:tcPr>
            <w:tcW w:type="dxa" w:w="5069"/>
            <w:shd w:fill="2D4858"/>
            <w:tcMar>
              <w:top w:w="85" w:type="dxa"/>
              <w:start w:w="95" w:type="dxa"/>
              <w:bottom w:w="85" w:type="dxa"/>
              <w:end w:w="95" w:type="dxa"/>
            </w:tcMar>
            <w:tcBorders>
              <w:top w:val="single" w:sz="4" w:color="2D4858"/>
              <w:left w:val="single" w:sz="4" w:color="2D4858"/>
              <w:bottom w:val="single" w:sz="4" w:color="2D4858"/>
              <w:right w:val="single" w:sz="4" w:color="2D4858"/>
            </w:tcBorders>
          </w:tcPr>
          <w:p>
            <w:r>
              <w:rPr>
                <w:rFonts w:ascii="Aptos" w:hAnsi="Aptos"/>
                <w:b/>
                <w:color w:val="FFFFFF"/>
                <w:sz w:val="18"/>
              </w:rPr>
              <w:t>CRISP-DM phase</w:t>
            </w:r>
          </w:p>
        </w:tc>
        <w:tc>
          <w:tcPr>
            <w:tcW w:type="dxa" w:w="5069"/>
            <w:shd w:fill="2D4858"/>
            <w:tcMar>
              <w:top w:w="85" w:type="dxa"/>
              <w:start w:w="95" w:type="dxa"/>
              <w:bottom w:w="85" w:type="dxa"/>
              <w:end w:w="95" w:type="dxa"/>
            </w:tcMar>
            <w:tcBorders>
              <w:top w:val="single" w:sz="4" w:color="2D4858"/>
              <w:left w:val="single" w:sz="4" w:color="2D4858"/>
              <w:bottom w:val="single" w:sz="4" w:color="2D4858"/>
              <w:right w:val="single" w:sz="4" w:color="2D4858"/>
            </w:tcBorders>
          </w:tcPr>
          <w:p>
            <w:r>
              <w:rPr>
                <w:rFonts w:ascii="Aptos" w:hAnsi="Aptos"/>
                <w:b/>
                <w:color w:val="FFFFFF"/>
                <w:sz w:val="18"/>
              </w:rPr>
              <w:t>Application to the proposal workflow</w:t>
            </w:r>
          </w:p>
        </w:tc>
      </w:tr>
      <w:tr>
        <w:trPr>
          <w:cantSplit/>
        </w:trPr>
        <w:tc>
          <w:tcPr>
            <w:tcW w:type="dxa" w:w="5069"/>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b/>
                <w:color w:val="2D4858"/>
                <w:sz w:val="18"/>
              </w:rPr>
              <w:t>1. Business understanding</w:t>
            </w:r>
          </w:p>
        </w:tc>
        <w:tc>
          <w:tcPr>
            <w:tcW w:type="dxa" w:w="5069"/>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color w:val="222222"/>
                <w:sz w:val="18"/>
              </w:rPr>
              <w:t>Test whether AI reduces the total time needed to prepare a correct commercial proposal. A faster draft is not enough: products, prices, margins and client requirements must still be correct.</w:t>
            </w:r>
          </w:p>
        </w:tc>
      </w:tr>
      <w:tr>
        <w:trPr>
          <w:cantSplit/>
        </w:trPr>
        <w:tc>
          <w:tcPr>
            <w:tcW w:type="dxa" w:w="5069"/>
            <w:shd w:fill="F3F4F5"/>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b/>
                <w:color w:val="2D4858"/>
                <w:sz w:val="18"/>
              </w:rPr>
              <w:t>2. Data understanding</w:t>
            </w:r>
          </w:p>
        </w:tc>
        <w:tc>
          <w:tcPr>
            <w:tcW w:type="dxa" w:w="5069"/>
            <w:shd w:fill="F3F4F5"/>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color w:val="222222"/>
                <w:sz w:val="18"/>
              </w:rPr>
              <w:t>Identify the customer request, approved product information, purchasing data, pricing rules, margin requirements and previous templates. Mark personal, confidential or unnecessary fields.</w:t>
            </w:r>
          </w:p>
        </w:tc>
      </w:tr>
      <w:tr>
        <w:trPr>
          <w:cantSplit/>
        </w:trPr>
        <w:tc>
          <w:tcPr>
            <w:tcW w:type="dxa" w:w="5069"/>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b/>
                <w:color w:val="2D4858"/>
                <w:sz w:val="18"/>
              </w:rPr>
              <w:t>3. Data preparation</w:t>
            </w:r>
          </w:p>
        </w:tc>
        <w:tc>
          <w:tcPr>
            <w:tcW w:type="dxa" w:w="5069"/>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color w:val="222222"/>
                <w:sz w:val="18"/>
              </w:rPr>
              <w:t>Convert the request into a standard brief. Remove unnecessary personal data. Use only approved product and pricing information. Keep the original request and calculations available for checking.</w:t>
            </w:r>
          </w:p>
        </w:tc>
      </w:tr>
      <w:tr>
        <w:trPr>
          <w:cantSplit/>
        </w:trPr>
        <w:tc>
          <w:tcPr>
            <w:tcW w:type="dxa" w:w="5069"/>
            <w:shd w:fill="F3F4F5"/>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b/>
                <w:color w:val="2D4858"/>
                <w:sz w:val="18"/>
              </w:rPr>
              <w:t>4. Modelling</w:t>
            </w:r>
          </w:p>
        </w:tc>
        <w:tc>
          <w:tcPr>
            <w:tcW w:type="dxa" w:w="5069"/>
            <w:shd w:fill="F3F4F5"/>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color w:val="222222"/>
                <w:sz w:val="18"/>
              </w:rPr>
              <w:t>Use an approved no-code AI assistant to generate a first proposal from the structured brief. The agency applies an existing model; it does not train its own model.</w:t>
            </w:r>
          </w:p>
        </w:tc>
      </w:tr>
      <w:tr>
        <w:trPr>
          <w:cantSplit/>
        </w:trPr>
        <w:tc>
          <w:tcPr>
            <w:tcW w:type="dxa" w:w="5069"/>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b/>
                <w:color w:val="2D4858"/>
                <w:sz w:val="18"/>
              </w:rPr>
              <w:t>5. Evaluation</w:t>
            </w:r>
          </w:p>
        </w:tc>
        <w:tc>
          <w:tcPr>
            <w:tcW w:type="dxa" w:w="5069"/>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color w:val="222222"/>
                <w:sz w:val="18"/>
              </w:rPr>
              <w:t>Compare AI-assisted and manual proposals on total completion time, factual accuracy, margin accuracy, corrections, reviewer confidence and staff experience. Record every material error and all review time.</w:t>
            </w:r>
          </w:p>
        </w:tc>
      </w:tr>
      <w:tr>
        <w:trPr>
          <w:cantSplit/>
        </w:trPr>
        <w:tc>
          <w:tcPr>
            <w:tcW w:type="dxa" w:w="5069"/>
            <w:shd w:fill="F3F4F5"/>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b/>
                <w:color w:val="2D4858"/>
                <w:sz w:val="18"/>
              </w:rPr>
              <w:t>6. Deployment</w:t>
            </w:r>
          </w:p>
        </w:tc>
        <w:tc>
          <w:tcPr>
            <w:tcW w:type="dxa" w:w="5069"/>
            <w:shd w:fill="F3F4F5"/>
            <w:tcMar>
              <w:top w:w="75" w:type="dxa"/>
              <w:start w:w="95" w:type="dxa"/>
              <w:bottom w:w="75" w:type="dxa"/>
              <w:end w:w="95" w:type="dxa"/>
            </w:tcMar>
            <w:tcBorders>
              <w:top w:val="single" w:sz="3" w:color="D4D8DB"/>
              <w:left w:val="single" w:sz="3" w:color="D4D8DB"/>
              <w:bottom w:val="single" w:sz="3" w:color="D4D8DB"/>
              <w:right w:val="single" w:sz="3" w:color="D4D8DB"/>
            </w:tcBorders>
            <w:vAlign w:val="top"/>
          </w:tcPr>
          <w:p>
            <w:r>
              <w:rPr>
                <w:rFonts w:ascii="Aptos" w:hAnsi="Aptos"/>
                <w:color w:val="222222"/>
                <w:sz w:val="18"/>
              </w:rPr>
              <w:t>Use the workflow only for approved proposal types, with a named reviewer and a manual fallback. Re-evaluate after major changes to the provider, pricing rules, prompts or source systems.</w:t>
            </w:r>
          </w:p>
        </w:tc>
      </w:tr>
    </w:tbl>
    <w:p>
      <w:pPr>
        <w:pStyle w:val="Heading2"/>
        <w:widowControl w:val="1"/>
      </w:pPr>
      <w:r>
        <w:t>Proposed decision rule</w:t>
      </w:r>
    </w:p>
    <w:p>
      <w:pPr>
        <w:widowControl w:val="1"/>
      </w:pPr>
      <w:r>
        <w:rPr>
          <w:rFonts w:ascii="Aptos" w:hAnsi="Aptos"/>
          <w:i w:val="0"/>
          <w:color w:val="222222"/>
          <w:sz w:val="20"/>
        </w:rPr>
        <w:t>Continue the pilot only when:</w:t>
      </w:r>
    </w:p>
    <w:p>
      <w:pPr>
        <w:pStyle w:val="ListBullet"/>
        <w:spacing w:after="40"/>
        <w:ind w:left="360" w:hanging="216"/>
        <w:widowControl w:val="1"/>
      </w:pPr>
      <w:r>
        <w:rPr>
          <w:rFonts w:ascii="Aptos" w:hAnsi="Aptos"/>
          <w:color w:val="222222"/>
          <w:sz w:val="20"/>
        </w:rPr>
        <w:t>every proposal receives human approval;</w:t>
      </w:r>
    </w:p>
    <w:p>
      <w:pPr>
        <w:pStyle w:val="ListBullet"/>
        <w:spacing w:after="40"/>
        <w:ind w:left="360" w:hanging="216"/>
        <w:widowControl w:val="1"/>
      </w:pPr>
      <w:r>
        <w:rPr>
          <w:rFonts w:ascii="Aptos" w:hAnsi="Aptos"/>
          <w:color w:val="222222"/>
          <w:sz w:val="20"/>
        </w:rPr>
        <w:t>no material product, price or margin error remains;</w:t>
      </w:r>
    </w:p>
    <w:p>
      <w:pPr>
        <w:pStyle w:val="ListBullet"/>
        <w:spacing w:after="40"/>
        <w:ind w:left="360" w:hanging="216"/>
        <w:widowControl w:val="1"/>
      </w:pPr>
      <w:r>
        <w:rPr>
          <w:rFonts w:ascii="Aptos" w:hAnsi="Aptos"/>
          <w:color w:val="222222"/>
          <w:sz w:val="20"/>
        </w:rPr>
        <w:t>total time including review is lower than the manual baseline;</w:t>
      </w:r>
    </w:p>
    <w:p>
      <w:pPr>
        <w:pStyle w:val="ListBullet"/>
        <w:spacing w:after="40"/>
        <w:ind w:left="360" w:hanging="216"/>
        <w:widowControl w:val="1"/>
      </w:pPr>
      <w:r>
        <w:rPr>
          <w:rFonts w:ascii="Aptos" w:hAnsi="Aptos"/>
          <w:color w:val="222222"/>
          <w:sz w:val="20"/>
        </w:rPr>
        <w:t>the permitted-data rules are followed;</w:t>
      </w:r>
    </w:p>
    <w:p>
      <w:pPr>
        <w:pStyle w:val="ListBullet"/>
        <w:spacing w:after="40"/>
        <w:ind w:left="360" w:hanging="216"/>
        <w:widowControl w:val="1"/>
      </w:pPr>
      <w:r>
        <w:rPr>
          <w:rFonts w:ascii="Aptos" w:hAnsi="Aptos"/>
          <w:color w:val="222222"/>
          <w:sz w:val="20"/>
        </w:rPr>
        <w:t>staff can complete the workflow without depending on a developer.</w:t>
      </w:r>
    </w:p>
    <w:p>
      <w:pPr>
        <w:widowControl w:val="1"/>
      </w:pPr>
      <w:r>
        <w:rPr>
          <w:rFonts w:ascii="Aptos" w:hAnsi="Aptos"/>
          <w:i w:val="0"/>
          <w:color w:val="222222"/>
          <w:sz w:val="20"/>
        </w:rPr>
        <w:t>If these conditions are not met, improve the workflow or keep the manual process.</w:t>
      </w:r>
    </w:p>
    <w:p>
      <w:pPr>
        <w:pStyle w:val="Heading1"/>
        <w:pBdr>
          <w:bottom w:val="single" w:sz="4" w:space="2" w:color="D4D8DB"/>
        </w:pBdr>
        <w:widowControl w:val="1"/>
      </w:pPr>
      <w:r>
        <w:t>4. Recommended tooling - no-code first</w:t>
      </w:r>
    </w:p>
    <w:tbl>
      <w:tblPr>
        <w:tblW w:type="auto" w:w="0"/>
        <w:jc w:val="center"/>
        <w:tblLayout w:type="fixed"/>
        <w:tblLook w:firstColumn="1" w:firstRow="1" w:lastColumn="0" w:lastRow="0" w:noHBand="0" w:noVBand="1" w:val="04A0"/>
      </w:tblPr>
      <w:tblGrid>
        <w:gridCol w:w="3379"/>
        <w:gridCol w:w="3379"/>
        <w:gridCol w:w="3379"/>
      </w:tblGrid>
      <w:tr>
        <w:trPr>
          <w:tblHeader w:val="true"/>
        </w:trPr>
        <w:tc>
          <w:tcPr>
            <w:tcW w:type="dxa" w:w="3379"/>
            <w:shd w:fill="2D4858"/>
            <w:tcMar>
              <w:top w:w="80" w:type="dxa"/>
              <w:start w:w="90" w:type="dxa"/>
              <w:bottom w:w="80" w:type="dxa"/>
              <w:end w:w="90" w:type="dxa"/>
            </w:tcMar>
            <w:tcBorders>
              <w:top w:val="single" w:sz="4" w:color="2D4858"/>
              <w:left w:val="single" w:sz="4" w:color="2D4858"/>
              <w:bottom w:val="single" w:sz="4" w:color="2D4858"/>
              <w:right w:val="single" w:sz="4" w:color="2D4858"/>
            </w:tcBorders>
          </w:tcPr>
          <w:p>
            <w:r>
              <w:rPr>
                <w:rFonts w:ascii="Aptos" w:hAnsi="Aptos"/>
                <w:b/>
                <w:color w:val="FFFFFF"/>
                <w:sz w:val="17"/>
              </w:rPr>
              <w:t>Tool or component</w:t>
            </w:r>
          </w:p>
        </w:tc>
        <w:tc>
          <w:tcPr>
            <w:tcW w:type="dxa" w:w="3379"/>
            <w:shd w:fill="2D4858"/>
            <w:tcMar>
              <w:top w:w="80" w:type="dxa"/>
              <w:start w:w="90" w:type="dxa"/>
              <w:bottom w:w="80" w:type="dxa"/>
              <w:end w:w="90" w:type="dxa"/>
            </w:tcMar>
            <w:tcBorders>
              <w:top w:val="single" w:sz="4" w:color="2D4858"/>
              <w:left w:val="single" w:sz="4" w:color="2D4858"/>
              <w:bottom w:val="single" w:sz="4" w:color="2D4858"/>
              <w:right w:val="single" w:sz="4" w:color="2D4858"/>
            </w:tcBorders>
          </w:tcPr>
          <w:p>
            <w:r>
              <w:rPr>
                <w:rFonts w:ascii="Aptos" w:hAnsi="Aptos"/>
                <w:b/>
                <w:color w:val="FFFFFF"/>
                <w:sz w:val="17"/>
              </w:rPr>
              <w:t>Role in the pilot</w:t>
            </w:r>
          </w:p>
        </w:tc>
        <w:tc>
          <w:tcPr>
            <w:tcW w:type="dxa" w:w="3379"/>
            <w:shd w:fill="2D4858"/>
            <w:tcMar>
              <w:top w:w="80" w:type="dxa"/>
              <w:start w:w="90" w:type="dxa"/>
              <w:bottom w:w="80" w:type="dxa"/>
              <w:end w:w="90" w:type="dxa"/>
            </w:tcMar>
            <w:tcBorders>
              <w:top w:val="single" w:sz="4" w:color="2D4858"/>
              <w:left w:val="single" w:sz="4" w:color="2D4858"/>
              <w:bottom w:val="single" w:sz="4" w:color="2D4858"/>
              <w:right w:val="single" w:sz="4" w:color="2D4858"/>
            </w:tcBorders>
          </w:tcPr>
          <w:p>
            <w:r>
              <w:rPr>
                <w:rFonts w:ascii="Aptos" w:hAnsi="Aptos"/>
                <w:b/>
                <w:color w:val="FFFFFF"/>
                <w:sz w:val="17"/>
              </w:rPr>
              <w:t>Effort and control needed</w:t>
            </w:r>
          </w:p>
        </w:tc>
      </w:tr>
      <w:tr>
        <w:trPr>
          <w:cantSplit/>
        </w:trPr>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b/>
                <w:color w:val="2D4858"/>
                <w:sz w:val="17"/>
              </w:rPr>
              <w:t>Approved business AI assistant</w:t>
            </w:r>
          </w:p>
        </w:tc>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Produces the first proposal from a structured request. Reklaame currently uses Claude for this type of work. [1]</w:t>
            </w:r>
          </w:p>
        </w:tc>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Medium setup effort. Standard prompt, approved account and human review.</w:t>
            </w:r>
          </w:p>
        </w:tc>
      </w:tr>
      <w:tr>
        <w:trPr>
          <w:cantSplit/>
        </w:trPr>
        <w:tc>
          <w:tcPr>
            <w:tcW w:type="dxa" w:w="3379"/>
            <w:shd w:fill="F3F4F5"/>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b/>
                <w:color w:val="2D4858"/>
                <w:sz w:val="17"/>
              </w:rPr>
              <w:t>Purchasing platform or CRM export</w:t>
            </w:r>
          </w:p>
        </w:tc>
        <w:tc>
          <w:tcPr>
            <w:tcW w:type="dxa" w:w="3379"/>
            <w:shd w:fill="F3F4F5"/>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Provides approved product, price and customer-request information.</w:t>
            </w:r>
          </w:p>
        </w:tc>
        <w:tc>
          <w:tcPr>
            <w:tcW w:type="dxa" w:w="3379"/>
            <w:shd w:fill="F3F4F5"/>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Medium effort. Limit shared fields and check permissions before connecting systems.</w:t>
            </w:r>
          </w:p>
        </w:tc>
      </w:tr>
      <w:tr>
        <w:trPr>
          <w:cantSplit/>
        </w:trPr>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b/>
                <w:color w:val="2D4858"/>
                <w:sz w:val="17"/>
              </w:rPr>
              <w:t>Proposal template and calculation sheet</w:t>
            </w:r>
          </w:p>
        </w:tc>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Keeps wording, pricing rules, margin checks and required sections consistent.</w:t>
            </w:r>
          </w:p>
        </w:tc>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Low effort. Keep it outside the AI service as the manual fallback.</w:t>
            </w:r>
          </w:p>
        </w:tc>
      </w:tr>
      <w:tr>
        <w:trPr>
          <w:cantSplit/>
        </w:trPr>
        <w:tc>
          <w:tcPr>
            <w:tcW w:type="dxa" w:w="3379"/>
            <w:shd w:fill="F3F4F5"/>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b/>
                <w:color w:val="2D4858"/>
                <w:sz w:val="17"/>
              </w:rPr>
              <w:t>Human review checklist</w:t>
            </w:r>
          </w:p>
        </w:tc>
        <w:tc>
          <w:tcPr>
            <w:tcW w:type="dxa" w:w="3379"/>
            <w:shd w:fill="F3F4F5"/>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Verifies products, quantities, prices, margin, client requirements and tone.</w:t>
            </w:r>
          </w:p>
        </w:tc>
        <w:tc>
          <w:tcPr>
            <w:tcW w:type="dxa" w:w="3379"/>
            <w:shd w:fill="F3F4F5"/>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Ongoing effort. Reviewer needs process knowledge, not only tool knowledge.</w:t>
            </w:r>
          </w:p>
        </w:tc>
      </w:tr>
      <w:tr>
        <w:trPr>
          <w:cantSplit/>
        </w:trPr>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b/>
                <w:color w:val="2D4858"/>
                <w:sz w:val="17"/>
              </w:rPr>
              <w:t>Activity log</w:t>
            </w:r>
          </w:p>
        </w:tc>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Records the version, reviewer, corrections, total time and final decision.</w:t>
            </w:r>
          </w:p>
        </w:tc>
        <w:tc>
          <w:tcPr>
            <w:tcW w:type="dxa" w:w="3379"/>
            <w:tcMar>
              <w:top w:w="70" w:type="dxa"/>
              <w:start w:w="85" w:type="dxa"/>
              <w:bottom w:w="70" w:type="dxa"/>
              <w:end w:w="85" w:type="dxa"/>
            </w:tcMar>
            <w:tcBorders>
              <w:top w:val="single" w:sz="3" w:color="D4D8DB"/>
              <w:left w:val="single" w:sz="3" w:color="D4D8DB"/>
              <w:bottom w:val="single" w:sz="3" w:color="D4D8DB"/>
              <w:right w:val="single" w:sz="3" w:color="D4D8DB"/>
            </w:tcBorders>
            <w:vAlign w:val="top"/>
          </w:tcPr>
          <w:p>
            <w:r>
              <w:rPr>
                <w:rFonts w:ascii="Aptos" w:hAnsi="Aptos"/>
                <w:color w:val="222222"/>
                <w:sz w:val="17"/>
              </w:rPr>
              <w:t>Low effort. Needed to measure value and identify repeated failure patterns.</w:t>
            </w:r>
          </w:p>
        </w:tc>
      </w:tr>
    </w:tbl>
    <w:p>
      <w:pPr>
        <w:widowControl w:val="1"/>
      </w:pPr>
      <w:r>
        <w:rPr>
          <w:rFonts w:ascii="Aptos" w:hAnsi="Aptos"/>
          <w:i w:val="0"/>
          <w:color w:val="222222"/>
          <w:sz w:val="20"/>
        </w:rPr>
        <w:t>Reklaame also reported using ChatGPT, Higgsfield and Microsoft Copilot for other tasks. [1] These tools should be assessed per use case rather than combined into one uncontrolled workflow.</w:t>
      </w:r>
    </w:p>
    <w:p>
      <w:pPr>
        <w:pStyle w:val="Heading1"/>
        <w:pBdr>
          <w:bottom w:val="single" w:sz="4" w:space="2" w:color="D4D8DB"/>
        </w:pBdr>
        <w:widowControl w:val="1"/>
      </w:pPr>
      <w:r>
        <w:t>5. Responsible AI and trust</w:t>
      </w:r>
    </w:p>
    <w:p>
      <w:pPr>
        <w:pStyle w:val="Heading2"/>
        <w:widowControl w:val="1"/>
      </w:pPr>
      <w:r>
        <w:t>Data and confidentiality</w:t>
      </w:r>
    </w:p>
    <w:p>
      <w:pPr>
        <w:widowControl w:val="1"/>
      </w:pPr>
      <w:r>
        <w:rPr>
          <w:rFonts w:ascii="Aptos" w:hAnsi="Aptos"/>
          <w:i w:val="0"/>
          <w:color w:val="222222"/>
          <w:sz w:val="20"/>
        </w:rPr>
        <w:t>Use only the information necessary for the proposal. Personal data, confidential client material and sensitive business information should not be entered by default. Check the provider, account type, purpose, retention and data-processing conditions before use. [3]</w:t>
      </w:r>
    </w:p>
    <w:p>
      <w:pPr>
        <w:pStyle w:val="Heading2"/>
        <w:widowControl w:val="1"/>
      </w:pPr>
      <w:r>
        <w:t>Accuracy and human approval</w:t>
      </w:r>
    </w:p>
    <w:p>
      <w:pPr>
        <w:widowControl w:val="1"/>
      </w:pPr>
      <w:r>
        <w:rPr>
          <w:rFonts w:ascii="Aptos" w:hAnsi="Aptos"/>
          <w:i w:val="0"/>
          <w:color w:val="222222"/>
          <w:sz w:val="20"/>
        </w:rPr>
        <w:t>The founder explained that weak instructions produce weak results: “garbage in, garbage out.” [1] A detailed prompt improves the output, but it does not remove the need for checking.</w:t>
      </w:r>
    </w:p>
    <w:p>
      <w:pPr>
        <w:pStyle w:val="Heading2"/>
        <w:widowControl w:val="1"/>
      </w:pPr>
      <w:r>
        <w:t>Creative and professional knowledge</w:t>
      </w:r>
    </w:p>
    <w:p>
      <w:pPr>
        <w:widowControl w:val="1"/>
      </w:pPr>
      <w:r>
        <w:rPr>
          <w:rFonts w:ascii="Aptos" w:hAnsi="Aptos"/>
          <w:i w:val="0"/>
          <w:color w:val="222222"/>
          <w:sz w:val="20"/>
        </w:rPr>
        <w:t>Reklaame sees ideation as a human task and AI as stronger in execution. [1] Employees still need domain knowledge. AI literacy is a business capability, not only a technical skill. [4]</w:t>
      </w:r>
    </w:p>
    <w:p>
      <w:pPr>
        <w:pStyle w:val="Heading2"/>
        <w:widowControl w:val="1"/>
      </w:pPr>
      <w:r>
        <w:t>Junior staff and learning</w:t>
      </w:r>
    </w:p>
    <w:p>
      <w:pPr>
        <w:widowControl w:val="1"/>
      </w:pPr>
      <w:r>
        <w:rPr>
          <w:rFonts w:ascii="Aptos" w:hAnsi="Aptos"/>
          <w:i w:val="0"/>
          <w:color w:val="222222"/>
          <w:sz w:val="20"/>
        </w:rPr>
        <w:t>Our team expects, as an assumption rather than an interview finding, that if AI performs every basic drafting task, junior employees may lose learning opportunities. The founder made a related point: staff still need general know-how about the work to instruct AI well. [1] Keep selected learning tasks and require employees to explain and correct AI output.</w:t>
      </w:r>
    </w:p>
    <w:p>
      <w:pPr>
        <w:pStyle w:val="Heading2"/>
        <w:widowControl w:val="1"/>
      </w:pPr>
      <w:r>
        <w:t>Vendor dependency</w:t>
      </w:r>
    </w:p>
    <w:p>
      <w:pPr>
        <w:widowControl w:val="1"/>
      </w:pPr>
      <w:r>
        <w:rPr>
          <w:rFonts w:ascii="Aptos" w:hAnsi="Aptos"/>
          <w:i w:val="0"/>
          <w:color w:val="222222"/>
          <w:sz w:val="20"/>
        </w:rPr>
        <w:t>Reklaame identified rising prices and future access constraints as business concerns. [1] Keep templates, approved data and final documents outside the AI tool, and maintain a tested manual fallback.</w:t>
      </w:r>
    </w:p>
    <w:p>
      <w:pPr>
        <w:pStyle w:val="Heading2"/>
        <w:widowControl w:val="1"/>
      </w:pPr>
      <w:r>
        <w:t>Accountability</w:t>
      </w:r>
    </w:p>
    <w:p>
      <w:pPr>
        <w:widowControl w:val="1"/>
      </w:pPr>
      <w:r>
        <w:rPr>
          <w:rFonts w:ascii="Aptos" w:hAnsi="Aptos"/>
          <w:i w:val="0"/>
          <w:color w:val="222222"/>
          <w:sz w:val="20"/>
        </w:rPr>
        <w:t>AI may prepare the draft. The employee remains responsible for checking it, and the agency remains responsible for what it sends to the client.</w:t>
      </w:r>
    </w:p>
    <w:p>
      <w:pPr>
        <w:pStyle w:val="Heading1"/>
        <w:pBdr>
          <w:bottom w:val="single" w:sz="4" w:space="2" w:color="D4D8DB"/>
        </w:pBdr>
        <w:widowControl w:val="1"/>
      </w:pPr>
      <w:r>
        <w:t>6. First five steps for an owner</w:t>
      </w:r>
    </w:p>
    <w:p>
      <w:pPr>
        <w:spacing w:after="100"/>
        <w:ind w:left="0" w:firstLine="0"/>
        <w:widowControl w:val="1"/>
      </w:pPr>
      <w:r>
        <w:rPr>
          <w:rFonts w:ascii="Aptos" w:hAnsi="Aptos"/>
          <w:b/>
          <w:color w:val="2D4858"/>
          <w:sz w:val="20"/>
        </w:rPr>
        <w:t xml:space="preserve">1. Map the current workflow. </w:t>
      </w:r>
      <w:r>
        <w:rPr>
          <w:rFonts w:ascii="Aptos" w:hAnsi="Aptos"/>
          <w:color w:val="222222"/>
          <w:sz w:val="20"/>
        </w:rPr>
        <w:t>Record how proposals are prepared today, who is involved and how long each stage takes.</w:t>
      </w:r>
    </w:p>
    <w:p>
      <w:pPr>
        <w:spacing w:after="100"/>
        <w:ind w:left="0" w:firstLine="0"/>
        <w:widowControl w:val="1"/>
      </w:pPr>
      <w:r>
        <w:rPr>
          <w:rFonts w:ascii="Aptos" w:hAnsi="Aptos"/>
          <w:b/>
          <w:color w:val="2D4858"/>
          <w:sz w:val="20"/>
        </w:rPr>
        <w:t xml:space="preserve">2. Set the data boundary. </w:t>
      </w:r>
      <w:r>
        <w:rPr>
          <w:rFonts w:ascii="Aptos" w:hAnsi="Aptos"/>
          <w:color w:val="222222"/>
          <w:sz w:val="20"/>
        </w:rPr>
        <w:t>Write down what may enter the AI tool, what must be removed and which approved account must be used.</w:t>
      </w:r>
    </w:p>
    <w:p>
      <w:pPr>
        <w:spacing w:after="100"/>
        <w:ind w:left="0" w:firstLine="0"/>
        <w:widowControl w:val="1"/>
      </w:pPr>
      <w:r>
        <w:rPr>
          <w:rFonts w:ascii="Aptos" w:hAnsi="Aptos"/>
          <w:b/>
          <w:color w:val="2D4858"/>
          <w:sz w:val="20"/>
        </w:rPr>
        <w:t xml:space="preserve">3. Standardise the brief. </w:t>
      </w:r>
      <w:r>
        <w:rPr>
          <w:rFonts w:ascii="Aptos" w:hAnsi="Aptos"/>
          <w:color w:val="222222"/>
          <w:sz w:val="20"/>
        </w:rPr>
        <w:t>Create one proposal input form containing the customer request, approved products, pricing rules, margin requirement, tone and required sections.</w:t>
      </w:r>
    </w:p>
    <w:p>
      <w:pPr>
        <w:spacing w:after="100"/>
        <w:ind w:left="0" w:firstLine="0"/>
        <w:widowControl w:val="1"/>
      </w:pPr>
      <w:r>
        <w:rPr>
          <w:rFonts w:ascii="Aptos" w:hAnsi="Aptos"/>
          <w:b/>
          <w:color w:val="2D4858"/>
          <w:sz w:val="20"/>
        </w:rPr>
        <w:t xml:space="preserve">4. Run a small comparison. </w:t>
      </w:r>
      <w:r>
        <w:rPr>
          <w:rFonts w:ascii="Aptos" w:hAnsi="Aptos"/>
          <w:color w:val="222222"/>
          <w:sz w:val="20"/>
        </w:rPr>
        <w:t>Test ten comparable proposals using the current method and the AI-assisted method. Record total time, corrections, material errors and reviewer confidence.</w:t>
      </w:r>
    </w:p>
    <w:p>
      <w:pPr>
        <w:spacing w:after="100"/>
        <w:ind w:left="0" w:firstLine="0"/>
        <w:widowControl w:val="1"/>
      </w:pPr>
      <w:r>
        <w:rPr>
          <w:rFonts w:ascii="Aptos" w:hAnsi="Aptos"/>
          <w:b/>
          <w:color w:val="2D4858"/>
          <w:sz w:val="20"/>
        </w:rPr>
        <w:t xml:space="preserve">5. Make an evidence-based decision. </w:t>
      </w:r>
      <w:r>
        <w:rPr>
          <w:rFonts w:ascii="Aptos" w:hAnsi="Aptos"/>
          <w:color w:val="222222"/>
          <w:sz w:val="20"/>
        </w:rPr>
        <w:t>Continue only if the full workflow saves time, maintains quality, follows the data rules and retains clear human responsibility.</w:t>
      </w:r>
    </w:p>
    <w:p>
      <w:pPr>
        <w:ind w:left="173"/>
        <w:pBdr>
          <w:left w:val="single" w:sz="12" w:space="7" w:color="D4D8DB"/>
        </w:pBdr>
        <w:widowControl w:val="1"/>
      </w:pPr>
      <w:r>
        <w:rPr>
          <w:rFonts w:ascii="Aptos" w:hAnsi="Aptos"/>
          <w:b/>
          <w:color w:val="2D4858"/>
          <w:sz w:val="19"/>
        </w:rPr>
        <w:t xml:space="preserve">Monday-morning question. </w:t>
      </w:r>
      <w:r>
        <w:rPr>
          <w:rFonts w:ascii="Aptos" w:hAnsi="Aptos"/>
          <w:color w:val="222222"/>
          <w:sz w:val="19"/>
        </w:rPr>
        <w:t>Which repeated task in your agency has clear inputs, a checkable output and a knowledgeable person who can review it?</w:t>
      </w:r>
    </w:p>
    <w:p>
      <w:pPr>
        <w:pStyle w:val="Heading1"/>
        <w:pBdr>
          <w:bottom w:val="single" w:sz="4" w:space="2" w:color="D4D8DB"/>
        </w:pBdr>
        <w:widowControl w:val="1"/>
      </w:pPr>
      <w:r>
        <w:t>7. Sources and appraisal</w:t>
      </w:r>
    </w:p>
    <w:p>
      <w:pPr>
        <w:spacing w:after="60"/>
        <w:widowControl w:val="1"/>
      </w:pPr>
      <w:r>
        <w:rPr>
          <w:rFonts w:ascii="Aptos" w:hAnsi="Aptos"/>
          <w:b/>
          <w:color w:val="2D4858"/>
          <w:sz w:val="20"/>
        </w:rPr>
        <w:t>[1] Reklaame field interview - founder and creative director, October 2026</w:t>
      </w:r>
    </w:p>
    <w:p>
      <w:pPr>
        <w:widowControl w:val="1"/>
      </w:pPr>
      <w:r>
        <w:rPr>
          <w:rFonts w:ascii="Aptos" w:hAnsi="Aptos"/>
          <w:i w:val="0"/>
          <w:color w:val="222222"/>
          <w:sz w:val="18"/>
        </w:rPr>
        <w:t>Use in this chapter: current AI use, proposal preparation, tool choices, ideation versus execution, scaling opportunities, employee knowledge and vendor concerns.</w:t>
      </w:r>
    </w:p>
    <w:p>
      <w:pPr>
        <w:widowControl w:val="1"/>
      </w:pPr>
      <w:r>
        <w:rPr>
          <w:rFonts w:ascii="Aptos" w:hAnsi="Aptos"/>
          <w:i w:val="0"/>
          <w:color w:val="222222"/>
          <w:sz w:val="18"/>
        </w:rPr>
        <w:t>Why useful: direct field evidence from the selected SME, recorded with written consent to name the company and quote the founder, and transcribed locally.</w:t>
      </w:r>
    </w:p>
    <w:p>
      <w:pPr>
        <w:widowControl w:val="1"/>
      </w:pPr>
      <w:r>
        <w:rPr>
          <w:rFonts w:ascii="Aptos" w:hAnsi="Aptos"/>
          <w:i w:val="0"/>
          <w:color w:val="222222"/>
          <w:sz w:val="18"/>
        </w:rPr>
        <w:t>Limitations: represents one company and mainly one senior decision-maker. It cannot be generalised to all Dutch marketing agencies. Reklaame’s headcount has not yet been confirmed against the 10-50 employee scope. The automatic transcript should be checked against the recording before using exact quotations externally.</w:t>
      </w:r>
    </w:p>
    <w:p>
      <w:pPr>
        <w:widowControl w:val="1"/>
      </w:pPr>
      <w:r>
        <w:rPr>
          <w:rFonts w:ascii="Aptos" w:hAnsi="Aptos"/>
          <w:i w:val="0"/>
          <w:color w:val="222222"/>
          <w:sz w:val="18"/>
        </w:rPr>
        <w:t>Rubric v1.0: Authority 2 · Evidence 1 · Recency 2 · Relevance 2 · Independence 1 = 8, Tier A for the internal analysis only (self-reported, one company).</w:t>
      </w:r>
    </w:p>
    <w:p>
      <w:pPr>
        <w:spacing w:before="20"/>
        <w:pBdr>
          <w:bottom w:val="single" w:sz="3" w:space="0" w:color="D4D8DB"/>
        </w:pBdr>
        <w:widowControl w:val="1"/>
      </w:pPr>
    </w:p>
    <w:p>
      <w:pPr>
        <w:spacing w:after="60"/>
        <w:widowControl w:val="1"/>
      </w:pPr>
      <w:r>
        <w:rPr>
          <w:rFonts w:ascii="Aptos" w:hAnsi="Aptos"/>
          <w:b/>
          <w:color w:val="2D4858"/>
          <w:sz w:val="20"/>
        </w:rPr>
        <w:t>[2] Noy, S., &amp; Zhang, W. (2023). Experimental Evidence on the Productivity Effects of Generative Artificial Intelligence. Science</w:t>
      </w:r>
    </w:p>
    <w:p>
      <w:pPr>
        <w:spacing w:after="60"/>
        <w:widowControl w:val="1"/>
      </w:pPr>
      <w:hyperlink r:id="rId11">
        <w:r>
          <w:rPr>
            <w:color w:val="2D4858"/>
            <w:u w:val="single"/>
          </w:rPr>
          <w:t>https://doi.org/10.1126/science.adh2586</w:t>
        </w:r>
      </w:hyperlink>
    </w:p>
    <w:p>
      <w:pPr>
        <w:widowControl w:val="1"/>
      </w:pPr>
      <w:r>
        <w:rPr>
          <w:rFonts w:ascii="Aptos" w:hAnsi="Aptos"/>
          <w:i w:val="0"/>
          <w:color w:val="222222"/>
          <w:sz w:val="18"/>
        </w:rPr>
        <w:t>Why useful: peer-reviewed experimental research on AI-assisted professional writing.</w:t>
      </w:r>
    </w:p>
    <w:p>
      <w:pPr>
        <w:widowControl w:val="1"/>
      </w:pPr>
      <w:r>
        <w:rPr>
          <w:rFonts w:ascii="Aptos" w:hAnsi="Aptos"/>
          <w:i w:val="0"/>
          <w:color w:val="222222"/>
          <w:sz w:val="18"/>
        </w:rPr>
        <w:t>Limitations: the participants and tasks do not directly represent Dutch marketing agencies or commercial proposal preparation. The results show potential, not guaranteed benefits for this use case.</w:t>
      </w:r>
    </w:p>
    <w:p>
      <w:pPr>
        <w:widowControl w:val="1"/>
      </w:pPr>
      <w:r>
        <w:rPr>
          <w:rFonts w:ascii="Aptos" w:hAnsi="Aptos"/>
          <w:i w:val="0"/>
          <w:color w:val="222222"/>
          <w:sz w:val="18"/>
        </w:rPr>
        <w:t>Rubric v1.0: Authority 2 · Evidence 2 · Recency 1 · Relevance 1 · Independence 2 = 8, Tier A (potential, not proof for this use case).</w:t>
      </w:r>
    </w:p>
    <w:p>
      <w:pPr>
        <w:spacing w:before="20"/>
        <w:pBdr>
          <w:bottom w:val="single" w:sz="3" w:space="0" w:color="D4D8DB"/>
        </w:pBdr>
        <w:widowControl w:val="1"/>
      </w:pPr>
    </w:p>
    <w:p>
      <w:pPr>
        <w:spacing w:after="60"/>
        <w:widowControl w:val="1"/>
      </w:pPr>
      <w:r>
        <w:rPr>
          <w:rFonts w:ascii="Aptos" w:hAnsi="Aptos"/>
          <w:b/>
          <w:color w:val="2D4858"/>
          <w:sz w:val="20"/>
        </w:rPr>
        <w:t>[3] Autoriteit Persoonsgegevens - guidance on generative AI and the GDPR</w:t>
      </w:r>
    </w:p>
    <w:p>
      <w:pPr>
        <w:spacing w:after="60"/>
        <w:widowControl w:val="1"/>
      </w:pPr>
      <w:hyperlink r:id="rId12">
        <w:r>
          <w:rPr>
            <w:color w:val="2D4858"/>
            <w:u w:val="single"/>
          </w:rPr>
          <w:t>https://autoriteitpersoonsgegevens.nl/documenten/hulpmiddel-generatieve-ai-en-de-avg</w:t>
        </w:r>
      </w:hyperlink>
    </w:p>
    <w:p>
      <w:pPr>
        <w:widowControl w:val="1"/>
      </w:pPr>
      <w:r>
        <w:rPr>
          <w:rFonts w:ascii="Aptos" w:hAnsi="Aptos"/>
          <w:i w:val="0"/>
          <w:color w:val="222222"/>
          <w:sz w:val="18"/>
        </w:rPr>
        <w:t>Why useful: primary guidance from the independent Dutch data-protection regulator.</w:t>
      </w:r>
    </w:p>
    <w:p>
      <w:pPr>
        <w:widowControl w:val="1"/>
      </w:pPr>
      <w:r>
        <w:rPr>
          <w:rFonts w:ascii="Aptos" w:hAnsi="Aptos"/>
          <w:i w:val="0"/>
          <w:color w:val="222222"/>
          <w:sz w:val="18"/>
        </w:rPr>
        <w:t>Limitations: explains data-protection considerations but does not approve a specific tool, provider or company workflow.</w:t>
      </w:r>
    </w:p>
    <w:p>
      <w:pPr>
        <w:widowControl w:val="1"/>
      </w:pPr>
      <w:r>
        <w:rPr>
          <w:rFonts w:ascii="Aptos" w:hAnsi="Aptos"/>
          <w:i w:val="0"/>
          <w:color w:val="222222"/>
          <w:sz w:val="18"/>
        </w:rPr>
        <w:t>Rubric v1.0: Authority 2 · Evidence 1 · Recency 2 · Relevance 2 · Independence 1 = 8, Tier A (regulatory guidance, not evidence of effect).</w:t>
      </w:r>
    </w:p>
    <w:p>
      <w:pPr>
        <w:spacing w:before="20"/>
        <w:pBdr>
          <w:bottom w:val="single" w:sz="3" w:space="0" w:color="D4D8DB"/>
        </w:pBdr>
        <w:widowControl w:val="1"/>
      </w:pPr>
    </w:p>
    <w:p>
      <w:pPr>
        <w:spacing w:after="60"/>
        <w:widowControl w:val="1"/>
      </w:pPr>
      <w:r>
        <w:rPr>
          <w:rFonts w:ascii="Aptos" w:hAnsi="Aptos"/>
          <w:b/>
          <w:color w:val="2D4858"/>
          <w:sz w:val="20"/>
        </w:rPr>
        <w:t>[4] European Commission - AI Act, Article 4: AI literacy</w:t>
      </w:r>
    </w:p>
    <w:p>
      <w:pPr>
        <w:spacing w:after="60"/>
        <w:widowControl w:val="1"/>
      </w:pPr>
      <w:hyperlink r:id="rId13">
        <w:r>
          <w:rPr>
            <w:color w:val="2D4858"/>
            <w:u w:val="single"/>
          </w:rPr>
          <w:t>https://ai-act-service-desk.ec.europa.eu/en/ai-act/article-4</w:t>
        </w:r>
      </w:hyperlink>
    </w:p>
    <w:p>
      <w:pPr>
        <w:widowControl w:val="1"/>
      </w:pPr>
      <w:r>
        <w:rPr>
          <w:rFonts w:ascii="Aptos" w:hAnsi="Aptos"/>
          <w:i w:val="0"/>
          <w:color w:val="222222"/>
          <w:sz w:val="18"/>
        </w:rPr>
        <w:t>Why useful: official EU source on supporting sufficient AI literacy among relevant staff.</w:t>
      </w:r>
    </w:p>
    <w:p>
      <w:pPr>
        <w:widowControl w:val="1"/>
      </w:pPr>
      <w:r>
        <w:rPr>
          <w:rFonts w:ascii="Aptos" w:hAnsi="Aptos"/>
          <w:i w:val="0"/>
          <w:color w:val="222222"/>
          <w:sz w:val="18"/>
        </w:rPr>
        <w:t>Limitations: defines a legal responsibility but does not measure whether a specific employee or agency has sufficient skills.</w:t>
      </w:r>
    </w:p>
    <w:p>
      <w:pPr>
        <w:widowControl w:val="1"/>
      </w:pPr>
      <w:r>
        <w:rPr>
          <w:rFonts w:ascii="Aptos" w:hAnsi="Aptos"/>
          <w:i w:val="0"/>
          <w:color w:val="222222"/>
          <w:sz w:val="18"/>
        </w:rPr>
        <w:t>Rubric v1.0: Authority 2 · Evidence 2 · Recency 2 · Relevance 1 · Independence 1 = 8, Tier A (regulatory facts only).</w:t>
      </w:r>
    </w:p>
    <w:p>
      <w:pPr>
        <w:pStyle w:val="Heading1"/>
        <w:pBdr>
          <w:bottom w:val="single" w:sz="4" w:space="2" w:color="D4D8DB"/>
        </w:pBdr>
        <w:widowControl w:val="1"/>
      </w:pPr>
      <w:r>
        <w:t>AI use and team review</w:t>
      </w:r>
    </w:p>
    <w:p>
      <w:pPr>
        <w:widowControl w:val="1"/>
      </w:pPr>
      <w:r>
        <w:rPr>
          <w:rFonts w:ascii="Aptos" w:hAnsi="Aptos"/>
          <w:i w:val="0"/>
          <w:color w:val="222222"/>
          <w:sz w:val="20"/>
        </w:rPr>
        <w:t>AI was used to support brainstorming, structure and first-draft wording.</w:t>
      </w:r>
    </w:p>
    <w:p>
      <w:pPr>
        <w:widowControl w:val="1"/>
      </w:pPr>
      <w:r>
        <w:rPr>
          <w:rFonts w:ascii="Aptos" w:hAnsi="Aptos"/>
          <w:i w:val="0"/>
          <w:color w:val="222222"/>
          <w:sz w:val="20"/>
        </w:rPr>
        <w:t>The team selected the research focus, conducted the desk and field research, reviewed the Reklaame interview findings, checked the sources and approved the final recommendations.</w:t>
      </w:r>
    </w:p>
    <w:p>
      <w:pPr>
        <w:widowControl w:val="1"/>
      </w:pPr>
      <w:r>
        <w:rPr>
          <w:rFonts w:ascii="Aptos" w:hAnsi="Aptos"/>
          <w:i w:val="0"/>
          <w:color w:val="222222"/>
          <w:sz w:val="20"/>
        </w:rPr>
        <w:t>The team remains responsible for the accuracy, interpretation and final content of this chapter.</w:t>
      </w:r>
    </w:p>
    <w:p>
      <w:pPr>
        <w:spacing w:before="120"/>
        <w:ind w:left="173"/>
        <w:pBdr>
          <w:left w:val="single" w:sz="10" w:space="7" w:color="D4D8DB"/>
        </w:pBdr>
        <w:widowControl w:val="1"/>
      </w:pPr>
      <w:r>
        <w:rPr>
          <w:rFonts w:ascii="Aptos" w:hAnsi="Aptos"/>
          <w:b/>
          <w:color w:val="5F6B72"/>
          <w:sz w:val="18"/>
        </w:rPr>
        <w:t xml:space="preserve">Evidence boundary. </w:t>
      </w:r>
      <w:r>
        <w:rPr>
          <w:rFonts w:ascii="Aptos" w:hAnsi="Aptos"/>
          <w:i/>
          <w:color w:val="5F6B72"/>
          <w:sz w:val="18"/>
        </w:rPr>
        <w:t>This chapter does not claim that Reklaame has already measured time savings, error rates or return on investment. The proposed pilot and decision rules are recommendations based on the available desk and field research.</w:t>
      </w:r>
    </w:p>
    <w:sectPr w:rsidR="00FC693F" w:rsidRPr="0006063C" w:rsidSect="00034616">
      <w:headerReference w:type="default" r:id="rId9"/>
      <w:footerReference w:type="default" r:id="rId10"/>
      <w:pgSz w:w="12240" w:h="15840"/>
      <w:pgMar w:top="893" w:right="1051" w:bottom="893" w:left="105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2"/>
        <w:sz w:val="16"/>
      </w:rPr>
      <w:t>Educational handbook chapter</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4D8DB"/>
      </w:pBdr>
    </w:pPr>
    <w:r>
      <w:rPr>
        <w:rFonts w:ascii="Aptos" w:hAnsi="Aptos"/>
        <w:b/>
        <w:color w:val="5F6B72"/>
        <w:sz w:val="16"/>
      </w:rPr>
      <w:t>AI FOR SMEs - HAN AIBS x AEL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D4858"/>
      <w:sz w:val="29"/>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D4858"/>
      <w:sz w:val="22"/>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jc w:val="left"/>
    </w:pPr>
    <w:rPr>
      <w:rFonts w:asciiTheme="majorHAnsi" w:eastAsiaTheme="majorEastAsia" w:hAnsiTheme="majorHAnsi" w:cstheme="majorBidi" w:ascii="Aptos Display" w:hAnsi="Aptos Display"/>
      <w:b/>
      <w:color w:val="2D48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pPr>
    <w:rPr>
      <w:rFonts w:ascii="Aptos" w:hAnsi="Aptos"/>
      <w:color w:val="5F6B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26/science.adh2586" TargetMode="External"/><Relationship Id="rId12" Type="http://schemas.openxmlformats.org/officeDocument/2006/relationships/hyperlink" Target="https://autoriteitpersoonsgegevens.nl/documenten/hulpmiddel-generatieve-ai-en-de-avg" TargetMode="External"/><Relationship Id="rId13" Type="http://schemas.openxmlformats.org/officeDocument/2006/relationships/hyperlink" Target="https://ai-act-service-desk.ec.europa.eu/en/ai-act/articl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Should a Small Marketing Agency Use AI First?</dc:title>
  <dc:subject>HAN AIBS x AEL handbook chapter</dc:subject>
  <dc:creator>Team 2</dc:creator>
  <cp:keywords>AI, SME, marketing agency, Reklaame, handbook, CRISP-DM</cp:keywords>
  <dc:description>generated by python-docx</dc:description>
  <cp:lastModifiedBy/>
  <cp:revision>1</cp:revision>
  <dcterms:created xsi:type="dcterms:W3CDTF">2013-12-23T23:15:00Z</dcterms:created>
  <dcterms:modified xsi:type="dcterms:W3CDTF">2013-12-23T23:15:00Z</dcterms:modified>
  <cp:category/>
</cp:coreProperties>
</file>