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494" w:rsidRDefault="00A92494" w:rsidP="003731BF">
      <w:pPr>
        <w:ind w:firstLine="142"/>
        <w:jc w:val="both"/>
        <w:rPr>
          <w:rFonts w:ascii="Times New Roman" w:hAnsi="Times New Roman" w:cs="Times New Roman"/>
          <w:sz w:val="24"/>
        </w:rPr>
      </w:pPr>
      <w:r>
        <w:rPr>
          <w:rFonts w:ascii="Times New Roman" w:hAnsi="Times New Roman" w:cs="Times New Roman"/>
          <w:sz w:val="24"/>
        </w:rPr>
        <w:t>Gonzalo Linares Matás</w:t>
      </w:r>
    </w:p>
    <w:p w:rsidR="00A92494" w:rsidRDefault="00A92494" w:rsidP="003731BF">
      <w:pPr>
        <w:ind w:firstLine="142"/>
        <w:jc w:val="both"/>
        <w:rPr>
          <w:rFonts w:ascii="Times New Roman" w:hAnsi="Times New Roman" w:cs="Times New Roman"/>
          <w:sz w:val="24"/>
        </w:rPr>
      </w:pPr>
      <w:r>
        <w:rPr>
          <w:rFonts w:ascii="Times New Roman" w:hAnsi="Times New Roman" w:cs="Times New Roman"/>
          <w:sz w:val="24"/>
        </w:rPr>
        <w:t xml:space="preserve">Executive Editor, </w:t>
      </w:r>
      <w:r w:rsidRPr="00A92494">
        <w:rPr>
          <w:rFonts w:ascii="Times New Roman" w:hAnsi="Times New Roman" w:cs="Times New Roman"/>
          <w:i/>
          <w:sz w:val="24"/>
        </w:rPr>
        <w:t>International Journal of Student Research in Archaeology</w:t>
      </w:r>
    </w:p>
    <w:p w:rsidR="00A92494" w:rsidRDefault="00A92494" w:rsidP="003731BF">
      <w:pPr>
        <w:ind w:firstLine="142"/>
        <w:jc w:val="both"/>
        <w:rPr>
          <w:rFonts w:ascii="Times New Roman" w:hAnsi="Times New Roman" w:cs="Times New Roman"/>
          <w:sz w:val="24"/>
        </w:rPr>
      </w:pPr>
      <w:r>
        <w:rPr>
          <w:rFonts w:ascii="Times New Roman" w:hAnsi="Times New Roman" w:cs="Times New Roman"/>
          <w:sz w:val="24"/>
        </w:rPr>
        <w:t>St. Hugh’s College, University of Oxford</w:t>
      </w:r>
    </w:p>
    <w:p w:rsidR="00A92494" w:rsidRDefault="00A92494" w:rsidP="003731BF">
      <w:pPr>
        <w:ind w:firstLine="142"/>
        <w:jc w:val="both"/>
        <w:rPr>
          <w:rFonts w:ascii="Times New Roman" w:hAnsi="Times New Roman" w:cs="Times New Roman"/>
          <w:sz w:val="24"/>
        </w:rPr>
      </w:pPr>
      <w:hyperlink r:id="rId4" w:history="1">
        <w:r w:rsidRPr="004A6892">
          <w:rPr>
            <w:rStyle w:val="Hyperlink"/>
            <w:rFonts w:ascii="Times New Roman" w:hAnsi="Times New Roman" w:cs="Times New Roman"/>
            <w:sz w:val="24"/>
          </w:rPr>
          <w:t>gonzalo.linaresmatas@st-hughs.ox.ac.uk</w:t>
        </w:r>
      </w:hyperlink>
    </w:p>
    <w:p w:rsidR="00A92494" w:rsidRDefault="00A92494" w:rsidP="003731BF">
      <w:pPr>
        <w:ind w:firstLine="142"/>
        <w:jc w:val="both"/>
        <w:rPr>
          <w:rFonts w:ascii="Times New Roman" w:hAnsi="Times New Roman" w:cs="Times New Roman"/>
          <w:sz w:val="24"/>
        </w:rPr>
      </w:pPr>
    </w:p>
    <w:p w:rsidR="00A92494" w:rsidRDefault="00A92494" w:rsidP="003731BF">
      <w:pPr>
        <w:ind w:firstLine="142"/>
        <w:jc w:val="both"/>
        <w:rPr>
          <w:rFonts w:ascii="Times New Roman" w:hAnsi="Times New Roman" w:cs="Times New Roman"/>
          <w:sz w:val="24"/>
        </w:rPr>
      </w:pPr>
      <w:r>
        <w:rPr>
          <w:rFonts w:ascii="Times New Roman" w:hAnsi="Times New Roman" w:cs="Times New Roman"/>
          <w:sz w:val="24"/>
        </w:rPr>
        <w:t xml:space="preserve">Biographic entry: </w:t>
      </w:r>
      <w:r>
        <w:t xml:space="preserve">I am a third-year undergraduate student reading </w:t>
      </w:r>
      <w:r w:rsidR="0031793D">
        <w:t xml:space="preserve">the BA </w:t>
      </w:r>
      <w:r>
        <w:t xml:space="preserve">Archaeology &amp; Anthropology at St. Hugh’s College, University of Oxford (UK). </w:t>
      </w:r>
      <w:r w:rsidR="004E59AC">
        <w:t>I was the former President of the Oxford University Archaeology Society</w:t>
      </w:r>
      <w:r w:rsidR="001E3502">
        <w:t xml:space="preserve"> (Michaelmas 2015)</w:t>
      </w:r>
      <w:bookmarkStart w:id="0" w:name="_GoBack"/>
      <w:bookmarkEnd w:id="0"/>
      <w:r w:rsidR="004E59AC">
        <w:t xml:space="preserve">, and I have recently been invited to join the WAC Student Committee. </w:t>
      </w:r>
      <w:r>
        <w:t xml:space="preserve">I am particularly interested in the socio-political contexts of heritage management and ownership, contemporary archaeological theory, </w:t>
      </w:r>
      <w:r w:rsidR="0031793D">
        <w:t xml:space="preserve">and </w:t>
      </w:r>
      <w:r>
        <w:t xml:space="preserve">the histories of </w:t>
      </w:r>
      <w:r w:rsidR="0031793D">
        <w:t xml:space="preserve">the academic disciplines of </w:t>
      </w:r>
      <w:r>
        <w:t>arch</w:t>
      </w:r>
      <w:r w:rsidR="0031793D">
        <w:t>aeology and anthropology as</w:t>
      </w:r>
      <w:r>
        <w:t xml:space="preserve"> practical modes of i</w:t>
      </w:r>
      <w:r>
        <w:t>nquiry. I am doing my undergraduate dissertation on</w:t>
      </w:r>
      <w:r>
        <w:t xml:space="preserve"> the socio-economic dimensions of early bone technology</w:t>
      </w:r>
      <w:r w:rsidR="0031793D">
        <w:t xml:space="preserve">, focusing on the late Early Pleistocene assemblage at the site of </w:t>
      </w:r>
      <w:r w:rsidR="0031793D" w:rsidRPr="0031793D">
        <w:rPr>
          <w:i/>
        </w:rPr>
        <w:t xml:space="preserve">Cueva </w:t>
      </w:r>
      <w:proofErr w:type="spellStart"/>
      <w:r w:rsidR="0031793D" w:rsidRPr="0031793D">
        <w:rPr>
          <w:i/>
        </w:rPr>
        <w:t>Negra</w:t>
      </w:r>
      <w:proofErr w:type="spellEnd"/>
      <w:r w:rsidR="0031793D" w:rsidRPr="0031793D">
        <w:rPr>
          <w:i/>
        </w:rPr>
        <w:t xml:space="preserve"> del </w:t>
      </w:r>
      <w:proofErr w:type="spellStart"/>
      <w:r w:rsidR="0031793D" w:rsidRPr="0031793D">
        <w:rPr>
          <w:i/>
        </w:rPr>
        <w:t>Estrecho</w:t>
      </w:r>
      <w:proofErr w:type="spellEnd"/>
      <w:r w:rsidR="0031793D" w:rsidRPr="0031793D">
        <w:rPr>
          <w:i/>
        </w:rPr>
        <w:t xml:space="preserve"> del Río </w:t>
      </w:r>
      <w:proofErr w:type="spellStart"/>
      <w:r w:rsidR="0031793D" w:rsidRPr="0031793D">
        <w:rPr>
          <w:i/>
        </w:rPr>
        <w:t>Quípar</w:t>
      </w:r>
      <w:proofErr w:type="spellEnd"/>
      <w:r w:rsidR="0031793D">
        <w:t xml:space="preserve"> (Murcia, Spain)</w:t>
      </w:r>
      <w:r>
        <w:t xml:space="preserve">. I am also very interested in </w:t>
      </w:r>
      <w:r w:rsidR="0031793D">
        <w:t xml:space="preserve">transforming </w:t>
      </w:r>
      <w:r>
        <w:t>the academic publishing landscape.</w:t>
      </w:r>
    </w:p>
    <w:p w:rsidR="00A92494" w:rsidRDefault="00A92494" w:rsidP="003731BF">
      <w:pPr>
        <w:ind w:firstLine="142"/>
        <w:jc w:val="both"/>
        <w:rPr>
          <w:rFonts w:ascii="Times New Roman" w:hAnsi="Times New Roman" w:cs="Times New Roman"/>
          <w:sz w:val="24"/>
        </w:rPr>
      </w:pPr>
    </w:p>
    <w:p w:rsidR="00A92494" w:rsidRDefault="00A92494" w:rsidP="003731BF">
      <w:pPr>
        <w:ind w:firstLine="142"/>
        <w:jc w:val="both"/>
        <w:rPr>
          <w:rFonts w:ascii="Times New Roman" w:hAnsi="Times New Roman" w:cs="Times New Roman"/>
          <w:sz w:val="24"/>
        </w:rPr>
      </w:pPr>
    </w:p>
    <w:p w:rsidR="00A92494" w:rsidRDefault="00A92494" w:rsidP="003731BF">
      <w:pPr>
        <w:ind w:firstLine="142"/>
        <w:jc w:val="both"/>
        <w:rPr>
          <w:rFonts w:ascii="Times New Roman" w:hAnsi="Times New Roman" w:cs="Times New Roman"/>
          <w:sz w:val="24"/>
        </w:rPr>
      </w:pPr>
    </w:p>
    <w:p w:rsidR="006E26C8" w:rsidRDefault="006E26C8" w:rsidP="003731BF">
      <w:pPr>
        <w:ind w:firstLine="142"/>
        <w:jc w:val="both"/>
        <w:rPr>
          <w:rFonts w:ascii="Times New Roman" w:hAnsi="Times New Roman" w:cs="Times New Roman"/>
          <w:sz w:val="24"/>
        </w:rPr>
      </w:pPr>
      <w:r>
        <w:rPr>
          <w:rFonts w:ascii="Times New Roman" w:hAnsi="Times New Roman" w:cs="Times New Roman"/>
          <w:sz w:val="24"/>
        </w:rPr>
        <w:t>I’m very excited to present you the contents of our second issue</w:t>
      </w:r>
      <w:r>
        <w:rPr>
          <w:rFonts w:ascii="Times New Roman" w:hAnsi="Times New Roman" w:cs="Times New Roman"/>
          <w:sz w:val="24"/>
        </w:rPr>
        <w:t xml:space="preserve">, which has been the result of the </w:t>
      </w:r>
      <w:r>
        <w:rPr>
          <w:rFonts w:ascii="Times New Roman" w:hAnsi="Times New Roman" w:cs="Times New Roman"/>
          <w:sz w:val="24"/>
        </w:rPr>
        <w:t xml:space="preserve">joint </w:t>
      </w:r>
      <w:r>
        <w:rPr>
          <w:rFonts w:ascii="Times New Roman" w:hAnsi="Times New Roman" w:cs="Times New Roman"/>
          <w:sz w:val="24"/>
        </w:rPr>
        <w:t xml:space="preserve">efforts of all the members of </w:t>
      </w:r>
      <w:r>
        <w:rPr>
          <w:rFonts w:ascii="Times New Roman" w:hAnsi="Times New Roman" w:cs="Times New Roman"/>
          <w:sz w:val="24"/>
        </w:rPr>
        <w:t>our global</w:t>
      </w:r>
      <w:r>
        <w:rPr>
          <w:rFonts w:ascii="Times New Roman" w:hAnsi="Times New Roman" w:cs="Times New Roman"/>
          <w:sz w:val="24"/>
        </w:rPr>
        <w:t xml:space="preserve"> </w:t>
      </w:r>
      <w:r w:rsidRPr="006E26C8">
        <w:rPr>
          <w:rFonts w:ascii="Times New Roman" w:hAnsi="Times New Roman" w:cs="Times New Roman"/>
          <w:i/>
          <w:sz w:val="24"/>
        </w:rPr>
        <w:t xml:space="preserve">IJSRA </w:t>
      </w:r>
      <w:r w:rsidRPr="006E26C8">
        <w:rPr>
          <w:rFonts w:ascii="Times New Roman" w:hAnsi="Times New Roman" w:cs="Times New Roman"/>
          <w:sz w:val="24"/>
        </w:rPr>
        <w:t>team</w:t>
      </w:r>
      <w:r w:rsidR="00797C3E">
        <w:rPr>
          <w:rFonts w:ascii="Times New Roman" w:hAnsi="Times New Roman" w:cs="Times New Roman"/>
          <w:sz w:val="24"/>
        </w:rPr>
        <w:t>. I am very grateful to our reviewers and authors for the trust and support given to our initiative</w:t>
      </w:r>
      <w:r>
        <w:rPr>
          <w:rFonts w:ascii="Times New Roman" w:hAnsi="Times New Roman" w:cs="Times New Roman"/>
          <w:sz w:val="24"/>
        </w:rPr>
        <w:t>.</w:t>
      </w:r>
    </w:p>
    <w:p w:rsidR="003731BF" w:rsidRDefault="003731BF" w:rsidP="003731BF">
      <w:pPr>
        <w:ind w:firstLine="142"/>
        <w:jc w:val="both"/>
        <w:rPr>
          <w:rFonts w:ascii="Times New Roman" w:hAnsi="Times New Roman" w:cs="Times New Roman"/>
          <w:sz w:val="24"/>
        </w:rPr>
      </w:pPr>
      <w:r w:rsidRPr="004669DC">
        <w:rPr>
          <w:rFonts w:ascii="Times New Roman" w:hAnsi="Times New Roman" w:cs="Times New Roman"/>
          <w:sz w:val="24"/>
        </w:rPr>
        <w:t>We are delighted to have had the opportunity to talk with Prof. Chris Stringer (Natural History Museum, London). In his insightful conversation with our team member Hannah Ryan (Oxford), he explores how important is for disciplines such as archaeology and anthropology to communicate to prospective students about what insights they can offer. He discusses in our interview the importance of new fieldwork for palaeoanthropology, and archaeology in general, given the gaps existing in our knowledge base, but also how paramount it is to continue revisiting new collections through new interpretive lenses and techniques. He argues that scientists should communicate “beyond a purely academic audience”, and concludes by encouraging undergraduates and students in general to “get their formatives ideas out there”, but warns them to be ready for critiques, while also keeping an eye on networking with peers. “</w:t>
      </w:r>
      <w:r w:rsidRPr="004669DC">
        <w:rPr>
          <w:rFonts w:ascii="Times New Roman" w:eastAsia="Times New Roman" w:hAnsi="Times New Roman" w:cs="Times New Roman"/>
          <w:color w:val="000000" w:themeColor="text1"/>
          <w:sz w:val="24"/>
        </w:rPr>
        <w:t xml:space="preserve">Because we are human beings, it’s sometimes hard to admit that we might have got it wrong, but as scientists it’s our duty to do so!”. </w:t>
      </w:r>
      <w:r w:rsidRPr="004669DC">
        <w:rPr>
          <w:rFonts w:ascii="Times New Roman" w:hAnsi="Times New Roman" w:cs="Times New Roman"/>
          <w:sz w:val="24"/>
        </w:rPr>
        <w:t>We wholeheartedly thank Prof. Chris Stringer and his team for their time and attention.</w:t>
      </w:r>
    </w:p>
    <w:p w:rsidR="003731BF" w:rsidRDefault="003731BF" w:rsidP="003731BF">
      <w:pPr>
        <w:ind w:firstLine="142"/>
        <w:jc w:val="both"/>
        <w:rPr>
          <w:rFonts w:ascii="Times New Roman" w:hAnsi="Times New Roman" w:cs="Times New Roman"/>
          <w:sz w:val="24"/>
        </w:rPr>
      </w:pPr>
      <w:r w:rsidRPr="004669DC">
        <w:rPr>
          <w:rFonts w:ascii="Times New Roman" w:hAnsi="Times New Roman" w:cs="Times New Roman"/>
          <w:sz w:val="24"/>
        </w:rPr>
        <w:t xml:space="preserve">Archaeology is discipline based on a practical mode of enquiry. The teaching of archaeology in academic settings sometimes favours theoretical education over learning how to conduct fieldwork, despite the paramount importance of this skill for the professional development of archaeology graduates. Jane Fyfe, Sean Winter (University of Western Australia), and Ashleigh </w:t>
      </w:r>
      <w:proofErr w:type="spellStart"/>
      <w:r w:rsidRPr="004669DC">
        <w:rPr>
          <w:rFonts w:ascii="Times New Roman" w:hAnsi="Times New Roman" w:cs="Times New Roman"/>
          <w:sz w:val="24"/>
        </w:rPr>
        <w:t>Murszewski</w:t>
      </w:r>
      <w:proofErr w:type="spellEnd"/>
      <w:r w:rsidRPr="004669DC">
        <w:rPr>
          <w:rFonts w:ascii="Times New Roman" w:hAnsi="Times New Roman" w:cs="Times New Roman"/>
          <w:sz w:val="24"/>
        </w:rPr>
        <w:t xml:space="preserve"> (</w:t>
      </w:r>
      <w:proofErr w:type="spellStart"/>
      <w:r w:rsidRPr="004669DC">
        <w:rPr>
          <w:rFonts w:ascii="Times New Roman" w:hAnsi="Times New Roman" w:cs="Times New Roman"/>
          <w:sz w:val="24"/>
        </w:rPr>
        <w:t>LaTrobe</w:t>
      </w:r>
      <w:proofErr w:type="spellEnd"/>
      <w:r w:rsidRPr="004669DC">
        <w:rPr>
          <w:rFonts w:ascii="Times New Roman" w:hAnsi="Times New Roman" w:cs="Times New Roman"/>
          <w:sz w:val="24"/>
        </w:rPr>
        <w:t xml:space="preserve"> University) present in their paper how undergraduate and postgraduate students themselves, by means of their local archaeology societies, could attempt to overcome these educational limitations themselves. They describe the opportunities and challenges -particularly post-fieldwork report writing- for supervised and structured fieldwork </w:t>
      </w:r>
      <w:r w:rsidRPr="004669DC">
        <w:rPr>
          <w:rFonts w:ascii="Times New Roman" w:hAnsi="Times New Roman" w:cs="Times New Roman"/>
          <w:sz w:val="24"/>
        </w:rPr>
        <w:lastRenderedPageBreak/>
        <w:t>they faced as part of the design and implementation of their initiative at the Archaeological Society of Western Australia. Within the constraints of regional legislations, and together with the ethical and regulatory issues associated with working on Indigenous sites, I believe that Archaeological Societies at Universities across the world have the potential to consider this model and learn from their experiences, which included the active engagement of students in contemporary and community archaeology projects, or supervised laboratory work.</w:t>
      </w:r>
    </w:p>
    <w:p w:rsidR="003731BF" w:rsidRPr="004669DC" w:rsidRDefault="003731BF" w:rsidP="003731BF">
      <w:pPr>
        <w:ind w:firstLine="142"/>
        <w:jc w:val="both"/>
        <w:rPr>
          <w:rFonts w:ascii="Times New Roman" w:hAnsi="Times New Roman" w:cs="Times New Roman"/>
          <w:sz w:val="24"/>
        </w:rPr>
      </w:pPr>
      <w:r>
        <w:rPr>
          <w:rFonts w:ascii="Times New Roman" w:hAnsi="Times New Roman" w:cs="Times New Roman"/>
          <w:sz w:val="24"/>
        </w:rPr>
        <w:t>Indeed, o</w:t>
      </w:r>
      <w:r w:rsidRPr="004669DC">
        <w:rPr>
          <w:rFonts w:ascii="Times New Roman" w:hAnsi="Times New Roman" w:cs="Times New Roman"/>
          <w:sz w:val="24"/>
        </w:rPr>
        <w:t xml:space="preserve">riginal fieldwork is a key source of information for archaeological interpretation, and provides an opportunity for students to develop crucial research insights about the processes involved in archaeological thinking through practice. At the same time, it is an irreversible process, and must be carried out carefully, recording thoroughly as many details as possible. Tim </w:t>
      </w:r>
      <w:proofErr w:type="spellStart"/>
      <w:r w:rsidRPr="004669DC">
        <w:rPr>
          <w:rFonts w:ascii="Times New Roman" w:hAnsi="Times New Roman" w:cs="Times New Roman"/>
          <w:sz w:val="24"/>
        </w:rPr>
        <w:t>Forssman</w:t>
      </w:r>
      <w:proofErr w:type="spellEnd"/>
      <w:r w:rsidRPr="004669DC">
        <w:rPr>
          <w:rFonts w:ascii="Times New Roman" w:hAnsi="Times New Roman" w:cs="Times New Roman"/>
          <w:sz w:val="24"/>
        </w:rPr>
        <w:t xml:space="preserve"> (University of the Witwatersrand) describes the occupation sequence of the Late Holocene site of </w:t>
      </w:r>
      <w:proofErr w:type="spellStart"/>
      <w:r w:rsidRPr="004669DC">
        <w:rPr>
          <w:rFonts w:ascii="Times New Roman" w:hAnsi="Times New Roman" w:cs="Times New Roman"/>
          <w:sz w:val="24"/>
        </w:rPr>
        <w:t>Mafunyane</w:t>
      </w:r>
      <w:proofErr w:type="spellEnd"/>
      <w:r w:rsidRPr="004669DC">
        <w:rPr>
          <w:rFonts w:ascii="Times New Roman" w:hAnsi="Times New Roman" w:cs="Times New Roman"/>
          <w:sz w:val="24"/>
        </w:rPr>
        <w:t xml:space="preserve"> Shelter, Eastern Botswana, and interprets the diversity of the assemblage, which includes stone tools, beads, animal remains, metal finds, and ceramics, as evidencing interactions between farming and forager communities in the Limpopo basin. The assessment of this hypothesis is carried out by means of the study of site utilisation patterns through spatial analysis. The paper also presents a revised chronological sequence of the site. At </w:t>
      </w:r>
      <w:r w:rsidRPr="004669DC">
        <w:rPr>
          <w:rFonts w:ascii="Times New Roman" w:hAnsi="Times New Roman" w:cs="Times New Roman"/>
          <w:i/>
          <w:sz w:val="24"/>
        </w:rPr>
        <w:t>IJSRA</w:t>
      </w:r>
      <w:r w:rsidRPr="004669DC">
        <w:rPr>
          <w:rFonts w:ascii="Times New Roman" w:hAnsi="Times New Roman" w:cs="Times New Roman"/>
          <w:sz w:val="24"/>
        </w:rPr>
        <w:t xml:space="preserve"> we are looking forward to featuring more original research in archaeology from all over the world. </w:t>
      </w:r>
    </w:p>
    <w:p w:rsidR="003731BF" w:rsidRPr="004669DC" w:rsidRDefault="003731BF" w:rsidP="003731BF">
      <w:pPr>
        <w:ind w:firstLine="142"/>
        <w:jc w:val="both"/>
        <w:rPr>
          <w:rFonts w:ascii="Times New Roman" w:hAnsi="Times New Roman" w:cs="Times New Roman"/>
          <w:sz w:val="24"/>
        </w:rPr>
      </w:pPr>
      <w:r>
        <w:rPr>
          <w:rFonts w:ascii="Times New Roman" w:hAnsi="Times New Roman" w:cs="Times New Roman"/>
          <w:sz w:val="24"/>
        </w:rPr>
        <w:t>A</w:t>
      </w:r>
      <w:r w:rsidRPr="004669DC">
        <w:rPr>
          <w:rFonts w:ascii="Times New Roman" w:hAnsi="Times New Roman" w:cs="Times New Roman"/>
          <w:sz w:val="24"/>
        </w:rPr>
        <w:t xml:space="preserve">rchaeological research and historical accounts offer insights into how our attitudes towards fundamental dimensions of human experience are plural and changing through time. Alba Pereda (University of Cambridge) combines material and documentary evidence to explore how the intersections between health and religion were perceived, instituted, and experienced in medieval England. The three case studies considered are fundamental sites for understanding the socio-economic role of medieval hospitals: St Leonard’s Hospital (York), one of the largest and wealthiest medieval hospitals in northern England; St Bartholomew’s Hospital (London) the oldest standing hospital in England; and St Mary </w:t>
      </w:r>
      <w:proofErr w:type="spellStart"/>
      <w:r w:rsidRPr="004669DC">
        <w:rPr>
          <w:rFonts w:ascii="Times New Roman" w:hAnsi="Times New Roman" w:cs="Times New Roman"/>
          <w:sz w:val="24"/>
        </w:rPr>
        <w:t>Spital</w:t>
      </w:r>
      <w:proofErr w:type="spellEnd"/>
      <w:r w:rsidRPr="004669DC">
        <w:rPr>
          <w:rFonts w:ascii="Times New Roman" w:hAnsi="Times New Roman" w:cs="Times New Roman"/>
          <w:sz w:val="24"/>
        </w:rPr>
        <w:t xml:space="preserve"> (London), one of the best-excavated ones. She argues that medieval hospitals were predominantly religious institutions associated with a church and the clergy, and healing had somatic and spiritual dimensions. Thus, medicine and worship shared the same rationality as part of a </w:t>
      </w:r>
      <w:r w:rsidR="006E26C8">
        <w:rPr>
          <w:rFonts w:ascii="Times New Roman" w:hAnsi="Times New Roman" w:cs="Times New Roman"/>
          <w:sz w:val="24"/>
        </w:rPr>
        <w:t>common</w:t>
      </w:r>
      <w:r w:rsidRPr="004669DC">
        <w:rPr>
          <w:rFonts w:ascii="Times New Roman" w:hAnsi="Times New Roman" w:cs="Times New Roman"/>
          <w:sz w:val="24"/>
        </w:rPr>
        <w:t xml:space="preserve"> explanatory framework of reality.</w:t>
      </w:r>
    </w:p>
    <w:p w:rsidR="003731BF" w:rsidRPr="004669DC" w:rsidRDefault="006E26C8" w:rsidP="003731BF">
      <w:pPr>
        <w:ind w:firstLine="142"/>
        <w:jc w:val="both"/>
        <w:rPr>
          <w:rFonts w:ascii="Times New Roman" w:hAnsi="Times New Roman" w:cs="Times New Roman"/>
          <w:sz w:val="24"/>
        </w:rPr>
      </w:pPr>
      <w:r>
        <w:rPr>
          <w:rFonts w:ascii="Times New Roman" w:hAnsi="Times New Roman" w:cs="Times New Roman"/>
          <w:sz w:val="24"/>
        </w:rPr>
        <w:t>Archaeological remains can help create and consolidate these shared cognitive frameworks, and c</w:t>
      </w:r>
      <w:r w:rsidR="003731BF" w:rsidRPr="004669DC">
        <w:rPr>
          <w:rFonts w:ascii="Times New Roman" w:hAnsi="Times New Roman" w:cs="Times New Roman"/>
          <w:sz w:val="24"/>
        </w:rPr>
        <w:t>oins</w:t>
      </w:r>
      <w:r>
        <w:rPr>
          <w:rFonts w:ascii="Times New Roman" w:hAnsi="Times New Roman" w:cs="Times New Roman"/>
          <w:sz w:val="24"/>
        </w:rPr>
        <w:t>, for example, are particularly effective for</w:t>
      </w:r>
      <w:r w:rsidR="003731BF" w:rsidRPr="004669DC">
        <w:rPr>
          <w:rFonts w:ascii="Times New Roman" w:hAnsi="Times New Roman" w:cs="Times New Roman"/>
          <w:sz w:val="24"/>
        </w:rPr>
        <w:t xml:space="preserve"> convey</w:t>
      </w:r>
      <w:r>
        <w:rPr>
          <w:rFonts w:ascii="Times New Roman" w:hAnsi="Times New Roman" w:cs="Times New Roman"/>
          <w:sz w:val="24"/>
        </w:rPr>
        <w:t>ing</w:t>
      </w:r>
      <w:r w:rsidR="003731BF" w:rsidRPr="004669DC">
        <w:rPr>
          <w:rFonts w:ascii="Times New Roman" w:hAnsi="Times New Roman" w:cs="Times New Roman"/>
          <w:sz w:val="24"/>
        </w:rPr>
        <w:t xml:space="preserve"> powerful ideological messages. Numismatic analyses need to consider the historical and cultural contexts in which these material currencies are developed. Rahul Raza (University of Oxford) argues that elephant imagery was invoked as an ideological representation of royal power in Bactria and India during the Hellenistic period. These kingdoms experienced the confluence of multiple conceptualisations of </w:t>
      </w:r>
      <w:proofErr w:type="spellStart"/>
      <w:r w:rsidR="003731BF" w:rsidRPr="004669DC">
        <w:rPr>
          <w:rFonts w:ascii="Times New Roman" w:hAnsi="Times New Roman" w:cs="Times New Roman"/>
          <w:sz w:val="24"/>
        </w:rPr>
        <w:t>rulership</w:t>
      </w:r>
      <w:proofErr w:type="spellEnd"/>
      <w:r w:rsidR="003731BF" w:rsidRPr="004669DC">
        <w:rPr>
          <w:rFonts w:ascii="Times New Roman" w:hAnsi="Times New Roman" w:cs="Times New Roman"/>
          <w:sz w:val="24"/>
        </w:rPr>
        <w:t xml:space="preserve">, and had to device suitable platforms through which their message could reach the multiplicity of ethnic groups and social classes that composed their populations. He further argues how important it is for researchers to challenge the pervasive interpretive bias to overemphasise Hellenistic cultural practices, in the consolidation of the meaning and function of iconographic representations in these coins; local ruling traditions need to be taken more into account. Coinage, as an invaluable source of information, provides insights into the representations of the legitimising efforts of kings and elites to justify and preserve their privileged position of control and domination. </w:t>
      </w:r>
    </w:p>
    <w:p w:rsidR="003731BF" w:rsidRPr="004669DC" w:rsidRDefault="006E26C8" w:rsidP="003731BF">
      <w:pPr>
        <w:ind w:firstLine="142"/>
        <w:jc w:val="both"/>
        <w:rPr>
          <w:rFonts w:ascii="Times New Roman" w:hAnsi="Times New Roman" w:cs="Times New Roman"/>
          <w:sz w:val="24"/>
        </w:rPr>
      </w:pPr>
      <w:r>
        <w:rPr>
          <w:rFonts w:ascii="Times New Roman" w:hAnsi="Times New Roman" w:cs="Times New Roman"/>
          <w:sz w:val="24"/>
        </w:rPr>
        <w:lastRenderedPageBreak/>
        <w:t xml:space="preserve">The intersection between politics and heritage is therefore paramount. </w:t>
      </w:r>
      <w:r w:rsidR="003731BF" w:rsidRPr="004669DC">
        <w:rPr>
          <w:rFonts w:ascii="Times New Roman" w:hAnsi="Times New Roman" w:cs="Times New Roman"/>
          <w:sz w:val="24"/>
        </w:rPr>
        <w:t xml:space="preserve">The interpretation and perception of the past is intrinsically linked with its conceptualisation in the present. National legislations form a corpus which embody the different public perceptions and definitions of what constitutes heritage. Rob </w:t>
      </w:r>
      <w:proofErr w:type="spellStart"/>
      <w:r w:rsidR="003731BF" w:rsidRPr="004669DC">
        <w:rPr>
          <w:rFonts w:ascii="Times New Roman" w:hAnsi="Times New Roman" w:cs="Times New Roman"/>
          <w:sz w:val="24"/>
        </w:rPr>
        <w:t>Rownd</w:t>
      </w:r>
      <w:proofErr w:type="spellEnd"/>
      <w:r w:rsidR="003731BF" w:rsidRPr="004669DC">
        <w:rPr>
          <w:rFonts w:ascii="Times New Roman" w:hAnsi="Times New Roman" w:cs="Times New Roman"/>
          <w:sz w:val="24"/>
        </w:rPr>
        <w:t xml:space="preserve"> (University of the Philippines) comparatively explores how prehistoric archaeological heritage is portrayed in the Republic of the Philippines’</w:t>
      </w:r>
      <w:r w:rsidR="003731BF" w:rsidRPr="004669DC">
        <w:rPr>
          <w:rFonts w:ascii="Times New Roman" w:hAnsi="Times New Roman" w:cs="Times New Roman"/>
          <w:i/>
          <w:sz w:val="24"/>
        </w:rPr>
        <w:t xml:space="preserve"> National Cultural Heritage Act of 2009</w:t>
      </w:r>
      <w:r w:rsidR="003731BF" w:rsidRPr="004669DC">
        <w:rPr>
          <w:rFonts w:ascii="Times New Roman" w:hAnsi="Times New Roman" w:cs="Times New Roman"/>
          <w:sz w:val="24"/>
        </w:rPr>
        <w:t xml:space="preserve"> and the Council of Europe’s Treaty of Valetta, formally the 1992 </w:t>
      </w:r>
      <w:r w:rsidR="003731BF" w:rsidRPr="004669DC">
        <w:rPr>
          <w:rFonts w:ascii="Times New Roman" w:hAnsi="Times New Roman" w:cs="Times New Roman"/>
          <w:i/>
          <w:sz w:val="24"/>
        </w:rPr>
        <w:t>Convention on the Protection of Archaeological Heritage</w:t>
      </w:r>
      <w:r w:rsidR="003731BF" w:rsidRPr="004669DC">
        <w:rPr>
          <w:rFonts w:ascii="Times New Roman" w:hAnsi="Times New Roman" w:cs="Times New Roman"/>
          <w:sz w:val="24"/>
        </w:rPr>
        <w:t>. Nonetheless, the author argues that heritage law is most effectively implemented following the boundaries of cultural landscapes, rather than through the frontiers of nation-states. The development of shared set of standards and expectations through region-wide policies, and particularly the universal definitions of supranational organisations such as UNESCO, ought to consider the diversity and the particularities of local experiences.</w:t>
      </w:r>
    </w:p>
    <w:p w:rsidR="003731BF" w:rsidRPr="004669DC" w:rsidRDefault="003731BF" w:rsidP="003731BF">
      <w:pPr>
        <w:ind w:firstLine="142"/>
        <w:jc w:val="both"/>
        <w:rPr>
          <w:rFonts w:ascii="Times New Roman" w:hAnsi="Times New Roman" w:cs="Times New Roman"/>
          <w:sz w:val="24"/>
        </w:rPr>
      </w:pPr>
      <w:r>
        <w:rPr>
          <w:rFonts w:ascii="Times New Roman" w:hAnsi="Times New Roman" w:cs="Times New Roman"/>
          <w:sz w:val="24"/>
        </w:rPr>
        <w:t>At the same time, t</w:t>
      </w:r>
      <w:r w:rsidRPr="004669DC">
        <w:rPr>
          <w:rFonts w:ascii="Times New Roman" w:hAnsi="Times New Roman" w:cs="Times New Roman"/>
          <w:sz w:val="24"/>
        </w:rPr>
        <w:t>he macro-scale nature of analysis based on processing large databases can provide interesting trends and patterns that may not be easily perceived from individual assemblages</w:t>
      </w:r>
      <w:r w:rsidR="005D5B53">
        <w:rPr>
          <w:rFonts w:ascii="Times New Roman" w:hAnsi="Times New Roman" w:cs="Times New Roman"/>
          <w:sz w:val="24"/>
        </w:rPr>
        <w:t xml:space="preserve"> or case-studies. </w:t>
      </w:r>
      <w:r w:rsidRPr="004669DC">
        <w:rPr>
          <w:rFonts w:ascii="Times New Roman" w:hAnsi="Times New Roman" w:cs="Times New Roman"/>
          <w:sz w:val="24"/>
        </w:rPr>
        <w:t xml:space="preserve">Dylan Davis (SUNY Binghamton) revisits </w:t>
      </w:r>
      <w:r w:rsidRPr="004669DC">
        <w:rPr>
          <w:rFonts w:ascii="Times New Roman" w:hAnsi="Times New Roman" w:cs="Times New Roman"/>
          <w:i/>
          <w:sz w:val="24"/>
        </w:rPr>
        <w:t>Games in Culture</w:t>
      </w:r>
      <w:r w:rsidRPr="004669DC">
        <w:rPr>
          <w:rFonts w:ascii="Times New Roman" w:hAnsi="Times New Roman" w:cs="Times New Roman"/>
          <w:sz w:val="24"/>
        </w:rPr>
        <w:t xml:space="preserve"> by combining Big Data and worldwide evidence of chance games, thus offering interesting perspectives about cross-cultural dimensions of the histories of social engagements with the materiality of chance and fortune, and their association with morality, religiosity, and belief systems.</w:t>
      </w:r>
      <w:r w:rsidR="005D5B53">
        <w:rPr>
          <w:rFonts w:ascii="Times New Roman" w:hAnsi="Times New Roman" w:cs="Times New Roman"/>
          <w:sz w:val="24"/>
        </w:rPr>
        <w:t xml:space="preserve"> </w:t>
      </w:r>
      <w:r w:rsidR="005D5B53">
        <w:rPr>
          <w:rFonts w:ascii="Times New Roman" w:hAnsi="Times New Roman" w:cs="Times New Roman"/>
          <w:sz w:val="24"/>
        </w:rPr>
        <w:t>T</w:t>
      </w:r>
      <w:r w:rsidR="005D5B53" w:rsidRPr="004669DC">
        <w:rPr>
          <w:rFonts w:ascii="Times New Roman" w:hAnsi="Times New Roman" w:cs="Times New Roman"/>
          <w:sz w:val="24"/>
        </w:rPr>
        <w:t>he incorporation of ethnographic research and anthropological insights has the potential to help us better understand the nature and the diversity of archaeological remains and past human experiences.</w:t>
      </w:r>
    </w:p>
    <w:p w:rsidR="003731BF" w:rsidRPr="00D564A9" w:rsidRDefault="00D564A9" w:rsidP="003731BF">
      <w:pPr>
        <w:ind w:firstLine="142"/>
        <w:jc w:val="both"/>
        <w:rPr>
          <w:rFonts w:ascii="Times New Roman" w:hAnsi="Times New Roman" w:cs="Times New Roman"/>
          <w:b/>
          <w:sz w:val="24"/>
        </w:rPr>
      </w:pPr>
      <w:r w:rsidRPr="00D564A9">
        <w:rPr>
          <w:rFonts w:ascii="Times New Roman" w:hAnsi="Times New Roman" w:cs="Times New Roman"/>
          <w:b/>
          <w:sz w:val="24"/>
        </w:rPr>
        <w:t>Literature Review</w:t>
      </w:r>
    </w:p>
    <w:p w:rsidR="002A7A13" w:rsidRDefault="005D5B53" w:rsidP="003731BF">
      <w:pPr>
        <w:ind w:firstLine="142"/>
        <w:jc w:val="both"/>
        <w:rPr>
          <w:rFonts w:ascii="Times New Roman" w:hAnsi="Times New Roman" w:cs="Times New Roman"/>
          <w:sz w:val="24"/>
        </w:rPr>
      </w:pPr>
      <w:r>
        <w:rPr>
          <w:rFonts w:ascii="Times New Roman" w:hAnsi="Times New Roman" w:cs="Times New Roman"/>
          <w:sz w:val="24"/>
        </w:rPr>
        <w:t>A</w:t>
      </w:r>
      <w:r w:rsidR="002A7A13" w:rsidRPr="004669DC">
        <w:rPr>
          <w:rFonts w:ascii="Times New Roman" w:hAnsi="Times New Roman" w:cs="Times New Roman"/>
          <w:sz w:val="24"/>
        </w:rPr>
        <w:t xml:space="preserve"> fundamental dimension of the research process is to critically assess the literature published about any given topic. Sarah Gyngell </w:t>
      </w:r>
      <w:r w:rsidR="004D4F89" w:rsidRPr="004669DC">
        <w:rPr>
          <w:rFonts w:ascii="Times New Roman" w:hAnsi="Times New Roman" w:cs="Times New Roman"/>
          <w:sz w:val="24"/>
        </w:rPr>
        <w:t>(</w:t>
      </w:r>
      <w:r w:rsidR="002A7A13" w:rsidRPr="004669DC">
        <w:rPr>
          <w:rFonts w:ascii="Times New Roman" w:hAnsi="Times New Roman" w:cs="Times New Roman"/>
          <w:sz w:val="24"/>
        </w:rPr>
        <w:t>Sydney</w:t>
      </w:r>
      <w:r w:rsidR="004D4F89" w:rsidRPr="004669DC">
        <w:rPr>
          <w:rFonts w:ascii="Times New Roman" w:hAnsi="Times New Roman" w:cs="Times New Roman"/>
          <w:sz w:val="24"/>
        </w:rPr>
        <w:t xml:space="preserve"> University</w:t>
      </w:r>
      <w:r w:rsidR="002A7A13" w:rsidRPr="004669DC">
        <w:rPr>
          <w:rFonts w:ascii="Times New Roman" w:hAnsi="Times New Roman" w:cs="Times New Roman"/>
          <w:sz w:val="24"/>
        </w:rPr>
        <w:t xml:space="preserve">) reviews the debate around the notion of sedentism of Natufian communities in the Levant on the basis of the available material culture of housing and economic practices. The contributions of different authors to our understanding of the nature of the transition process from nomadic to sedentary evidence the existence of a whole mobility spectrum, with different levels of settlement permanence. Sarah suggests that the publications by authors such as Edwards and </w:t>
      </w:r>
      <w:proofErr w:type="spellStart"/>
      <w:r w:rsidR="002A7A13" w:rsidRPr="004669DC">
        <w:rPr>
          <w:rFonts w:ascii="Times New Roman" w:hAnsi="Times New Roman" w:cs="Times New Roman"/>
          <w:sz w:val="24"/>
        </w:rPr>
        <w:t>Shewan</w:t>
      </w:r>
      <w:proofErr w:type="spellEnd"/>
      <w:r w:rsidR="002A7A13" w:rsidRPr="004669DC">
        <w:rPr>
          <w:rFonts w:ascii="Times New Roman" w:hAnsi="Times New Roman" w:cs="Times New Roman"/>
          <w:sz w:val="24"/>
        </w:rPr>
        <w:t xml:space="preserve"> in particular support the conceptualisation of Natufian as relatively mobile communities, in contrast with the predominant position in favour of sedentism present in earlier studies. Sarah argues that an appreciation of the diversity of engagements and strategies of site occupation is fundamental for understanding and successfull</w:t>
      </w:r>
      <w:r w:rsidR="003731BF">
        <w:rPr>
          <w:rFonts w:ascii="Times New Roman" w:hAnsi="Times New Roman" w:cs="Times New Roman"/>
          <w:sz w:val="24"/>
        </w:rPr>
        <w:t>y undertaking further research.</w:t>
      </w:r>
    </w:p>
    <w:p w:rsidR="003731BF" w:rsidRDefault="003731BF" w:rsidP="003731BF">
      <w:pPr>
        <w:ind w:firstLine="142"/>
        <w:jc w:val="both"/>
        <w:rPr>
          <w:rFonts w:ascii="Times New Roman" w:hAnsi="Times New Roman" w:cs="Times New Roman"/>
          <w:sz w:val="24"/>
        </w:rPr>
      </w:pPr>
    </w:p>
    <w:p w:rsidR="003731BF" w:rsidRPr="003731BF" w:rsidRDefault="003731BF" w:rsidP="003731BF">
      <w:pPr>
        <w:ind w:firstLine="142"/>
        <w:jc w:val="both"/>
        <w:rPr>
          <w:rFonts w:ascii="Times New Roman" w:hAnsi="Times New Roman" w:cs="Times New Roman"/>
          <w:b/>
          <w:sz w:val="24"/>
        </w:rPr>
      </w:pPr>
      <w:r w:rsidRPr="003731BF">
        <w:rPr>
          <w:rFonts w:ascii="Times New Roman" w:hAnsi="Times New Roman" w:cs="Times New Roman"/>
          <w:b/>
          <w:sz w:val="24"/>
        </w:rPr>
        <w:t>Conference Reviews</w:t>
      </w:r>
    </w:p>
    <w:p w:rsidR="003731BF" w:rsidRDefault="003731BF" w:rsidP="003731BF">
      <w:pPr>
        <w:ind w:firstLine="142"/>
        <w:jc w:val="both"/>
        <w:rPr>
          <w:rFonts w:ascii="Times New Roman" w:hAnsi="Times New Roman" w:cs="Times New Roman"/>
          <w:sz w:val="24"/>
        </w:rPr>
      </w:pPr>
    </w:p>
    <w:p w:rsidR="003731BF" w:rsidRPr="004669DC" w:rsidRDefault="003731BF" w:rsidP="003731BF">
      <w:pPr>
        <w:ind w:firstLine="142"/>
        <w:jc w:val="both"/>
        <w:rPr>
          <w:rFonts w:ascii="Times New Roman" w:hAnsi="Times New Roman" w:cs="Times New Roman"/>
          <w:sz w:val="24"/>
        </w:rPr>
      </w:pPr>
      <w:r w:rsidRPr="004669DC">
        <w:rPr>
          <w:rFonts w:ascii="Times New Roman" w:hAnsi="Times New Roman" w:cs="Times New Roman"/>
          <w:sz w:val="24"/>
        </w:rPr>
        <w:t>The 2016 edition of the American Association of Physical Anthropologists took place in Atlanta (Georgia, USA)</w:t>
      </w:r>
      <w:r>
        <w:rPr>
          <w:rFonts w:ascii="Times New Roman" w:hAnsi="Times New Roman" w:cs="Times New Roman"/>
          <w:sz w:val="24"/>
        </w:rPr>
        <w:t>, in April 2016</w:t>
      </w:r>
      <w:r w:rsidRPr="004669DC">
        <w:rPr>
          <w:rFonts w:ascii="Times New Roman" w:hAnsi="Times New Roman" w:cs="Times New Roman"/>
          <w:sz w:val="24"/>
        </w:rPr>
        <w:t xml:space="preserve">. Devin Ward (University of Toronto), Michael Rivera &amp; </w:t>
      </w:r>
      <w:proofErr w:type="spellStart"/>
      <w:r w:rsidRPr="004669DC">
        <w:rPr>
          <w:rFonts w:ascii="Times New Roman" w:hAnsi="Times New Roman" w:cs="Times New Roman"/>
          <w:sz w:val="24"/>
        </w:rPr>
        <w:t>Jaap</w:t>
      </w:r>
      <w:proofErr w:type="spellEnd"/>
      <w:r w:rsidRPr="004669DC">
        <w:rPr>
          <w:rFonts w:ascii="Times New Roman" w:hAnsi="Times New Roman" w:cs="Times New Roman"/>
          <w:sz w:val="24"/>
        </w:rPr>
        <w:t xml:space="preserve"> </w:t>
      </w:r>
      <w:proofErr w:type="spellStart"/>
      <w:r w:rsidRPr="004669DC">
        <w:rPr>
          <w:rFonts w:ascii="Times New Roman" w:hAnsi="Times New Roman" w:cs="Times New Roman"/>
          <w:sz w:val="24"/>
        </w:rPr>
        <w:t>Saers</w:t>
      </w:r>
      <w:proofErr w:type="spellEnd"/>
      <w:r w:rsidRPr="004669DC">
        <w:rPr>
          <w:rFonts w:ascii="Times New Roman" w:hAnsi="Times New Roman" w:cs="Times New Roman"/>
          <w:sz w:val="24"/>
        </w:rPr>
        <w:t xml:space="preserve"> (</w:t>
      </w:r>
      <w:r>
        <w:rPr>
          <w:rFonts w:ascii="Times New Roman" w:hAnsi="Times New Roman" w:cs="Times New Roman"/>
          <w:sz w:val="24"/>
        </w:rPr>
        <w:t>University of Cambridge) focus</w:t>
      </w:r>
      <w:r w:rsidRPr="004669DC">
        <w:rPr>
          <w:rFonts w:ascii="Times New Roman" w:hAnsi="Times New Roman" w:cs="Times New Roman"/>
          <w:sz w:val="24"/>
        </w:rPr>
        <w:t xml:space="preserve"> on the student experiences at this large, international forum. Particularly interesting </w:t>
      </w:r>
      <w:r>
        <w:rPr>
          <w:rFonts w:ascii="Times New Roman" w:hAnsi="Times New Roman" w:cs="Times New Roman"/>
          <w:sz w:val="24"/>
        </w:rPr>
        <w:t>we</w:t>
      </w:r>
      <w:r w:rsidRPr="004669DC">
        <w:rPr>
          <w:rFonts w:ascii="Times New Roman" w:hAnsi="Times New Roman" w:cs="Times New Roman"/>
          <w:sz w:val="24"/>
        </w:rPr>
        <w:t xml:space="preserve">re the </w:t>
      </w:r>
      <w:r w:rsidRPr="004669DC">
        <w:rPr>
          <w:rFonts w:ascii="Times New Roman" w:hAnsi="Times New Roman" w:cs="Times New Roman"/>
          <w:i/>
          <w:sz w:val="24"/>
        </w:rPr>
        <w:t>Undergraduate Research Symposium</w:t>
      </w:r>
      <w:r w:rsidRPr="004669DC">
        <w:rPr>
          <w:rFonts w:ascii="Times New Roman" w:hAnsi="Times New Roman" w:cs="Times New Roman"/>
          <w:sz w:val="24"/>
        </w:rPr>
        <w:t xml:space="preserve"> (URS) and the multiple student prizes awarded, which encourage student participation and engagement in the presentation of research at the AAPA Conference. Furthermore, they highlight how live-tweeting of presentations created many positive interactions and lively </w:t>
      </w:r>
      <w:r w:rsidRPr="004669DC">
        <w:rPr>
          <w:rFonts w:ascii="Times New Roman" w:hAnsi="Times New Roman" w:cs="Times New Roman"/>
          <w:sz w:val="24"/>
        </w:rPr>
        <w:lastRenderedPageBreak/>
        <w:t xml:space="preserve">discussions beyond the realm of the Conference. In my opinion, this opening up of the Conference spaces to much wider audiences through social media seems to be one suitable channel for broadening public engagement with research-based disciplines. Besides, they note how important is the acknowledgement in such a forum of issues such as sexual harassment in academia, in order to devise strategies to tackle them </w:t>
      </w:r>
      <w:r>
        <w:rPr>
          <w:rFonts w:ascii="Times New Roman" w:hAnsi="Times New Roman" w:cs="Times New Roman"/>
          <w:sz w:val="24"/>
        </w:rPr>
        <w:t xml:space="preserve">more </w:t>
      </w:r>
      <w:r w:rsidRPr="004669DC">
        <w:rPr>
          <w:rFonts w:ascii="Times New Roman" w:hAnsi="Times New Roman" w:cs="Times New Roman"/>
          <w:sz w:val="24"/>
        </w:rPr>
        <w:t>effectively. It is paramount that AAPA and other international public forums continue to support and encourage student participation.</w:t>
      </w:r>
    </w:p>
    <w:p w:rsidR="003731BF" w:rsidRPr="004669DC" w:rsidRDefault="003731BF" w:rsidP="003731BF">
      <w:pPr>
        <w:ind w:firstLine="142"/>
        <w:jc w:val="both"/>
        <w:rPr>
          <w:rFonts w:ascii="Times New Roman" w:hAnsi="Times New Roman" w:cs="Times New Roman"/>
          <w:sz w:val="24"/>
        </w:rPr>
      </w:pPr>
      <w:r w:rsidRPr="004669DC">
        <w:rPr>
          <w:rFonts w:ascii="Times New Roman" w:hAnsi="Times New Roman" w:cs="Times New Roman"/>
          <w:sz w:val="24"/>
        </w:rPr>
        <w:t>For the past three years, the Centre for the Study of the Near East and Late Antiquity (</w:t>
      </w:r>
      <w:r w:rsidRPr="004669DC">
        <w:rPr>
          <w:rFonts w:ascii="Times New Roman" w:hAnsi="Times New Roman" w:cs="Times New Roman"/>
          <w:i/>
          <w:sz w:val="24"/>
        </w:rPr>
        <w:t>CEPOAT</w:t>
      </w:r>
      <w:r w:rsidRPr="004669DC">
        <w:rPr>
          <w:rFonts w:ascii="Times New Roman" w:hAnsi="Times New Roman" w:cs="Times New Roman"/>
          <w:sz w:val="24"/>
        </w:rPr>
        <w:t xml:space="preserve">) has been organising the </w:t>
      </w:r>
      <w:r w:rsidRPr="004669DC">
        <w:rPr>
          <w:rFonts w:ascii="Times New Roman" w:hAnsi="Times New Roman" w:cs="Times New Roman"/>
          <w:i/>
          <w:sz w:val="24"/>
        </w:rPr>
        <w:t>International Congress of Young Researchers of the Ancient World</w:t>
      </w:r>
      <w:r w:rsidRPr="004669DC">
        <w:rPr>
          <w:rFonts w:ascii="Times New Roman" w:hAnsi="Times New Roman" w:cs="Times New Roman"/>
          <w:sz w:val="24"/>
        </w:rPr>
        <w:t xml:space="preserve"> (</w:t>
      </w:r>
      <w:r w:rsidRPr="004669DC">
        <w:rPr>
          <w:rFonts w:ascii="Times New Roman" w:hAnsi="Times New Roman" w:cs="Times New Roman"/>
          <w:i/>
          <w:sz w:val="24"/>
        </w:rPr>
        <w:t>CIJIMA</w:t>
      </w:r>
      <w:r w:rsidRPr="004669DC">
        <w:rPr>
          <w:rFonts w:ascii="Times New Roman" w:hAnsi="Times New Roman" w:cs="Times New Roman"/>
          <w:sz w:val="24"/>
        </w:rPr>
        <w:t xml:space="preserve">) at the University of Murcia (Spain). Consuelo Isabel </w:t>
      </w:r>
      <w:proofErr w:type="spellStart"/>
      <w:r w:rsidRPr="004669DC">
        <w:rPr>
          <w:rFonts w:ascii="Times New Roman" w:hAnsi="Times New Roman" w:cs="Times New Roman"/>
          <w:sz w:val="24"/>
        </w:rPr>
        <w:t>Caravaca</w:t>
      </w:r>
      <w:proofErr w:type="spellEnd"/>
      <w:r w:rsidRPr="004669DC">
        <w:rPr>
          <w:rFonts w:ascii="Times New Roman" w:hAnsi="Times New Roman" w:cs="Times New Roman"/>
          <w:sz w:val="24"/>
        </w:rPr>
        <w:t xml:space="preserve"> Guerrero &amp; </w:t>
      </w:r>
      <w:proofErr w:type="spellStart"/>
      <w:r w:rsidRPr="004669DC">
        <w:rPr>
          <w:rFonts w:ascii="Times New Roman" w:hAnsi="Times New Roman" w:cs="Times New Roman"/>
          <w:sz w:val="24"/>
        </w:rPr>
        <w:t>Dámaris</w:t>
      </w:r>
      <w:proofErr w:type="spellEnd"/>
      <w:r w:rsidRPr="004669DC">
        <w:rPr>
          <w:rFonts w:ascii="Times New Roman" w:hAnsi="Times New Roman" w:cs="Times New Roman"/>
          <w:sz w:val="24"/>
        </w:rPr>
        <w:t xml:space="preserve"> </w:t>
      </w:r>
      <w:proofErr w:type="spellStart"/>
      <w:r w:rsidRPr="004669DC">
        <w:rPr>
          <w:rFonts w:ascii="Times New Roman" w:hAnsi="Times New Roman" w:cs="Times New Roman"/>
          <w:sz w:val="24"/>
        </w:rPr>
        <w:t>López</w:t>
      </w:r>
      <w:proofErr w:type="spellEnd"/>
      <w:r w:rsidRPr="004669DC">
        <w:rPr>
          <w:rFonts w:ascii="Times New Roman" w:hAnsi="Times New Roman" w:cs="Times New Roman"/>
          <w:sz w:val="24"/>
        </w:rPr>
        <w:t xml:space="preserve"> Muñoz (University of Murcia) introduce the III edition of this forum: 125 people were in attendance, and 65 presentations were given over the two-day conference celebrated in April 2016. The Conference was organised around themed series about Egypt, Mesopotamia, Greece, the Iberian Iron Age, and Rome. A cross-cultural theme was the study of gender in the Ancient World. Most presentations were</w:t>
      </w:r>
      <w:r>
        <w:rPr>
          <w:rFonts w:ascii="Times New Roman" w:hAnsi="Times New Roman" w:cs="Times New Roman"/>
          <w:sz w:val="24"/>
        </w:rPr>
        <w:t xml:space="preserve"> given</w:t>
      </w:r>
      <w:r w:rsidRPr="004669DC">
        <w:rPr>
          <w:rFonts w:ascii="Times New Roman" w:hAnsi="Times New Roman" w:cs="Times New Roman"/>
          <w:sz w:val="24"/>
        </w:rPr>
        <w:t xml:space="preserve"> in Spanish, but the organisers are looking forward to featuring even more international presentations in their future editions.</w:t>
      </w:r>
    </w:p>
    <w:p w:rsidR="003731BF" w:rsidRPr="004669DC" w:rsidRDefault="003731BF" w:rsidP="003731BF">
      <w:pPr>
        <w:ind w:firstLine="142"/>
        <w:jc w:val="both"/>
        <w:rPr>
          <w:rFonts w:ascii="Times New Roman" w:hAnsi="Times New Roman" w:cs="Times New Roman"/>
          <w:sz w:val="24"/>
        </w:rPr>
      </w:pPr>
      <w:r w:rsidRPr="004669DC">
        <w:rPr>
          <w:rFonts w:ascii="Times New Roman" w:hAnsi="Times New Roman" w:cs="Times New Roman"/>
          <w:sz w:val="24"/>
        </w:rPr>
        <w:t xml:space="preserve">Sarah </w:t>
      </w:r>
      <w:proofErr w:type="spellStart"/>
      <w:r w:rsidRPr="004669DC">
        <w:rPr>
          <w:rFonts w:ascii="Times New Roman" w:hAnsi="Times New Roman" w:cs="Times New Roman"/>
          <w:sz w:val="24"/>
        </w:rPr>
        <w:t>Scheffler</w:t>
      </w:r>
      <w:proofErr w:type="spellEnd"/>
      <w:r w:rsidRPr="004669DC">
        <w:rPr>
          <w:rFonts w:ascii="Times New Roman" w:hAnsi="Times New Roman" w:cs="Times New Roman"/>
          <w:sz w:val="24"/>
        </w:rPr>
        <w:t>, Andy Lamb, Rachel Wilkinson (University of Leicester) introduce the 19th Iron Age Res</w:t>
      </w:r>
      <w:r>
        <w:rPr>
          <w:rFonts w:ascii="Times New Roman" w:hAnsi="Times New Roman" w:cs="Times New Roman"/>
          <w:sz w:val="24"/>
        </w:rPr>
        <w:t xml:space="preserve">earch Student Symposium (IARSS). It </w:t>
      </w:r>
      <w:r w:rsidRPr="004669DC">
        <w:rPr>
          <w:rFonts w:ascii="Times New Roman" w:hAnsi="Times New Roman" w:cs="Times New Roman"/>
          <w:sz w:val="24"/>
        </w:rPr>
        <w:t xml:space="preserve">was held at the University of Leicester between 19th–21st May 2016, in partnership with the Universities of Nottingham and Birmingham. They note that the IARSS series has become the longest running conference for Iron Age research students in the UK. Nonetheless, this is not incompatible with annual improvement and the addition of new features, and this edition, which gathered 53 delegates, included a program of workshops designed to introduce and develop skill sets fundamental for post-graduate researchers. Furthermore, the 2017 edition will be held at a continental institution. </w:t>
      </w:r>
      <w:r w:rsidRPr="004669DC">
        <w:rPr>
          <w:rFonts w:ascii="Times New Roman" w:hAnsi="Times New Roman" w:cs="Times New Roman"/>
          <w:i/>
          <w:sz w:val="24"/>
        </w:rPr>
        <w:t>IJSRA</w:t>
      </w:r>
      <w:r>
        <w:rPr>
          <w:rFonts w:ascii="Times New Roman" w:hAnsi="Times New Roman" w:cs="Times New Roman"/>
          <w:sz w:val="24"/>
        </w:rPr>
        <w:t xml:space="preserve"> is looking forward to</w:t>
      </w:r>
      <w:r w:rsidRPr="004669DC">
        <w:rPr>
          <w:rFonts w:ascii="Times New Roman" w:hAnsi="Times New Roman" w:cs="Times New Roman"/>
          <w:sz w:val="24"/>
        </w:rPr>
        <w:t xml:space="preserve"> working with</w:t>
      </w:r>
      <w:r>
        <w:rPr>
          <w:rFonts w:ascii="Times New Roman" w:hAnsi="Times New Roman" w:cs="Times New Roman"/>
          <w:sz w:val="24"/>
        </w:rPr>
        <w:t xml:space="preserve"> IARSS in their future editions.</w:t>
      </w:r>
    </w:p>
    <w:p w:rsidR="003731BF" w:rsidRPr="004669DC" w:rsidRDefault="003731BF" w:rsidP="003731BF">
      <w:pPr>
        <w:ind w:firstLine="142"/>
        <w:jc w:val="both"/>
        <w:rPr>
          <w:rFonts w:ascii="Times New Roman" w:hAnsi="Times New Roman" w:cs="Times New Roman"/>
          <w:sz w:val="24"/>
        </w:rPr>
      </w:pPr>
      <w:r w:rsidRPr="004669DC">
        <w:rPr>
          <w:rFonts w:ascii="Times New Roman" w:hAnsi="Times New Roman" w:cs="Times New Roman"/>
          <w:sz w:val="24"/>
        </w:rPr>
        <w:t>Rebekah Hawkins &amp; Francesca McMaster (Universit</w:t>
      </w:r>
      <w:r>
        <w:rPr>
          <w:rFonts w:ascii="Times New Roman" w:hAnsi="Times New Roman" w:cs="Times New Roman"/>
          <w:sz w:val="24"/>
        </w:rPr>
        <w:t>y of Sydney)</w:t>
      </w:r>
      <w:r w:rsidRPr="004669DC">
        <w:rPr>
          <w:rFonts w:ascii="Times New Roman" w:hAnsi="Times New Roman" w:cs="Times New Roman"/>
          <w:sz w:val="24"/>
        </w:rPr>
        <w:t xml:space="preserve"> present a review of the 8</w:t>
      </w:r>
      <w:r w:rsidRPr="004669DC">
        <w:rPr>
          <w:rFonts w:ascii="Times New Roman" w:hAnsi="Times New Roman" w:cs="Times New Roman"/>
          <w:sz w:val="24"/>
          <w:vertAlign w:val="superscript"/>
        </w:rPr>
        <w:t>th</w:t>
      </w:r>
      <w:r w:rsidRPr="004669DC">
        <w:rPr>
          <w:rFonts w:ascii="Times New Roman" w:hAnsi="Times New Roman" w:cs="Times New Roman"/>
          <w:sz w:val="24"/>
        </w:rPr>
        <w:t xml:space="preserve"> edition of the World Archaeological Congress, which was held in the Japanese city of Kyoto, during the 28th August – 2</w:t>
      </w:r>
      <w:r w:rsidRPr="004669DC">
        <w:rPr>
          <w:rFonts w:ascii="Times New Roman" w:hAnsi="Times New Roman" w:cs="Times New Roman"/>
          <w:sz w:val="24"/>
          <w:vertAlign w:val="superscript"/>
        </w:rPr>
        <w:t>nd</w:t>
      </w:r>
      <w:r w:rsidRPr="004669DC">
        <w:rPr>
          <w:rFonts w:ascii="Times New Roman" w:hAnsi="Times New Roman" w:cs="Times New Roman"/>
          <w:sz w:val="24"/>
        </w:rPr>
        <w:t xml:space="preserve"> September 2016. They highlight how WAC President Koji </w:t>
      </w:r>
      <w:proofErr w:type="spellStart"/>
      <w:r w:rsidRPr="004669DC">
        <w:rPr>
          <w:rFonts w:ascii="Times New Roman" w:hAnsi="Times New Roman" w:cs="Times New Roman"/>
          <w:sz w:val="24"/>
        </w:rPr>
        <w:t>Mizoguchi</w:t>
      </w:r>
      <w:proofErr w:type="spellEnd"/>
      <w:r w:rsidRPr="004669DC">
        <w:rPr>
          <w:rFonts w:ascii="Times New Roman" w:hAnsi="Times New Roman" w:cs="Times New Roman"/>
          <w:sz w:val="24"/>
        </w:rPr>
        <w:t xml:space="preserve"> outlined the many barriers that non-English speaking people face when having to convey their presentations in English, sometimes eroding their confidence and research identity, emphasising the plurality of practice of our discipline. WAC </w:t>
      </w:r>
      <w:r>
        <w:rPr>
          <w:rFonts w:ascii="Times New Roman" w:hAnsi="Times New Roman" w:cs="Times New Roman"/>
          <w:sz w:val="24"/>
        </w:rPr>
        <w:t>aims to embody</w:t>
      </w:r>
      <w:r w:rsidRPr="004669DC">
        <w:rPr>
          <w:rFonts w:ascii="Times New Roman" w:hAnsi="Times New Roman" w:cs="Times New Roman"/>
          <w:sz w:val="24"/>
        </w:rPr>
        <w:t xml:space="preserve"> this academic commitment to inclusivity in terms of engagement with archaeology throughout the world, particularly Indigenous people. </w:t>
      </w:r>
      <w:r>
        <w:rPr>
          <w:rFonts w:ascii="Times New Roman" w:hAnsi="Times New Roman" w:cs="Times New Roman"/>
          <w:sz w:val="24"/>
        </w:rPr>
        <w:t xml:space="preserve">The global dimension </w:t>
      </w:r>
      <w:r w:rsidRPr="004669DC">
        <w:rPr>
          <w:rFonts w:ascii="Times New Roman" w:hAnsi="Times New Roman" w:cs="Times New Roman"/>
          <w:sz w:val="24"/>
        </w:rPr>
        <w:t>o</w:t>
      </w:r>
      <w:r>
        <w:rPr>
          <w:rFonts w:ascii="Times New Roman" w:hAnsi="Times New Roman" w:cs="Times New Roman"/>
          <w:sz w:val="24"/>
        </w:rPr>
        <w:t>f research featured prominently, and multiple voices resulted in a somewhat</w:t>
      </w:r>
      <w:r w:rsidRPr="004669DC">
        <w:rPr>
          <w:rFonts w:ascii="Times New Roman" w:hAnsi="Times New Roman" w:cs="Times New Roman"/>
          <w:sz w:val="24"/>
        </w:rPr>
        <w:t xml:space="preserve"> overwhelming number of sessions running at the same time. The next Congress (WAC-9) will take place in Prague, Czech Republic. The idea of a student-led review of WAC-8 was the result of a successful dialogue between </w:t>
      </w:r>
      <w:r w:rsidRPr="003731BF">
        <w:rPr>
          <w:rFonts w:ascii="Times New Roman" w:hAnsi="Times New Roman" w:cs="Times New Roman"/>
          <w:i/>
          <w:sz w:val="24"/>
        </w:rPr>
        <w:t>IJSRA</w:t>
      </w:r>
      <w:r w:rsidRPr="004669DC">
        <w:rPr>
          <w:rFonts w:ascii="Times New Roman" w:hAnsi="Times New Roman" w:cs="Times New Roman"/>
          <w:sz w:val="24"/>
        </w:rPr>
        <w:t xml:space="preserve"> and the WAC Student Committee</w:t>
      </w:r>
      <w:r>
        <w:rPr>
          <w:rFonts w:ascii="Times New Roman" w:hAnsi="Times New Roman" w:cs="Times New Roman"/>
          <w:sz w:val="24"/>
        </w:rPr>
        <w:t>, with whom we are very excited to continue working in the future</w:t>
      </w:r>
      <w:r w:rsidRPr="004669DC">
        <w:rPr>
          <w:rFonts w:ascii="Times New Roman" w:hAnsi="Times New Roman" w:cs="Times New Roman"/>
          <w:sz w:val="24"/>
        </w:rPr>
        <w:t xml:space="preserve">. I would like to thank Jacqueline Matthews, former Vice-Chair of WACSC, for </w:t>
      </w:r>
      <w:r>
        <w:rPr>
          <w:rFonts w:ascii="Times New Roman" w:hAnsi="Times New Roman" w:cs="Times New Roman"/>
          <w:sz w:val="24"/>
        </w:rPr>
        <w:t xml:space="preserve">her encouragement, and for </w:t>
      </w:r>
      <w:r w:rsidRPr="004669DC">
        <w:rPr>
          <w:rFonts w:ascii="Times New Roman" w:hAnsi="Times New Roman" w:cs="Times New Roman"/>
          <w:sz w:val="24"/>
        </w:rPr>
        <w:t xml:space="preserve">considering our </w:t>
      </w:r>
      <w:r>
        <w:rPr>
          <w:rFonts w:ascii="Times New Roman" w:hAnsi="Times New Roman" w:cs="Times New Roman"/>
          <w:sz w:val="24"/>
        </w:rPr>
        <w:t xml:space="preserve">collaboration </w:t>
      </w:r>
      <w:r w:rsidRPr="004669DC">
        <w:rPr>
          <w:rFonts w:ascii="Times New Roman" w:hAnsi="Times New Roman" w:cs="Times New Roman"/>
          <w:sz w:val="24"/>
        </w:rPr>
        <w:t>proposal.</w:t>
      </w:r>
    </w:p>
    <w:p w:rsidR="003731BF" w:rsidRPr="004669DC" w:rsidRDefault="003731BF" w:rsidP="003731BF">
      <w:pPr>
        <w:ind w:firstLine="142"/>
        <w:jc w:val="both"/>
        <w:rPr>
          <w:rFonts w:ascii="Times New Roman" w:hAnsi="Times New Roman" w:cs="Times New Roman"/>
          <w:sz w:val="24"/>
        </w:rPr>
      </w:pPr>
      <w:r w:rsidRPr="004669DC">
        <w:rPr>
          <w:rFonts w:ascii="Times New Roman" w:hAnsi="Times New Roman" w:cs="Times New Roman"/>
          <w:sz w:val="24"/>
        </w:rPr>
        <w:t xml:space="preserve">The seventh edition of the Society for Medieval Archaeology Student Colloquium was held this past November 2016 in Brussels (Belgium), and was organised by </w:t>
      </w:r>
      <w:proofErr w:type="spellStart"/>
      <w:r w:rsidRPr="004669DC">
        <w:rPr>
          <w:rFonts w:ascii="Times New Roman" w:hAnsi="Times New Roman" w:cs="Times New Roman"/>
          <w:sz w:val="24"/>
        </w:rPr>
        <w:t>Marit</w:t>
      </w:r>
      <w:proofErr w:type="spellEnd"/>
      <w:r w:rsidRPr="004669DC">
        <w:rPr>
          <w:rFonts w:ascii="Times New Roman" w:hAnsi="Times New Roman" w:cs="Times New Roman"/>
          <w:sz w:val="24"/>
        </w:rPr>
        <w:t xml:space="preserve"> Van </w:t>
      </w:r>
      <w:proofErr w:type="gramStart"/>
      <w:r w:rsidRPr="004669DC">
        <w:rPr>
          <w:rFonts w:ascii="Times New Roman" w:hAnsi="Times New Roman" w:cs="Times New Roman"/>
          <w:sz w:val="24"/>
        </w:rPr>
        <w:t>Cant</w:t>
      </w:r>
      <w:proofErr w:type="gramEnd"/>
      <w:r w:rsidRPr="004669DC">
        <w:rPr>
          <w:rFonts w:ascii="Times New Roman" w:hAnsi="Times New Roman" w:cs="Times New Roman"/>
          <w:sz w:val="24"/>
        </w:rPr>
        <w:t xml:space="preserve"> (Free University of Brussels/the University of Sheffield). Sarah Kerr details how the SMA established the student colloquium “to create a platform for postgraduate students and early </w:t>
      </w:r>
      <w:r w:rsidRPr="004669DC">
        <w:rPr>
          <w:rFonts w:ascii="Times New Roman" w:hAnsi="Times New Roman" w:cs="Times New Roman"/>
          <w:sz w:val="24"/>
        </w:rPr>
        <w:lastRenderedPageBreak/>
        <w:t>career archaeologists to present their research in a friendly environment, create networks with their peers across Europe, and learn about the wealth of research taking place in medieval archaeology”. The call for a new SMA Student Representative to organise the Colloquium will be opened in early 2017.  From IJSRA, we welcome and endorse these initiatives to showcase student research in any aspect of archaeology, and we are looking forward to engaging in future collaborations with the SMA Student Colloquium.</w:t>
      </w:r>
    </w:p>
    <w:p w:rsidR="008A0D1A" w:rsidRPr="004669DC" w:rsidRDefault="003731BF" w:rsidP="003731BF">
      <w:pPr>
        <w:ind w:firstLine="142"/>
        <w:jc w:val="both"/>
        <w:rPr>
          <w:rFonts w:ascii="Times New Roman" w:hAnsi="Times New Roman" w:cs="Times New Roman"/>
          <w:sz w:val="24"/>
        </w:rPr>
      </w:pPr>
      <w:r>
        <w:rPr>
          <w:rFonts w:ascii="Times New Roman" w:hAnsi="Times New Roman" w:cs="Times New Roman"/>
          <w:sz w:val="24"/>
        </w:rPr>
        <w:t xml:space="preserve">Our own </w:t>
      </w:r>
      <w:r w:rsidR="008A0D1A" w:rsidRPr="004669DC">
        <w:rPr>
          <w:rFonts w:ascii="Times New Roman" w:hAnsi="Times New Roman" w:cs="Times New Roman"/>
          <w:sz w:val="24"/>
        </w:rPr>
        <w:t>Patricia Kenny (University College Dublin) details how the</w:t>
      </w:r>
      <w:r w:rsidR="008A0D1A" w:rsidRPr="004669DC">
        <w:rPr>
          <w:rFonts w:ascii="Times New Roman" w:hAnsi="Times New Roman" w:cs="Times New Roman"/>
          <w:sz w:val="24"/>
          <w:lang w:val="en-IE"/>
        </w:rPr>
        <w:t xml:space="preserve"> Irish Quaternary Association held its autumn symposium in Beggars Bush, Dublin (24</w:t>
      </w:r>
      <w:r w:rsidR="008A0D1A" w:rsidRPr="004669DC">
        <w:rPr>
          <w:rFonts w:ascii="Times New Roman" w:hAnsi="Times New Roman" w:cs="Times New Roman"/>
          <w:sz w:val="24"/>
          <w:vertAlign w:val="superscript"/>
          <w:lang w:val="en-IE"/>
        </w:rPr>
        <w:t>th</w:t>
      </w:r>
      <w:r w:rsidR="008A0D1A" w:rsidRPr="004669DC">
        <w:rPr>
          <w:rFonts w:ascii="Times New Roman" w:hAnsi="Times New Roman" w:cs="Times New Roman"/>
          <w:sz w:val="24"/>
          <w:lang w:val="en-IE"/>
        </w:rPr>
        <w:t xml:space="preserve"> of November 2016). The title of the symposium was “Early Human Occupation of Ireland”, and the speakers covered a variety of topics relating to human occupation of Ireland from the Palaeolithic through to the Neolithic.</w:t>
      </w:r>
    </w:p>
    <w:p w:rsidR="00280486" w:rsidRPr="003731BF" w:rsidRDefault="003731BF" w:rsidP="003731BF">
      <w:pPr>
        <w:ind w:firstLine="142"/>
        <w:jc w:val="both"/>
        <w:rPr>
          <w:rFonts w:ascii="Times New Roman" w:hAnsi="Times New Roman" w:cs="Times New Roman"/>
          <w:b/>
          <w:sz w:val="24"/>
        </w:rPr>
      </w:pPr>
      <w:r w:rsidRPr="003731BF">
        <w:rPr>
          <w:rFonts w:ascii="Times New Roman" w:hAnsi="Times New Roman" w:cs="Times New Roman"/>
          <w:b/>
          <w:sz w:val="24"/>
        </w:rPr>
        <w:t>Book Reviews</w:t>
      </w:r>
    </w:p>
    <w:p w:rsidR="00280486" w:rsidRDefault="00885735" w:rsidP="006E26C8">
      <w:pPr>
        <w:ind w:firstLine="142"/>
        <w:jc w:val="both"/>
        <w:rPr>
          <w:rFonts w:ascii="Times New Roman" w:hAnsi="Times New Roman" w:cs="Times New Roman"/>
          <w:sz w:val="24"/>
        </w:rPr>
      </w:pPr>
      <w:r w:rsidRPr="004669DC">
        <w:rPr>
          <w:rFonts w:ascii="Times New Roman" w:hAnsi="Times New Roman" w:cs="Times New Roman"/>
          <w:sz w:val="24"/>
        </w:rPr>
        <w:t>Critical thinking when reading for assignments is a key dimension of the student learning experience. Offering the possibility of conducting book reviews</w:t>
      </w:r>
      <w:r w:rsidR="00792599" w:rsidRPr="004669DC">
        <w:rPr>
          <w:rFonts w:ascii="Times New Roman" w:hAnsi="Times New Roman" w:cs="Times New Roman"/>
          <w:sz w:val="24"/>
        </w:rPr>
        <w:t xml:space="preserve"> for </w:t>
      </w:r>
      <w:r w:rsidR="00792599" w:rsidRPr="004669DC">
        <w:rPr>
          <w:rFonts w:ascii="Times New Roman" w:hAnsi="Times New Roman" w:cs="Times New Roman"/>
          <w:i/>
          <w:sz w:val="24"/>
        </w:rPr>
        <w:t>IJSRA</w:t>
      </w:r>
      <w:r w:rsidR="00792599" w:rsidRPr="004669DC">
        <w:rPr>
          <w:rFonts w:ascii="Times New Roman" w:hAnsi="Times New Roman" w:cs="Times New Roman"/>
          <w:sz w:val="24"/>
        </w:rPr>
        <w:t xml:space="preserve"> opens up</w:t>
      </w:r>
      <w:r w:rsidRPr="004669DC">
        <w:rPr>
          <w:rFonts w:ascii="Times New Roman" w:hAnsi="Times New Roman" w:cs="Times New Roman"/>
          <w:sz w:val="24"/>
        </w:rPr>
        <w:t xml:space="preserve"> an important platform for encouraging </w:t>
      </w:r>
      <w:r w:rsidR="00792599" w:rsidRPr="004669DC">
        <w:rPr>
          <w:rFonts w:ascii="Times New Roman" w:hAnsi="Times New Roman" w:cs="Times New Roman"/>
          <w:sz w:val="24"/>
        </w:rPr>
        <w:t>students to engage in the</w:t>
      </w:r>
      <w:r w:rsidRPr="004669DC">
        <w:rPr>
          <w:rFonts w:ascii="Times New Roman" w:hAnsi="Times New Roman" w:cs="Times New Roman"/>
          <w:sz w:val="24"/>
        </w:rPr>
        <w:t xml:space="preserve"> exercise of this fundamental personal skill. Michael Rivera (Cambridge) transmits, in his Review of ‘</w:t>
      </w:r>
      <w:r w:rsidRPr="004669DC">
        <w:rPr>
          <w:rFonts w:ascii="Times New Roman" w:hAnsi="Times New Roman" w:cs="Times New Roman"/>
          <w:i/>
          <w:iCs/>
          <w:sz w:val="24"/>
        </w:rPr>
        <w:t>A Companion to Paleopathology’</w:t>
      </w:r>
      <w:r w:rsidRPr="004669DC">
        <w:rPr>
          <w:rFonts w:ascii="Times New Roman" w:hAnsi="Times New Roman" w:cs="Times New Roman"/>
          <w:sz w:val="24"/>
        </w:rPr>
        <w:t xml:space="preserve">, edited in 2012 by Anne </w:t>
      </w:r>
      <w:proofErr w:type="spellStart"/>
      <w:r w:rsidRPr="004669DC">
        <w:rPr>
          <w:rFonts w:ascii="Times New Roman" w:hAnsi="Times New Roman" w:cs="Times New Roman"/>
          <w:sz w:val="24"/>
        </w:rPr>
        <w:t>Grauer</w:t>
      </w:r>
      <w:proofErr w:type="spellEnd"/>
      <w:r w:rsidRPr="004669DC">
        <w:rPr>
          <w:rFonts w:ascii="Times New Roman" w:hAnsi="Times New Roman" w:cs="Times New Roman"/>
          <w:sz w:val="24"/>
        </w:rPr>
        <w:t xml:space="preserve"> (Loyola University of Chicago), a </w:t>
      </w:r>
      <w:r w:rsidR="00792599" w:rsidRPr="004669DC">
        <w:rPr>
          <w:rFonts w:ascii="Times New Roman" w:hAnsi="Times New Roman" w:cs="Times New Roman"/>
          <w:sz w:val="24"/>
        </w:rPr>
        <w:t>thorough</w:t>
      </w:r>
      <w:r w:rsidRPr="004669DC">
        <w:rPr>
          <w:rFonts w:ascii="Times New Roman" w:hAnsi="Times New Roman" w:cs="Times New Roman"/>
          <w:sz w:val="24"/>
        </w:rPr>
        <w:t xml:space="preserve"> awareness of the current issues contemporary </w:t>
      </w:r>
      <w:proofErr w:type="spellStart"/>
      <w:r w:rsidRPr="004669DC">
        <w:rPr>
          <w:rFonts w:ascii="Times New Roman" w:hAnsi="Times New Roman" w:cs="Times New Roman"/>
          <w:sz w:val="24"/>
        </w:rPr>
        <w:t>paleopathological</w:t>
      </w:r>
      <w:proofErr w:type="spellEnd"/>
      <w:r w:rsidRPr="004669DC">
        <w:rPr>
          <w:rFonts w:ascii="Times New Roman" w:hAnsi="Times New Roman" w:cs="Times New Roman"/>
          <w:sz w:val="24"/>
        </w:rPr>
        <w:t xml:space="preserve"> research faces.</w:t>
      </w:r>
      <w:r w:rsidRPr="004669DC">
        <w:rPr>
          <w:rFonts w:ascii="Times New Roman" w:hAnsi="Times New Roman" w:cs="Times New Roman"/>
          <w:i/>
          <w:iCs/>
          <w:sz w:val="24"/>
        </w:rPr>
        <w:t xml:space="preserve"> </w:t>
      </w:r>
      <w:r w:rsidRPr="004669DC">
        <w:rPr>
          <w:rFonts w:ascii="Times New Roman" w:hAnsi="Times New Roman" w:cs="Times New Roman"/>
          <w:iCs/>
          <w:sz w:val="24"/>
        </w:rPr>
        <w:t xml:space="preserve">He notes how the books is divided in three parts: </w:t>
      </w:r>
      <w:r w:rsidR="008C4E70" w:rsidRPr="004669DC">
        <w:rPr>
          <w:rFonts w:ascii="Times New Roman" w:hAnsi="Times New Roman" w:cs="Times New Roman"/>
          <w:sz w:val="24"/>
        </w:rPr>
        <w:t xml:space="preserve">the first </w:t>
      </w:r>
      <w:r w:rsidRPr="004669DC">
        <w:rPr>
          <w:rFonts w:ascii="Times New Roman" w:hAnsi="Times New Roman" w:cs="Times New Roman"/>
          <w:sz w:val="24"/>
        </w:rPr>
        <w:t>concerning the history and potential of paleopathology, the second focusing on its research methods and technologies, and the third series of chapters delve deeper into specific disease conditions. Michael Rivera notes how the volume highlights the importance of data recording consistency and comparability, and how holistic approaches should also aim to appreciate regional histories of disease in their environmental contexts.</w:t>
      </w:r>
    </w:p>
    <w:p w:rsidR="00DB612D" w:rsidRDefault="00DB612D" w:rsidP="006E26C8">
      <w:pPr>
        <w:ind w:firstLine="142"/>
        <w:jc w:val="both"/>
        <w:rPr>
          <w:rFonts w:ascii="Times New Roman" w:hAnsi="Times New Roman" w:cs="Times New Roman"/>
          <w:sz w:val="24"/>
        </w:rPr>
      </w:pPr>
    </w:p>
    <w:p w:rsidR="00DB612D" w:rsidRDefault="00DB612D" w:rsidP="006E26C8">
      <w:pPr>
        <w:ind w:firstLine="142"/>
        <w:jc w:val="both"/>
        <w:rPr>
          <w:rFonts w:ascii="Times New Roman" w:hAnsi="Times New Roman" w:cs="Times New Roman"/>
          <w:sz w:val="24"/>
        </w:rPr>
      </w:pPr>
    </w:p>
    <w:p w:rsidR="006E26C8" w:rsidRPr="004669DC" w:rsidRDefault="006E26C8" w:rsidP="006E26C8">
      <w:pPr>
        <w:ind w:firstLine="142"/>
        <w:jc w:val="both"/>
        <w:rPr>
          <w:rFonts w:ascii="Times New Roman" w:hAnsi="Times New Roman" w:cs="Times New Roman"/>
          <w:sz w:val="24"/>
        </w:rPr>
      </w:pPr>
      <w:r>
        <w:rPr>
          <w:rFonts w:ascii="Times New Roman" w:hAnsi="Times New Roman" w:cs="Times New Roman"/>
          <w:sz w:val="24"/>
        </w:rPr>
        <w:t xml:space="preserve">As part of our constant efforts to reach as wide an audience as possible, we </w:t>
      </w:r>
      <w:r w:rsidR="00797C3E">
        <w:rPr>
          <w:rFonts w:ascii="Times New Roman" w:hAnsi="Times New Roman" w:cs="Times New Roman"/>
          <w:sz w:val="24"/>
        </w:rPr>
        <w:t>are always looking for people with diverse research interests to join our international team. If you are committed to improve the presence of excellent student scholarship in archaeology through our free, open-access, not-for-profit publication, please do get in touch!</w:t>
      </w:r>
    </w:p>
    <w:sectPr w:rsidR="006E26C8" w:rsidRPr="00466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86"/>
    <w:rsid w:val="00023698"/>
    <w:rsid w:val="000B0CD3"/>
    <w:rsid w:val="001A2329"/>
    <w:rsid w:val="001E0505"/>
    <w:rsid w:val="001E3502"/>
    <w:rsid w:val="0022486D"/>
    <w:rsid w:val="00235637"/>
    <w:rsid w:val="00262116"/>
    <w:rsid w:val="00280486"/>
    <w:rsid w:val="002A7A13"/>
    <w:rsid w:val="002B3A9A"/>
    <w:rsid w:val="002E5CA1"/>
    <w:rsid w:val="0031793D"/>
    <w:rsid w:val="003731BF"/>
    <w:rsid w:val="00391220"/>
    <w:rsid w:val="003B3714"/>
    <w:rsid w:val="003C39B8"/>
    <w:rsid w:val="00453242"/>
    <w:rsid w:val="004669DC"/>
    <w:rsid w:val="004D4F89"/>
    <w:rsid w:val="004E59AC"/>
    <w:rsid w:val="005D5B53"/>
    <w:rsid w:val="006E26C8"/>
    <w:rsid w:val="007149C1"/>
    <w:rsid w:val="007153B6"/>
    <w:rsid w:val="00732D68"/>
    <w:rsid w:val="00792599"/>
    <w:rsid w:val="00797C3E"/>
    <w:rsid w:val="00813E3E"/>
    <w:rsid w:val="00874181"/>
    <w:rsid w:val="00885735"/>
    <w:rsid w:val="008A0D1A"/>
    <w:rsid w:val="008C4E70"/>
    <w:rsid w:val="009A25ED"/>
    <w:rsid w:val="00A176D9"/>
    <w:rsid w:val="00A53BB9"/>
    <w:rsid w:val="00A92494"/>
    <w:rsid w:val="00B33E95"/>
    <w:rsid w:val="00B50537"/>
    <w:rsid w:val="00B8039A"/>
    <w:rsid w:val="00D05236"/>
    <w:rsid w:val="00D564A9"/>
    <w:rsid w:val="00D95BC7"/>
    <w:rsid w:val="00D97D03"/>
    <w:rsid w:val="00DB612D"/>
    <w:rsid w:val="00DC7B85"/>
    <w:rsid w:val="00E81A11"/>
    <w:rsid w:val="00E854C8"/>
    <w:rsid w:val="00E91404"/>
    <w:rsid w:val="00EA6C8D"/>
    <w:rsid w:val="00ED77DD"/>
    <w:rsid w:val="00EE352D"/>
    <w:rsid w:val="00F037EE"/>
    <w:rsid w:val="00F34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D795"/>
  <w15:chartTrackingRefBased/>
  <w15:docId w15:val="{2AE70E6F-A7C9-4756-BC90-DC83935A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494"/>
    <w:rPr>
      <w:color w:val="0563C1" w:themeColor="hyperlink"/>
      <w:u w:val="single"/>
    </w:rPr>
  </w:style>
  <w:style w:type="character" w:styleId="Emphasis">
    <w:name w:val="Emphasis"/>
    <w:basedOn w:val="DefaultParagraphFont"/>
    <w:uiPriority w:val="20"/>
    <w:qFormat/>
    <w:rsid w:val="00A924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onzalo.linaresmatas@st-hughs.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Linares Matás</dc:creator>
  <cp:keywords/>
  <dc:description/>
  <cp:lastModifiedBy>Gonzalo Linares Matás</cp:lastModifiedBy>
  <cp:revision>35</cp:revision>
  <dcterms:created xsi:type="dcterms:W3CDTF">2016-12-18T10:59:00Z</dcterms:created>
  <dcterms:modified xsi:type="dcterms:W3CDTF">2016-12-20T22:38:00Z</dcterms:modified>
</cp:coreProperties>
</file>