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311C" w:rsidRPr="00AB6A6D" w:rsidRDefault="0070311C" w:rsidP="003B5900">
      <w:pPr>
        <w:jc w:val="both"/>
        <w:rPr>
          <w:b/>
          <w:sz w:val="24"/>
          <w:szCs w:val="24"/>
        </w:rPr>
      </w:pPr>
      <w:bookmarkStart w:id="0" w:name="_Toc475038769"/>
      <w:r w:rsidRPr="00AB6A6D">
        <w:rPr>
          <w:b/>
          <w:sz w:val="24"/>
          <w:szCs w:val="24"/>
        </w:rPr>
        <w:t>S</w:t>
      </w:r>
      <w:r w:rsidR="00F1066B" w:rsidRPr="00AB6A6D">
        <w:rPr>
          <w:b/>
          <w:sz w:val="24"/>
          <w:szCs w:val="24"/>
        </w:rPr>
        <w:t>houlder disease in</w:t>
      </w:r>
      <w:r w:rsidR="00C604EB" w:rsidRPr="00AB6A6D">
        <w:rPr>
          <w:b/>
          <w:sz w:val="24"/>
          <w:szCs w:val="24"/>
        </w:rPr>
        <w:t xml:space="preserve"> the Industrial Revolution</w:t>
      </w:r>
      <w:r w:rsidRPr="00AB6A6D">
        <w:rPr>
          <w:b/>
          <w:sz w:val="24"/>
          <w:szCs w:val="24"/>
        </w:rPr>
        <w:t xml:space="preserve">: An assessment of demographic factors affecting shoulder disease prevalence </w:t>
      </w:r>
      <w:r w:rsidR="00C604EB" w:rsidRPr="00AB6A6D">
        <w:rPr>
          <w:b/>
          <w:sz w:val="24"/>
          <w:szCs w:val="24"/>
        </w:rPr>
        <w:t>in post-medieval Chichester</w:t>
      </w:r>
      <w:r w:rsidRPr="00AB6A6D">
        <w:rPr>
          <w:b/>
          <w:sz w:val="24"/>
          <w:szCs w:val="24"/>
        </w:rPr>
        <w:t xml:space="preserve">. </w:t>
      </w:r>
    </w:p>
    <w:p w:rsidR="00885791" w:rsidRPr="00F8662E" w:rsidRDefault="00F1066B" w:rsidP="003B5900">
      <w:pPr>
        <w:pStyle w:val="TOCHeading"/>
        <w:jc w:val="both"/>
        <w:rPr>
          <w:rFonts w:asciiTheme="minorHAnsi" w:eastAsiaTheme="minorHAnsi" w:hAnsiTheme="minorHAnsi" w:cstheme="minorBidi"/>
          <w:b w:val="0"/>
          <w:bCs w:val="0"/>
          <w:color w:val="auto"/>
          <w:sz w:val="30"/>
          <w:szCs w:val="30"/>
          <w:lang w:val="en-GB" w:eastAsia="en-US"/>
        </w:rPr>
      </w:pPr>
      <w:r w:rsidRPr="00F8662E">
        <w:rPr>
          <w:rFonts w:asciiTheme="minorHAnsi" w:eastAsiaTheme="minorHAnsi" w:hAnsiTheme="minorHAnsi" w:cstheme="minorBidi"/>
          <w:b w:val="0"/>
          <w:bCs w:val="0"/>
          <w:color w:val="auto"/>
          <w:sz w:val="30"/>
          <w:szCs w:val="30"/>
          <w:lang w:val="en-GB" w:eastAsia="en-US"/>
        </w:rPr>
        <w:t>ABSTRACT</w:t>
      </w:r>
    </w:p>
    <w:p w:rsidR="00731003" w:rsidRPr="00F17D52" w:rsidRDefault="00731003" w:rsidP="003B5900">
      <w:pPr>
        <w:spacing w:line="360" w:lineRule="auto"/>
        <w:jc w:val="both"/>
        <w:rPr>
          <w:rFonts w:cs="Arial"/>
          <w:sz w:val="24"/>
          <w:szCs w:val="24"/>
          <w:shd w:val="clear" w:color="auto" w:fill="FFFFFF"/>
        </w:rPr>
      </w:pPr>
      <w:r w:rsidRPr="00F17D52">
        <w:rPr>
          <w:rFonts w:cs="Calibri"/>
          <w:spacing w:val="-1"/>
          <w:sz w:val="24"/>
          <w:szCs w:val="24"/>
        </w:rPr>
        <w:t xml:space="preserve">This </w:t>
      </w:r>
      <w:r w:rsidR="00F1066B">
        <w:rPr>
          <w:rFonts w:cs="Calibri"/>
          <w:spacing w:val="-1"/>
          <w:sz w:val="24"/>
          <w:szCs w:val="24"/>
        </w:rPr>
        <w:t>research</w:t>
      </w:r>
      <w:r w:rsidR="00CA0FFE">
        <w:rPr>
          <w:rFonts w:cs="Calibri"/>
          <w:spacing w:val="-1"/>
          <w:sz w:val="24"/>
          <w:szCs w:val="24"/>
        </w:rPr>
        <w:t xml:space="preserve"> </w:t>
      </w:r>
      <w:r>
        <w:rPr>
          <w:rFonts w:cs="Calibri"/>
          <w:spacing w:val="-1"/>
          <w:sz w:val="24"/>
          <w:szCs w:val="24"/>
        </w:rPr>
        <w:t>quantifi</w:t>
      </w:r>
      <w:r w:rsidR="00AA5EFB">
        <w:rPr>
          <w:rFonts w:cs="Calibri"/>
          <w:spacing w:val="-1"/>
          <w:sz w:val="24"/>
          <w:szCs w:val="24"/>
        </w:rPr>
        <w:t>ed</w:t>
      </w:r>
      <w:r w:rsidR="00E51BB2">
        <w:rPr>
          <w:rFonts w:cs="Calibri"/>
          <w:spacing w:val="-1"/>
          <w:sz w:val="24"/>
          <w:szCs w:val="24"/>
        </w:rPr>
        <w:t xml:space="preserve"> </w:t>
      </w:r>
      <w:r w:rsidR="00CA0FFE">
        <w:rPr>
          <w:rFonts w:cs="Calibri"/>
          <w:spacing w:val="-1"/>
          <w:sz w:val="24"/>
          <w:szCs w:val="24"/>
        </w:rPr>
        <w:t>glenohumeral</w:t>
      </w:r>
      <w:r w:rsidRPr="00F17D52">
        <w:rPr>
          <w:rFonts w:cs="Calibri"/>
          <w:spacing w:val="-1"/>
          <w:sz w:val="24"/>
          <w:szCs w:val="24"/>
        </w:rPr>
        <w:t xml:space="preserve"> </w:t>
      </w:r>
      <w:r w:rsidR="000671F1">
        <w:rPr>
          <w:rFonts w:cs="Calibri"/>
          <w:spacing w:val="-1"/>
          <w:sz w:val="24"/>
          <w:szCs w:val="24"/>
        </w:rPr>
        <w:t xml:space="preserve">joint </w:t>
      </w:r>
      <w:r w:rsidR="00CA0FFE">
        <w:rPr>
          <w:rFonts w:cs="Calibri"/>
          <w:spacing w:val="-1"/>
          <w:sz w:val="24"/>
          <w:szCs w:val="24"/>
        </w:rPr>
        <w:t>(GH</w:t>
      </w:r>
      <w:r w:rsidR="00461E57">
        <w:rPr>
          <w:rFonts w:cs="Calibri"/>
          <w:spacing w:val="-1"/>
          <w:sz w:val="24"/>
          <w:szCs w:val="24"/>
        </w:rPr>
        <w:t>J</w:t>
      </w:r>
      <w:r w:rsidR="00CA0FFE">
        <w:rPr>
          <w:rFonts w:cs="Calibri"/>
          <w:spacing w:val="-1"/>
          <w:sz w:val="24"/>
          <w:szCs w:val="24"/>
        </w:rPr>
        <w:t xml:space="preserve">) </w:t>
      </w:r>
      <w:r w:rsidRPr="00F17D52">
        <w:rPr>
          <w:rFonts w:cs="Calibri"/>
          <w:spacing w:val="-1"/>
          <w:sz w:val="24"/>
          <w:szCs w:val="24"/>
        </w:rPr>
        <w:t xml:space="preserve">and </w:t>
      </w:r>
      <w:r w:rsidR="00CA0FFE">
        <w:rPr>
          <w:rFonts w:cs="Calibri"/>
          <w:spacing w:val="-1"/>
          <w:sz w:val="24"/>
          <w:szCs w:val="24"/>
        </w:rPr>
        <w:t>acromioclavicular joint (ACJ)</w:t>
      </w:r>
      <w:r w:rsidRPr="00F17D52">
        <w:rPr>
          <w:rFonts w:cs="Calibri"/>
          <w:spacing w:val="-1"/>
          <w:sz w:val="24"/>
          <w:szCs w:val="24"/>
        </w:rPr>
        <w:t xml:space="preserve"> osteoarthritis</w:t>
      </w:r>
      <w:r>
        <w:rPr>
          <w:rFonts w:cs="Calibri"/>
          <w:spacing w:val="-1"/>
          <w:sz w:val="24"/>
          <w:szCs w:val="24"/>
        </w:rPr>
        <w:t xml:space="preserve"> (OA)</w:t>
      </w:r>
      <w:r w:rsidRPr="00F17D52">
        <w:rPr>
          <w:rFonts w:cs="Calibri"/>
          <w:spacing w:val="-1"/>
          <w:sz w:val="24"/>
          <w:szCs w:val="24"/>
        </w:rPr>
        <w:t>, rotator cuff disease (RCD), impingement and fractures to</w:t>
      </w:r>
      <w:r w:rsidR="00BD1DFB">
        <w:rPr>
          <w:rFonts w:cs="Calibri"/>
          <w:spacing w:val="-1"/>
          <w:sz w:val="24"/>
          <w:szCs w:val="24"/>
        </w:rPr>
        <w:t xml:space="preserve"> the </w:t>
      </w:r>
      <w:r w:rsidR="00AA5EFB">
        <w:rPr>
          <w:rFonts w:cs="Calibri"/>
          <w:spacing w:val="-1"/>
          <w:sz w:val="24"/>
          <w:szCs w:val="24"/>
        </w:rPr>
        <w:t>clavicle, humerus and scapula</w:t>
      </w:r>
      <w:r w:rsidR="00BD1DFB">
        <w:rPr>
          <w:rFonts w:cs="Calibri"/>
          <w:spacing w:val="-1"/>
          <w:sz w:val="24"/>
          <w:szCs w:val="24"/>
        </w:rPr>
        <w:t xml:space="preserve"> on</w:t>
      </w:r>
      <w:r w:rsidRPr="00F17D52">
        <w:rPr>
          <w:sz w:val="24"/>
          <w:szCs w:val="24"/>
        </w:rPr>
        <w:t xml:space="preserve"> 93 skeletal remains from 18</w:t>
      </w:r>
      <w:r w:rsidRPr="00F17D52">
        <w:rPr>
          <w:sz w:val="24"/>
          <w:szCs w:val="24"/>
          <w:vertAlign w:val="superscript"/>
        </w:rPr>
        <w:t>th</w:t>
      </w:r>
      <w:r w:rsidRPr="00F17D52">
        <w:rPr>
          <w:sz w:val="24"/>
          <w:szCs w:val="24"/>
        </w:rPr>
        <w:t xml:space="preserve"> and 19</w:t>
      </w:r>
      <w:r w:rsidRPr="00F17D52">
        <w:rPr>
          <w:sz w:val="24"/>
          <w:szCs w:val="24"/>
          <w:vertAlign w:val="superscript"/>
        </w:rPr>
        <w:t>th</w:t>
      </w:r>
      <w:r w:rsidRPr="00F17D52">
        <w:rPr>
          <w:sz w:val="24"/>
          <w:szCs w:val="24"/>
        </w:rPr>
        <w:t xml:space="preserve"> century Chichester</w:t>
      </w:r>
      <w:r w:rsidR="00AA5EFB">
        <w:rPr>
          <w:sz w:val="24"/>
          <w:szCs w:val="24"/>
        </w:rPr>
        <w:t xml:space="preserve"> to</w:t>
      </w:r>
      <w:r w:rsidRPr="00F17D52">
        <w:rPr>
          <w:sz w:val="24"/>
          <w:szCs w:val="24"/>
        </w:rPr>
        <w:t xml:space="preserve"> consider how </w:t>
      </w:r>
      <w:r w:rsidR="00AA5EFB">
        <w:rPr>
          <w:sz w:val="24"/>
          <w:szCs w:val="24"/>
        </w:rPr>
        <w:t xml:space="preserve">disease </w:t>
      </w:r>
      <w:r w:rsidRPr="00F17D52">
        <w:rPr>
          <w:sz w:val="24"/>
          <w:szCs w:val="24"/>
        </w:rPr>
        <w:t>prevalence altered between demographic groups</w:t>
      </w:r>
      <w:r w:rsidR="00AA5EFB">
        <w:rPr>
          <w:sz w:val="24"/>
          <w:szCs w:val="24"/>
        </w:rPr>
        <w:t xml:space="preserve">.  The research centralised around </w:t>
      </w:r>
      <w:r w:rsidRPr="00F17D52">
        <w:rPr>
          <w:rFonts w:cs="Arial"/>
          <w:sz w:val="24"/>
          <w:szCs w:val="24"/>
          <w:shd w:val="clear" w:color="auto" w:fill="FFFFFF"/>
        </w:rPr>
        <w:t xml:space="preserve">the political and social </w:t>
      </w:r>
      <w:r w:rsidR="00B2394E">
        <w:rPr>
          <w:rFonts w:cs="Arial"/>
          <w:sz w:val="24"/>
          <w:szCs w:val="24"/>
          <w:shd w:val="clear" w:color="auto" w:fill="FFFFFF"/>
        </w:rPr>
        <w:t>boundaries</w:t>
      </w:r>
      <w:r w:rsidRPr="00F17D52">
        <w:rPr>
          <w:rFonts w:cs="Arial"/>
          <w:sz w:val="24"/>
          <w:szCs w:val="24"/>
          <w:shd w:val="clear" w:color="auto" w:fill="FFFFFF"/>
        </w:rPr>
        <w:t xml:space="preserve"> that </w:t>
      </w:r>
      <w:r w:rsidR="00B2394E">
        <w:rPr>
          <w:rFonts w:cs="Arial"/>
          <w:sz w:val="24"/>
          <w:szCs w:val="24"/>
          <w:shd w:val="clear" w:color="auto" w:fill="FFFFFF"/>
        </w:rPr>
        <w:t>were present</w:t>
      </w:r>
      <w:r w:rsidRPr="00F17D52">
        <w:rPr>
          <w:rFonts w:cs="Arial"/>
          <w:sz w:val="24"/>
          <w:szCs w:val="24"/>
          <w:shd w:val="clear" w:color="auto" w:fill="FFFFFF"/>
        </w:rPr>
        <w:t xml:space="preserve"> across the Industrial Revolution</w:t>
      </w:r>
      <w:r w:rsidR="00AA5EFB">
        <w:rPr>
          <w:rFonts w:cs="Arial"/>
          <w:sz w:val="24"/>
          <w:szCs w:val="24"/>
          <w:shd w:val="clear" w:color="auto" w:fill="FFFFFF"/>
        </w:rPr>
        <w:t>, to determine if th</w:t>
      </w:r>
      <w:r w:rsidR="00B2394E">
        <w:rPr>
          <w:rFonts w:cs="Arial"/>
          <w:sz w:val="24"/>
          <w:szCs w:val="24"/>
          <w:shd w:val="clear" w:color="auto" w:fill="FFFFFF"/>
        </w:rPr>
        <w:t xml:space="preserve">ese </w:t>
      </w:r>
      <w:r w:rsidR="00AA5EFB">
        <w:rPr>
          <w:rFonts w:cs="Arial"/>
          <w:sz w:val="24"/>
          <w:szCs w:val="24"/>
          <w:shd w:val="clear" w:color="auto" w:fill="FFFFFF"/>
        </w:rPr>
        <w:t xml:space="preserve">corresponded to </w:t>
      </w:r>
      <w:r w:rsidR="00B2394E">
        <w:rPr>
          <w:rFonts w:cs="Arial"/>
          <w:sz w:val="24"/>
          <w:szCs w:val="24"/>
          <w:shd w:val="clear" w:color="auto" w:fill="FFFFFF"/>
        </w:rPr>
        <w:t xml:space="preserve">differences in </w:t>
      </w:r>
      <w:r w:rsidR="00AA5EFB">
        <w:rPr>
          <w:rFonts w:cs="Arial"/>
          <w:sz w:val="24"/>
          <w:szCs w:val="24"/>
          <w:shd w:val="clear" w:color="auto" w:fill="FFFFFF"/>
        </w:rPr>
        <w:t>shoulder disease between demographic groups</w:t>
      </w:r>
      <w:r w:rsidRPr="00F17D52">
        <w:rPr>
          <w:rFonts w:cs="Arial"/>
          <w:sz w:val="24"/>
          <w:szCs w:val="24"/>
          <w:shd w:val="clear" w:color="auto" w:fill="FFFFFF"/>
        </w:rPr>
        <w:t xml:space="preserve"> </w:t>
      </w:r>
      <w:r w:rsidRPr="00F17D52">
        <w:rPr>
          <w:sz w:val="24"/>
          <w:szCs w:val="24"/>
        </w:rPr>
        <w:t>(</w:t>
      </w:r>
      <w:r w:rsidRPr="00F17D52">
        <w:rPr>
          <w:rFonts w:cs="Calibri"/>
          <w:spacing w:val="-1"/>
          <w:sz w:val="24"/>
          <w:szCs w:val="24"/>
        </w:rPr>
        <w:t xml:space="preserve">Loeb, 1994; </w:t>
      </w:r>
      <w:r w:rsidRPr="00F17D52">
        <w:rPr>
          <w:sz w:val="24"/>
          <w:szCs w:val="24"/>
        </w:rPr>
        <w:t>Burnette, 1997</w:t>
      </w:r>
      <w:r w:rsidRPr="00F17D52">
        <w:rPr>
          <w:rFonts w:cs="Calibri"/>
          <w:spacing w:val="-1"/>
          <w:sz w:val="24"/>
          <w:szCs w:val="24"/>
        </w:rPr>
        <w:t xml:space="preserve">; </w:t>
      </w:r>
      <w:r w:rsidRPr="00F17D52">
        <w:rPr>
          <w:rFonts w:cs="Calibri"/>
          <w:spacing w:val="1"/>
          <w:sz w:val="24"/>
          <w:szCs w:val="24"/>
        </w:rPr>
        <w:t xml:space="preserve">Pinchbeck, 2013). </w:t>
      </w:r>
      <w:r w:rsidRPr="00F17D52">
        <w:rPr>
          <w:rFonts w:cs="Arial"/>
          <w:sz w:val="24"/>
          <w:szCs w:val="24"/>
          <w:shd w:val="clear" w:color="auto" w:fill="FFFFFF"/>
        </w:rPr>
        <w:t xml:space="preserve"> </w:t>
      </w:r>
    </w:p>
    <w:p w:rsidR="00731003" w:rsidRDefault="00F15898" w:rsidP="003B5900">
      <w:pPr>
        <w:spacing w:line="360" w:lineRule="auto"/>
        <w:jc w:val="both"/>
        <w:rPr>
          <w:sz w:val="24"/>
          <w:szCs w:val="24"/>
        </w:rPr>
      </w:pPr>
      <w:r>
        <w:rPr>
          <w:sz w:val="24"/>
          <w:szCs w:val="24"/>
        </w:rPr>
        <w:t>Amongst c</w:t>
      </w:r>
      <w:r w:rsidR="00D000AF">
        <w:rPr>
          <w:sz w:val="24"/>
          <w:szCs w:val="24"/>
        </w:rPr>
        <w:t>offin-buried skeletal</w:t>
      </w:r>
      <w:r>
        <w:rPr>
          <w:sz w:val="24"/>
          <w:szCs w:val="24"/>
        </w:rPr>
        <w:t xml:space="preserve"> r</w:t>
      </w:r>
      <w:r w:rsidR="00D000AF">
        <w:rPr>
          <w:sz w:val="24"/>
          <w:szCs w:val="24"/>
        </w:rPr>
        <w:t>emains</w:t>
      </w:r>
      <w:r w:rsidR="00731003" w:rsidRPr="00F17D52">
        <w:rPr>
          <w:sz w:val="24"/>
          <w:szCs w:val="24"/>
        </w:rPr>
        <w:t xml:space="preserve"> </w:t>
      </w:r>
      <w:r w:rsidR="00731003">
        <w:rPr>
          <w:sz w:val="24"/>
          <w:szCs w:val="24"/>
        </w:rPr>
        <w:t xml:space="preserve">both biological age and sex </w:t>
      </w:r>
      <w:r>
        <w:rPr>
          <w:sz w:val="24"/>
          <w:szCs w:val="24"/>
        </w:rPr>
        <w:t xml:space="preserve">were found </w:t>
      </w:r>
      <w:r w:rsidR="00731003">
        <w:rPr>
          <w:sz w:val="24"/>
          <w:szCs w:val="24"/>
        </w:rPr>
        <w:t>to significantly impact the occurrence of GH</w:t>
      </w:r>
      <w:r w:rsidR="00461E57">
        <w:rPr>
          <w:sz w:val="24"/>
          <w:szCs w:val="24"/>
        </w:rPr>
        <w:t>J</w:t>
      </w:r>
      <w:r w:rsidR="00731003">
        <w:rPr>
          <w:sz w:val="24"/>
          <w:szCs w:val="24"/>
        </w:rPr>
        <w:t xml:space="preserve"> </w:t>
      </w:r>
      <w:r w:rsidR="00731003" w:rsidRPr="00285A11">
        <w:rPr>
          <w:sz w:val="24"/>
          <w:szCs w:val="24"/>
        </w:rPr>
        <w:t>(</w:t>
      </w:r>
      <w:r w:rsidR="00731003">
        <w:rPr>
          <w:sz w:val="24"/>
          <w:szCs w:val="24"/>
        </w:rPr>
        <w:t>sex:</w:t>
      </w:r>
      <w:r w:rsidR="00731003" w:rsidRPr="00285A11">
        <w:rPr>
          <w:i/>
          <w:sz w:val="24"/>
          <w:szCs w:val="24"/>
        </w:rPr>
        <w:t>p</w:t>
      </w:r>
      <w:r w:rsidR="00731003" w:rsidRPr="00285A11">
        <w:rPr>
          <w:sz w:val="24"/>
          <w:szCs w:val="24"/>
        </w:rPr>
        <w:t>=0.026</w:t>
      </w:r>
      <w:r w:rsidR="00731003">
        <w:rPr>
          <w:sz w:val="24"/>
          <w:szCs w:val="24"/>
        </w:rPr>
        <w:t>, age:</w:t>
      </w:r>
      <w:r w:rsidR="00731003" w:rsidRPr="00575A9E">
        <w:rPr>
          <w:i/>
          <w:sz w:val="24"/>
          <w:szCs w:val="24"/>
        </w:rPr>
        <w:t>p</w:t>
      </w:r>
      <w:r w:rsidR="00731003" w:rsidRPr="00575A9E">
        <w:rPr>
          <w:sz w:val="24"/>
          <w:szCs w:val="24"/>
        </w:rPr>
        <w:t>=0.011</w:t>
      </w:r>
      <w:r w:rsidR="00731003" w:rsidRPr="00285A11">
        <w:rPr>
          <w:sz w:val="24"/>
          <w:szCs w:val="24"/>
        </w:rPr>
        <w:t xml:space="preserve">) </w:t>
      </w:r>
      <w:r w:rsidR="00731003">
        <w:rPr>
          <w:sz w:val="24"/>
          <w:szCs w:val="24"/>
        </w:rPr>
        <w:t xml:space="preserve">and ACJ OA </w:t>
      </w:r>
      <w:r w:rsidR="00731003" w:rsidRPr="00285A11">
        <w:rPr>
          <w:sz w:val="24"/>
          <w:szCs w:val="24"/>
        </w:rPr>
        <w:t>(</w:t>
      </w:r>
      <w:r w:rsidR="00731003">
        <w:rPr>
          <w:sz w:val="24"/>
          <w:szCs w:val="24"/>
        </w:rPr>
        <w:t>sex:</w:t>
      </w:r>
      <w:r w:rsidR="00731003" w:rsidRPr="00285A11">
        <w:rPr>
          <w:i/>
          <w:sz w:val="24"/>
          <w:szCs w:val="24"/>
        </w:rPr>
        <w:t>p</w:t>
      </w:r>
      <w:r w:rsidR="00731003" w:rsidRPr="00285A11">
        <w:rPr>
          <w:sz w:val="24"/>
          <w:szCs w:val="24"/>
        </w:rPr>
        <w:t>=0.004</w:t>
      </w:r>
      <w:r w:rsidR="00731003">
        <w:rPr>
          <w:sz w:val="24"/>
          <w:szCs w:val="24"/>
        </w:rPr>
        <w:t>,</w:t>
      </w:r>
      <w:r w:rsidR="00731003" w:rsidRPr="00E54D06">
        <w:rPr>
          <w:sz w:val="24"/>
          <w:szCs w:val="24"/>
        </w:rPr>
        <w:t xml:space="preserve"> </w:t>
      </w:r>
      <w:r w:rsidR="00731003">
        <w:rPr>
          <w:sz w:val="24"/>
          <w:szCs w:val="24"/>
        </w:rPr>
        <w:t>age:</w:t>
      </w:r>
      <w:r w:rsidR="00731003" w:rsidRPr="00575A9E">
        <w:rPr>
          <w:i/>
          <w:sz w:val="24"/>
          <w:szCs w:val="24"/>
        </w:rPr>
        <w:t>p</w:t>
      </w:r>
      <w:r w:rsidR="00731003" w:rsidRPr="00575A9E">
        <w:rPr>
          <w:sz w:val="24"/>
          <w:szCs w:val="24"/>
        </w:rPr>
        <w:t>=0.011</w:t>
      </w:r>
      <w:r w:rsidR="00731003" w:rsidRPr="00285A11">
        <w:rPr>
          <w:sz w:val="24"/>
          <w:szCs w:val="24"/>
        </w:rPr>
        <w:t>)</w:t>
      </w:r>
      <w:r w:rsidR="00731003">
        <w:rPr>
          <w:sz w:val="24"/>
          <w:szCs w:val="24"/>
        </w:rPr>
        <w:t xml:space="preserve">.  </w:t>
      </w:r>
      <w:r w:rsidR="00461E57">
        <w:rPr>
          <w:sz w:val="24"/>
          <w:szCs w:val="24"/>
        </w:rPr>
        <w:t xml:space="preserve">GHJ and ACJ </w:t>
      </w:r>
      <w:r w:rsidR="00D000AF">
        <w:rPr>
          <w:sz w:val="24"/>
          <w:szCs w:val="24"/>
        </w:rPr>
        <w:t xml:space="preserve">OA </w:t>
      </w:r>
      <w:r w:rsidR="00461E57">
        <w:rPr>
          <w:sz w:val="24"/>
          <w:szCs w:val="24"/>
        </w:rPr>
        <w:t xml:space="preserve">were also statistically significant in the </w:t>
      </w:r>
      <w:r w:rsidR="00731003">
        <w:rPr>
          <w:sz w:val="24"/>
          <w:szCs w:val="24"/>
        </w:rPr>
        <w:t xml:space="preserve">laterality analysis </w:t>
      </w:r>
      <w:r w:rsidR="00731003" w:rsidRPr="0016567B">
        <w:rPr>
          <w:sz w:val="24"/>
          <w:szCs w:val="24"/>
        </w:rPr>
        <w:t>(</w:t>
      </w:r>
      <w:r w:rsidR="00731003">
        <w:rPr>
          <w:sz w:val="24"/>
          <w:szCs w:val="24"/>
        </w:rPr>
        <w:t>GH</w:t>
      </w:r>
      <w:r w:rsidR="00461E57">
        <w:rPr>
          <w:sz w:val="24"/>
          <w:szCs w:val="24"/>
        </w:rPr>
        <w:t>J</w:t>
      </w:r>
      <w:r w:rsidR="00731003">
        <w:rPr>
          <w:sz w:val="24"/>
          <w:szCs w:val="24"/>
        </w:rPr>
        <w:t xml:space="preserve"> OA left:</w:t>
      </w:r>
      <w:r w:rsidR="00731003" w:rsidRPr="0016567B">
        <w:rPr>
          <w:i/>
          <w:sz w:val="24"/>
          <w:szCs w:val="24"/>
        </w:rPr>
        <w:t>p</w:t>
      </w:r>
      <w:r w:rsidR="00731003" w:rsidRPr="0016567B">
        <w:rPr>
          <w:sz w:val="24"/>
          <w:szCs w:val="24"/>
        </w:rPr>
        <w:t>=0.014</w:t>
      </w:r>
      <w:r w:rsidR="00731003">
        <w:rPr>
          <w:sz w:val="24"/>
          <w:szCs w:val="24"/>
        </w:rPr>
        <w:t>, right:</w:t>
      </w:r>
      <w:r w:rsidR="00731003" w:rsidRPr="0016567B">
        <w:rPr>
          <w:i/>
          <w:sz w:val="24"/>
          <w:szCs w:val="24"/>
        </w:rPr>
        <w:t>p</w:t>
      </w:r>
      <w:r w:rsidR="00731003" w:rsidRPr="0016567B">
        <w:rPr>
          <w:sz w:val="24"/>
          <w:szCs w:val="24"/>
        </w:rPr>
        <w:t>=0.024</w:t>
      </w:r>
      <w:r w:rsidR="00731003">
        <w:rPr>
          <w:sz w:val="24"/>
          <w:szCs w:val="24"/>
        </w:rPr>
        <w:t>; ACJ OA left:</w:t>
      </w:r>
      <w:r w:rsidR="00731003" w:rsidRPr="0016567B">
        <w:rPr>
          <w:i/>
          <w:sz w:val="24"/>
          <w:szCs w:val="24"/>
        </w:rPr>
        <w:t>p</w:t>
      </w:r>
      <w:r w:rsidR="00731003" w:rsidRPr="0016567B">
        <w:rPr>
          <w:sz w:val="24"/>
          <w:szCs w:val="24"/>
        </w:rPr>
        <w:t>=0.025</w:t>
      </w:r>
      <w:r w:rsidR="00D000AF">
        <w:rPr>
          <w:sz w:val="24"/>
          <w:szCs w:val="24"/>
        </w:rPr>
        <w:t>,</w:t>
      </w:r>
      <w:r w:rsidR="00731003">
        <w:rPr>
          <w:sz w:val="24"/>
          <w:szCs w:val="24"/>
        </w:rPr>
        <w:t xml:space="preserve"> </w:t>
      </w:r>
      <w:r w:rsidR="00731003" w:rsidRPr="0016567B">
        <w:rPr>
          <w:sz w:val="24"/>
          <w:szCs w:val="24"/>
        </w:rPr>
        <w:t>right</w:t>
      </w:r>
      <w:r w:rsidR="00731003">
        <w:rPr>
          <w:sz w:val="24"/>
          <w:szCs w:val="24"/>
        </w:rPr>
        <w:t>:</w:t>
      </w:r>
      <w:r w:rsidR="00731003" w:rsidRPr="0016567B">
        <w:rPr>
          <w:i/>
          <w:sz w:val="24"/>
          <w:szCs w:val="24"/>
        </w:rPr>
        <w:t>p</w:t>
      </w:r>
      <w:r w:rsidR="00461E57">
        <w:rPr>
          <w:sz w:val="24"/>
          <w:szCs w:val="24"/>
        </w:rPr>
        <w:t xml:space="preserve">=0.033), identifying OA </w:t>
      </w:r>
      <w:r w:rsidR="00AA5EFB">
        <w:rPr>
          <w:sz w:val="24"/>
          <w:szCs w:val="24"/>
        </w:rPr>
        <w:t>to be strongly associated with demographic factors in the assemblage</w:t>
      </w:r>
      <w:r w:rsidR="00731003">
        <w:rPr>
          <w:sz w:val="24"/>
          <w:szCs w:val="24"/>
        </w:rPr>
        <w:t xml:space="preserve">, whilst no other diseases were </w:t>
      </w:r>
      <w:r w:rsidR="00E51BB2">
        <w:rPr>
          <w:sz w:val="24"/>
          <w:szCs w:val="24"/>
        </w:rPr>
        <w:t xml:space="preserve">statistically significant and </w:t>
      </w:r>
      <w:r w:rsidR="00731003">
        <w:rPr>
          <w:sz w:val="24"/>
          <w:szCs w:val="24"/>
        </w:rPr>
        <w:t xml:space="preserve">associated with </w:t>
      </w:r>
      <w:r w:rsidR="00AA5EFB">
        <w:rPr>
          <w:sz w:val="24"/>
          <w:szCs w:val="24"/>
        </w:rPr>
        <w:t>social</w:t>
      </w:r>
      <w:r w:rsidR="00731003">
        <w:rPr>
          <w:sz w:val="24"/>
          <w:szCs w:val="24"/>
        </w:rPr>
        <w:t xml:space="preserve"> </w:t>
      </w:r>
      <w:r w:rsidR="00BD1DFB">
        <w:rPr>
          <w:sz w:val="24"/>
          <w:szCs w:val="24"/>
        </w:rPr>
        <w:t>groups</w:t>
      </w:r>
      <w:r w:rsidR="00731003">
        <w:rPr>
          <w:sz w:val="24"/>
          <w:szCs w:val="24"/>
        </w:rPr>
        <w:t xml:space="preserve"> in this</w:t>
      </w:r>
      <w:r w:rsidR="00E51BB2">
        <w:rPr>
          <w:sz w:val="24"/>
          <w:szCs w:val="24"/>
        </w:rPr>
        <w:t xml:space="preserve"> way</w:t>
      </w:r>
      <w:r w:rsidR="00731003">
        <w:rPr>
          <w:sz w:val="24"/>
          <w:szCs w:val="24"/>
        </w:rPr>
        <w:t xml:space="preserve">.  Despite this, all diseases </w:t>
      </w:r>
      <w:r w:rsidR="00D000AF">
        <w:rPr>
          <w:sz w:val="24"/>
          <w:szCs w:val="24"/>
        </w:rPr>
        <w:t xml:space="preserve">in the coffin assemblage </w:t>
      </w:r>
      <w:r w:rsidR="00731003">
        <w:rPr>
          <w:sz w:val="24"/>
          <w:szCs w:val="24"/>
        </w:rPr>
        <w:t>were found to occur at a greater prevalence</w:t>
      </w:r>
      <w:r w:rsidR="00E51BB2">
        <w:rPr>
          <w:sz w:val="24"/>
          <w:szCs w:val="24"/>
        </w:rPr>
        <w:t xml:space="preserve"> in males than females, whilst OA and RCD </w:t>
      </w:r>
      <w:r w:rsidR="00731003">
        <w:rPr>
          <w:sz w:val="24"/>
          <w:szCs w:val="24"/>
        </w:rPr>
        <w:t xml:space="preserve">increased in prevalence concurrently as age advanced.  The study found that </w:t>
      </w:r>
      <w:r w:rsidR="00D000AF">
        <w:rPr>
          <w:sz w:val="24"/>
          <w:szCs w:val="24"/>
        </w:rPr>
        <w:t xml:space="preserve">the </w:t>
      </w:r>
      <w:r>
        <w:rPr>
          <w:sz w:val="24"/>
          <w:szCs w:val="24"/>
        </w:rPr>
        <w:t>largest</w:t>
      </w:r>
      <w:r w:rsidR="00D000AF">
        <w:rPr>
          <w:sz w:val="24"/>
          <w:szCs w:val="24"/>
        </w:rPr>
        <w:t xml:space="preserve"> </w:t>
      </w:r>
      <w:r w:rsidR="00BD1DFB">
        <w:rPr>
          <w:sz w:val="24"/>
          <w:szCs w:val="24"/>
        </w:rPr>
        <w:t xml:space="preserve">lateral variability </w:t>
      </w:r>
      <w:r w:rsidR="00B44C57">
        <w:rPr>
          <w:sz w:val="24"/>
          <w:szCs w:val="24"/>
        </w:rPr>
        <w:t xml:space="preserve">occurred </w:t>
      </w:r>
      <w:r w:rsidR="00BD1DFB">
        <w:rPr>
          <w:sz w:val="24"/>
          <w:szCs w:val="24"/>
        </w:rPr>
        <w:t>in</w:t>
      </w:r>
      <w:r w:rsidR="00C8279B">
        <w:rPr>
          <w:sz w:val="24"/>
          <w:szCs w:val="24"/>
        </w:rPr>
        <w:t xml:space="preserve"> </w:t>
      </w:r>
      <w:r w:rsidR="00BD1DFB">
        <w:rPr>
          <w:sz w:val="24"/>
          <w:szCs w:val="24"/>
        </w:rPr>
        <w:t>males aged 20-39</w:t>
      </w:r>
      <w:r w:rsidR="00C8279B">
        <w:rPr>
          <w:sz w:val="24"/>
          <w:szCs w:val="24"/>
        </w:rPr>
        <w:t xml:space="preserve"> </w:t>
      </w:r>
      <w:r w:rsidR="00BD1DFB">
        <w:rPr>
          <w:sz w:val="24"/>
          <w:szCs w:val="24"/>
        </w:rPr>
        <w:t>a</w:t>
      </w:r>
      <w:r w:rsidR="00C8279B">
        <w:rPr>
          <w:sz w:val="24"/>
          <w:szCs w:val="24"/>
        </w:rPr>
        <w:t>nd females</w:t>
      </w:r>
      <w:r w:rsidR="00BD1DFB">
        <w:rPr>
          <w:sz w:val="24"/>
          <w:szCs w:val="24"/>
        </w:rPr>
        <w:t xml:space="preserve"> aged 40+</w:t>
      </w:r>
      <w:r w:rsidR="00AA5EFB">
        <w:rPr>
          <w:sz w:val="24"/>
          <w:szCs w:val="24"/>
        </w:rPr>
        <w:t>, and w</w:t>
      </w:r>
      <w:r w:rsidR="00D000AF">
        <w:rPr>
          <w:sz w:val="24"/>
          <w:szCs w:val="24"/>
        </w:rPr>
        <w:t>hen coffin remains were compared to shroud remains, only GH</w:t>
      </w:r>
      <w:r w:rsidR="00B2394E">
        <w:rPr>
          <w:sz w:val="24"/>
          <w:szCs w:val="24"/>
        </w:rPr>
        <w:t xml:space="preserve">J OA was </w:t>
      </w:r>
      <w:r w:rsidR="00C604EB">
        <w:rPr>
          <w:sz w:val="24"/>
          <w:szCs w:val="24"/>
        </w:rPr>
        <w:t xml:space="preserve">statistically </w:t>
      </w:r>
      <w:r w:rsidR="00B2394E">
        <w:rPr>
          <w:sz w:val="24"/>
          <w:szCs w:val="24"/>
        </w:rPr>
        <w:t>significant (</w:t>
      </w:r>
      <w:r w:rsidR="00B2394E" w:rsidRPr="00403B48">
        <w:rPr>
          <w:i/>
          <w:sz w:val="24"/>
          <w:szCs w:val="24"/>
        </w:rPr>
        <w:t>p</w:t>
      </w:r>
      <w:r w:rsidR="00B2394E" w:rsidRPr="007372BE">
        <w:rPr>
          <w:sz w:val="24"/>
          <w:szCs w:val="24"/>
        </w:rPr>
        <w:t>=0.</w:t>
      </w:r>
      <w:r w:rsidR="00B2394E">
        <w:rPr>
          <w:sz w:val="24"/>
          <w:szCs w:val="24"/>
        </w:rPr>
        <w:t>019),</w:t>
      </w:r>
      <w:r w:rsidR="00D000AF">
        <w:rPr>
          <w:sz w:val="24"/>
          <w:szCs w:val="24"/>
        </w:rPr>
        <w:t xml:space="preserve"> suggesting all other diseases to have been unaffected by socio-economic status. </w:t>
      </w:r>
    </w:p>
    <w:p w:rsidR="00B54FC3" w:rsidRPr="00042EFC" w:rsidRDefault="00145EF4" w:rsidP="003B5900">
      <w:pPr>
        <w:spacing w:line="360" w:lineRule="auto"/>
        <w:jc w:val="both"/>
        <w:rPr>
          <w:b/>
          <w:sz w:val="24"/>
          <w:szCs w:val="24"/>
        </w:rPr>
      </w:pPr>
      <w:r w:rsidRPr="00042EFC">
        <w:rPr>
          <w:b/>
          <w:sz w:val="24"/>
          <w:szCs w:val="24"/>
        </w:rPr>
        <w:t xml:space="preserve">Key Words: </w:t>
      </w:r>
    </w:p>
    <w:p w:rsidR="00145EF4" w:rsidRDefault="00145EF4" w:rsidP="003B5900">
      <w:pPr>
        <w:spacing w:line="360" w:lineRule="auto"/>
        <w:jc w:val="both"/>
        <w:rPr>
          <w:sz w:val="24"/>
          <w:szCs w:val="24"/>
        </w:rPr>
      </w:pPr>
      <w:r>
        <w:rPr>
          <w:sz w:val="24"/>
          <w:szCs w:val="24"/>
        </w:rPr>
        <w:t xml:space="preserve">Osteoarchaeology, Funerary archaeology, Bioarchaeology, Skeletal anthropology, Chichester, Medieval archaeology, Industrial Revolution, Shoulder disease, Osteoarthritis, Impingement, Rotator cuff disease, Fracture </w:t>
      </w:r>
    </w:p>
    <w:p w:rsidR="00255E88" w:rsidRDefault="00651E4A" w:rsidP="003B5900">
      <w:pPr>
        <w:pStyle w:val="Heading1"/>
        <w:spacing w:line="360" w:lineRule="auto"/>
        <w:jc w:val="both"/>
        <w:rPr>
          <w:rFonts w:asciiTheme="minorHAnsi" w:hAnsiTheme="minorHAnsi"/>
          <w:b w:val="0"/>
        </w:rPr>
      </w:pPr>
      <w:bookmarkStart w:id="1" w:name="_Hlk485651125"/>
      <w:bookmarkEnd w:id="0"/>
      <w:r>
        <w:rPr>
          <w:rFonts w:asciiTheme="minorHAnsi" w:hAnsiTheme="minorHAnsi"/>
          <w:b w:val="0"/>
        </w:rPr>
        <w:lastRenderedPageBreak/>
        <w:t xml:space="preserve">Research aims </w:t>
      </w:r>
    </w:p>
    <w:p w:rsidR="00651E4A" w:rsidRDefault="00651E4A" w:rsidP="003B5900">
      <w:pPr>
        <w:spacing w:line="360" w:lineRule="auto"/>
        <w:jc w:val="both"/>
        <w:rPr>
          <w:sz w:val="24"/>
          <w:szCs w:val="24"/>
        </w:rPr>
      </w:pPr>
      <w:r w:rsidRPr="00651E4A">
        <w:rPr>
          <w:sz w:val="24"/>
          <w:szCs w:val="24"/>
        </w:rPr>
        <w:t>Shoulder disease is a broad term for numerous lesions affecting the glenohumeral (GHJ) and acromioclavicular joints (ACJ) (Waldron, 2009), which are common locations for the manifestation of disease in both archaeological (Waldron, 2009) and modern populations (Nirschl, 1988; Brukhart et al., 2000).  Visible on skeletal remains through pathological lesions, this research assessed shoulder disease on skeletal remains from 18th and 19th century Chichester to quantify lesions in the historic population and improve understandings of the prevalence of shoulder pathology in an economically prosperous society at the time of the Industrial Revolution</w:t>
      </w:r>
      <w:r>
        <w:rPr>
          <w:sz w:val="24"/>
          <w:szCs w:val="24"/>
        </w:rPr>
        <w:t xml:space="preserve">. </w:t>
      </w:r>
    </w:p>
    <w:p w:rsidR="00651E4A" w:rsidRPr="004902E0" w:rsidRDefault="00651E4A" w:rsidP="003B5900">
      <w:pPr>
        <w:spacing w:line="360" w:lineRule="auto"/>
        <w:jc w:val="both"/>
        <w:rPr>
          <w:rFonts w:cs="Arial"/>
          <w:color w:val="222222"/>
          <w:sz w:val="24"/>
          <w:szCs w:val="24"/>
          <w:shd w:val="clear" w:color="auto" w:fill="FFFFFF"/>
        </w:rPr>
      </w:pPr>
      <w:r w:rsidRPr="004902E0">
        <w:rPr>
          <w:rFonts w:cs="Arial"/>
          <w:color w:val="222222"/>
          <w:sz w:val="24"/>
          <w:szCs w:val="24"/>
          <w:shd w:val="clear" w:color="auto" w:fill="FFFFFF"/>
        </w:rPr>
        <w:t xml:space="preserve">This </w:t>
      </w:r>
      <w:r>
        <w:rPr>
          <w:rFonts w:cs="Arial"/>
          <w:color w:val="222222"/>
          <w:sz w:val="24"/>
          <w:szCs w:val="24"/>
          <w:shd w:val="clear" w:color="auto" w:fill="FFFFFF"/>
        </w:rPr>
        <w:t>study</w:t>
      </w:r>
      <w:r w:rsidRPr="004902E0">
        <w:rPr>
          <w:rFonts w:cs="Arial"/>
          <w:color w:val="222222"/>
          <w:sz w:val="24"/>
          <w:szCs w:val="24"/>
          <w:shd w:val="clear" w:color="auto" w:fill="FFFFFF"/>
        </w:rPr>
        <w:t xml:space="preserve"> quant</w:t>
      </w:r>
      <w:r>
        <w:rPr>
          <w:rFonts w:cs="Arial"/>
          <w:color w:val="222222"/>
          <w:sz w:val="24"/>
          <w:szCs w:val="24"/>
          <w:shd w:val="clear" w:color="auto" w:fill="FFFFFF"/>
        </w:rPr>
        <w:t>ifies</w:t>
      </w:r>
      <w:r w:rsidRPr="004902E0">
        <w:rPr>
          <w:rFonts w:cs="Arial"/>
          <w:color w:val="222222"/>
          <w:sz w:val="24"/>
          <w:szCs w:val="24"/>
          <w:shd w:val="clear" w:color="auto" w:fill="FFFFFF"/>
        </w:rPr>
        <w:t xml:space="preserve"> osteoarthritis, rotator cuff dis</w:t>
      </w:r>
      <w:r>
        <w:rPr>
          <w:rFonts w:cs="Arial"/>
          <w:color w:val="222222"/>
          <w:sz w:val="24"/>
          <w:szCs w:val="24"/>
          <w:shd w:val="clear" w:color="auto" w:fill="FFFFFF"/>
        </w:rPr>
        <w:t>ease, impingement and fractures:</w:t>
      </w:r>
      <w:r w:rsidRPr="004902E0">
        <w:rPr>
          <w:rFonts w:cs="Arial"/>
          <w:color w:val="222222"/>
          <w:sz w:val="24"/>
          <w:szCs w:val="24"/>
          <w:shd w:val="clear" w:color="auto" w:fill="FFFFFF"/>
        </w:rPr>
        <w:t xml:space="preserve"> common lesions observed on the shoulder girdle and associated with natural degeneration, trauma and wear and tear at the joint.  The analysis compare</w:t>
      </w:r>
      <w:r>
        <w:rPr>
          <w:rFonts w:cs="Arial"/>
          <w:color w:val="222222"/>
          <w:sz w:val="24"/>
          <w:szCs w:val="24"/>
          <w:shd w:val="clear" w:color="auto" w:fill="FFFFFF"/>
        </w:rPr>
        <w:t>d</w:t>
      </w:r>
      <w:r w:rsidRPr="004902E0">
        <w:rPr>
          <w:rFonts w:cs="Arial"/>
          <w:color w:val="222222"/>
          <w:sz w:val="24"/>
          <w:szCs w:val="24"/>
          <w:shd w:val="clear" w:color="auto" w:fill="FFFFFF"/>
        </w:rPr>
        <w:t xml:space="preserve"> the prevalence of these diseases between biological sex, age and socio-economic status demographic groups</w:t>
      </w:r>
      <w:r w:rsidR="005E791C">
        <w:rPr>
          <w:rFonts w:cs="Arial"/>
          <w:color w:val="222222"/>
          <w:sz w:val="24"/>
          <w:szCs w:val="24"/>
          <w:shd w:val="clear" w:color="auto" w:fill="FFFFFF"/>
        </w:rPr>
        <w:t xml:space="preserve"> and laterality</w:t>
      </w:r>
      <w:r w:rsidRPr="004902E0">
        <w:rPr>
          <w:rFonts w:cs="Arial"/>
          <w:color w:val="222222"/>
          <w:sz w:val="24"/>
          <w:szCs w:val="24"/>
          <w:shd w:val="clear" w:color="auto" w:fill="FFFFFF"/>
        </w:rPr>
        <w:t xml:space="preserve"> to identify trends between the occurrence of the diseases across the </w:t>
      </w:r>
      <w:r>
        <w:rPr>
          <w:rFonts w:cs="Arial"/>
          <w:color w:val="222222"/>
          <w:sz w:val="24"/>
          <w:szCs w:val="24"/>
          <w:shd w:val="clear" w:color="auto" w:fill="FFFFFF"/>
        </w:rPr>
        <w:t>sample</w:t>
      </w:r>
      <w:r w:rsidRPr="004902E0">
        <w:rPr>
          <w:rFonts w:cs="Arial"/>
          <w:color w:val="222222"/>
          <w:sz w:val="24"/>
          <w:szCs w:val="24"/>
          <w:shd w:val="clear" w:color="auto" w:fill="FFFFFF"/>
        </w:rPr>
        <w:t xml:space="preserve">, ensuring both intrinsic and extrinsic causes of the diseases are acknowledged.  </w:t>
      </w:r>
      <w:r w:rsidRPr="004902E0">
        <w:rPr>
          <w:rFonts w:cs="Arial"/>
          <w:sz w:val="24"/>
          <w:szCs w:val="24"/>
          <w:shd w:val="clear" w:color="auto" w:fill="FFFFFF"/>
        </w:rPr>
        <w:t>T</w:t>
      </w:r>
      <w:r w:rsidRPr="004902E0">
        <w:rPr>
          <w:rFonts w:cs="Arial"/>
          <w:color w:val="222222"/>
          <w:sz w:val="24"/>
          <w:szCs w:val="24"/>
          <w:shd w:val="clear" w:color="auto" w:fill="FFFFFF"/>
        </w:rPr>
        <w:t>his research ultimately explores if social alterations</w:t>
      </w:r>
      <w:r w:rsidRPr="004902E0">
        <w:rPr>
          <w:rFonts w:cs="Arial"/>
          <w:sz w:val="24"/>
          <w:szCs w:val="24"/>
          <w:shd w:val="clear" w:color="auto" w:fill="FFFFFF"/>
        </w:rPr>
        <w:t xml:space="preserve"> caused by technological advancements across the Industrial Revolution </w:t>
      </w:r>
      <w:r w:rsidRPr="004902E0">
        <w:rPr>
          <w:rFonts w:cs="Arial"/>
          <w:color w:val="222222"/>
          <w:sz w:val="24"/>
          <w:szCs w:val="24"/>
          <w:shd w:val="clear" w:color="auto" w:fill="FFFFFF"/>
        </w:rPr>
        <w:t xml:space="preserve">are mirrored by demographic differences in the prevalence of shoulder disease.  </w:t>
      </w:r>
    </w:p>
    <w:p w:rsidR="00651E4A" w:rsidRDefault="00651E4A" w:rsidP="003B5900">
      <w:pPr>
        <w:pStyle w:val="Heading1"/>
        <w:spacing w:line="360" w:lineRule="auto"/>
        <w:jc w:val="both"/>
        <w:rPr>
          <w:rFonts w:asciiTheme="minorHAnsi" w:hAnsiTheme="minorHAnsi"/>
          <w:b w:val="0"/>
        </w:rPr>
      </w:pPr>
      <w:r>
        <w:rPr>
          <w:rFonts w:asciiTheme="minorHAnsi" w:hAnsiTheme="minorHAnsi"/>
          <w:b w:val="0"/>
        </w:rPr>
        <w:t xml:space="preserve">Research context  </w:t>
      </w:r>
    </w:p>
    <w:p w:rsidR="007E0281" w:rsidRPr="00651E4A" w:rsidRDefault="00347BCC" w:rsidP="003B5900">
      <w:pPr>
        <w:spacing w:line="360" w:lineRule="auto"/>
        <w:jc w:val="both"/>
        <w:rPr>
          <w:rFonts w:cs="Arial"/>
          <w:b/>
          <w:color w:val="222222"/>
          <w:shd w:val="clear" w:color="auto" w:fill="FFFFFF"/>
        </w:rPr>
      </w:pPr>
      <w:r>
        <w:rPr>
          <w:rFonts w:cs="Arial"/>
          <w:b/>
          <w:color w:val="222222"/>
          <w:shd w:val="clear" w:color="auto" w:fill="FFFFFF"/>
        </w:rPr>
        <w:t>Evolution</w:t>
      </w:r>
    </w:p>
    <w:p w:rsidR="007E0281" w:rsidRPr="004902E0" w:rsidRDefault="007E0281" w:rsidP="003B5900">
      <w:pPr>
        <w:spacing w:line="360" w:lineRule="auto"/>
        <w:jc w:val="both"/>
        <w:rPr>
          <w:rFonts w:cs="Arial"/>
          <w:color w:val="222222"/>
          <w:sz w:val="24"/>
          <w:szCs w:val="24"/>
          <w:shd w:val="clear" w:color="auto" w:fill="FFFFFF"/>
        </w:rPr>
      </w:pPr>
      <w:r w:rsidRPr="004902E0">
        <w:rPr>
          <w:rFonts w:cs="Arial"/>
          <w:color w:val="222222"/>
          <w:sz w:val="24"/>
          <w:szCs w:val="24"/>
          <w:shd w:val="clear" w:color="auto" w:fill="FFFFFF"/>
        </w:rPr>
        <w:t>Originating as a weight bearing joint in primates, the shoulder complex has adapted with evolution, resulting in a fundamental role change as bipedal</w:t>
      </w:r>
      <w:r w:rsidR="00D976BA">
        <w:rPr>
          <w:rFonts w:cs="Arial"/>
          <w:color w:val="222222"/>
          <w:sz w:val="24"/>
          <w:szCs w:val="24"/>
          <w:shd w:val="clear" w:color="auto" w:fill="FFFFFF"/>
        </w:rPr>
        <w:t>ism developed (Schmitt, 1998). Shoulder girdle adaptions</w:t>
      </w:r>
      <w:r w:rsidRPr="004902E0">
        <w:rPr>
          <w:rFonts w:cs="Arial"/>
          <w:color w:val="222222"/>
          <w:sz w:val="24"/>
          <w:szCs w:val="24"/>
          <w:shd w:val="clear" w:color="auto" w:fill="FFFFFF"/>
        </w:rPr>
        <w:t xml:space="preserve"> </w:t>
      </w:r>
      <w:r w:rsidR="00D976BA">
        <w:rPr>
          <w:rFonts w:cs="Arial"/>
          <w:color w:val="222222"/>
          <w:sz w:val="24"/>
          <w:szCs w:val="24"/>
          <w:shd w:val="clear" w:color="auto" w:fill="FFFFFF"/>
        </w:rPr>
        <w:t>are</w:t>
      </w:r>
      <w:r w:rsidRPr="004902E0">
        <w:rPr>
          <w:rFonts w:cs="Arial"/>
          <w:color w:val="222222"/>
          <w:sz w:val="24"/>
          <w:szCs w:val="24"/>
          <w:shd w:val="clear" w:color="auto" w:fill="FFFFFF"/>
        </w:rPr>
        <w:t xml:space="preserve"> believed to have </w:t>
      </w:r>
      <w:r w:rsidR="00D976BA">
        <w:rPr>
          <w:rFonts w:cs="Arial"/>
          <w:color w:val="222222"/>
          <w:sz w:val="24"/>
          <w:szCs w:val="24"/>
          <w:shd w:val="clear" w:color="auto" w:fill="FFFFFF"/>
        </w:rPr>
        <w:t xml:space="preserve">developed </w:t>
      </w:r>
      <w:r w:rsidRPr="004902E0">
        <w:rPr>
          <w:rFonts w:cs="Arial"/>
          <w:color w:val="222222"/>
          <w:sz w:val="24"/>
          <w:szCs w:val="24"/>
          <w:shd w:val="clear" w:color="auto" w:fill="FFFFFF"/>
        </w:rPr>
        <w:t>to facilitate the formation of higher agility at the shoulder joint, exempt from the forces of locomotion and kinematic stress, and to be protective, ensuring fewer forces are placed through the unstable joint</w:t>
      </w:r>
      <w:r w:rsidR="00AD22CB">
        <w:rPr>
          <w:rFonts w:cs="Arial"/>
          <w:color w:val="222222"/>
          <w:sz w:val="24"/>
          <w:szCs w:val="24"/>
          <w:shd w:val="clear" w:color="auto" w:fill="FFFFFF"/>
        </w:rPr>
        <w:t xml:space="preserve"> </w:t>
      </w:r>
      <w:r w:rsidRPr="004902E0">
        <w:rPr>
          <w:rFonts w:cs="Arial"/>
          <w:color w:val="222222"/>
          <w:sz w:val="24"/>
          <w:szCs w:val="24"/>
          <w:shd w:val="clear" w:color="auto" w:fill="FFFFFF"/>
        </w:rPr>
        <w:t xml:space="preserve">(Vilensky, 1989; Biewener, 1990; Schmitt, 1998).  </w:t>
      </w:r>
    </w:p>
    <w:p w:rsidR="007E0281" w:rsidRDefault="00D602F4" w:rsidP="003B5900">
      <w:pPr>
        <w:spacing w:line="360" w:lineRule="auto"/>
        <w:jc w:val="both"/>
        <w:rPr>
          <w:rFonts w:cs="Arial"/>
          <w:color w:val="222222"/>
          <w:sz w:val="24"/>
          <w:szCs w:val="24"/>
          <w:shd w:val="clear" w:color="auto" w:fill="FFFFFF"/>
        </w:rPr>
      </w:pPr>
      <w:r>
        <w:rPr>
          <w:rFonts w:cs="Arial"/>
          <w:color w:val="222222"/>
          <w:sz w:val="24"/>
          <w:szCs w:val="24"/>
          <w:shd w:val="clear" w:color="auto" w:fill="FFFFFF"/>
        </w:rPr>
        <w:t>Using</w:t>
      </w:r>
      <w:r w:rsidR="007E0281">
        <w:rPr>
          <w:rFonts w:cs="Arial"/>
          <w:color w:val="222222"/>
          <w:sz w:val="24"/>
          <w:szCs w:val="24"/>
          <w:shd w:val="clear" w:color="auto" w:fill="FFFFFF"/>
        </w:rPr>
        <w:t xml:space="preserve"> geometric </w:t>
      </w:r>
      <w:r w:rsidR="007E0281" w:rsidRPr="00850E6B">
        <w:rPr>
          <w:rFonts w:cs="Arial"/>
          <w:color w:val="222222"/>
          <w:sz w:val="24"/>
          <w:szCs w:val="24"/>
          <w:shd w:val="clear" w:color="auto" w:fill="FFFFFF"/>
        </w:rPr>
        <w:t>analyses of the size and shape of the coxofemoral and glenohumeral joints to evaluate their concordance with body mass</w:t>
      </w:r>
      <w:r w:rsidRPr="00850E6B">
        <w:rPr>
          <w:rFonts w:cs="Arial"/>
          <w:color w:val="222222"/>
          <w:sz w:val="24"/>
          <w:szCs w:val="24"/>
          <w:shd w:val="clear" w:color="auto" w:fill="FFFFFF"/>
        </w:rPr>
        <w:t xml:space="preserve"> amongst primates</w:t>
      </w:r>
      <w:r w:rsidR="007E0281" w:rsidRPr="00850E6B">
        <w:rPr>
          <w:sz w:val="24"/>
          <w:szCs w:val="24"/>
        </w:rPr>
        <w:t xml:space="preserve"> wit</w:t>
      </w:r>
      <w:r w:rsidRPr="00850E6B">
        <w:rPr>
          <w:sz w:val="24"/>
          <w:szCs w:val="24"/>
        </w:rPr>
        <w:t xml:space="preserve">h known body mass time </w:t>
      </w:r>
      <w:r w:rsidR="00850E6B" w:rsidRPr="00850E6B">
        <w:rPr>
          <w:sz w:val="24"/>
          <w:szCs w:val="24"/>
        </w:rPr>
        <w:t xml:space="preserve">and time </w:t>
      </w:r>
      <w:r w:rsidRPr="00850E6B">
        <w:rPr>
          <w:sz w:val="24"/>
          <w:szCs w:val="24"/>
        </w:rPr>
        <w:t xml:space="preserve">of death, </w:t>
      </w:r>
      <w:r w:rsidR="007E0281" w:rsidRPr="00850E6B">
        <w:rPr>
          <w:rFonts w:cs="Arial"/>
          <w:color w:val="222222"/>
          <w:sz w:val="24"/>
          <w:szCs w:val="24"/>
          <w:shd w:val="clear" w:color="auto" w:fill="FFFFFF"/>
        </w:rPr>
        <w:t>Jungers</w:t>
      </w:r>
      <w:r w:rsidR="007E0281" w:rsidRPr="004902E0">
        <w:rPr>
          <w:rFonts w:cs="Arial"/>
          <w:color w:val="222222"/>
          <w:sz w:val="24"/>
          <w:szCs w:val="24"/>
          <w:shd w:val="clear" w:color="auto" w:fill="FFFFFF"/>
        </w:rPr>
        <w:t xml:space="preserve"> </w:t>
      </w:r>
      <w:r>
        <w:rPr>
          <w:rFonts w:cs="Arial"/>
          <w:color w:val="222222"/>
          <w:sz w:val="24"/>
          <w:szCs w:val="24"/>
          <w:shd w:val="clear" w:color="auto" w:fill="FFFFFF"/>
        </w:rPr>
        <w:t>(</w:t>
      </w:r>
      <w:r w:rsidR="007E0281" w:rsidRPr="004902E0">
        <w:rPr>
          <w:rFonts w:cs="Arial"/>
          <w:color w:val="222222"/>
          <w:sz w:val="24"/>
          <w:szCs w:val="24"/>
          <w:shd w:val="clear" w:color="auto" w:fill="FFFFFF"/>
        </w:rPr>
        <w:t>1988)</w:t>
      </w:r>
      <w:r>
        <w:rPr>
          <w:sz w:val="24"/>
          <w:szCs w:val="24"/>
        </w:rPr>
        <w:t xml:space="preserve"> found </w:t>
      </w:r>
      <w:r w:rsidR="007E0281" w:rsidRPr="004902E0">
        <w:rPr>
          <w:rFonts w:cs="Arial"/>
          <w:color w:val="222222"/>
          <w:sz w:val="24"/>
          <w:szCs w:val="24"/>
          <w:shd w:val="clear" w:color="auto" w:fill="FFFFFF"/>
        </w:rPr>
        <w:t xml:space="preserve">the measurements, excluding those of </w:t>
      </w:r>
      <w:r w:rsidR="007E0281" w:rsidRPr="004902E0">
        <w:rPr>
          <w:rFonts w:cs="Arial"/>
          <w:color w:val="222222"/>
          <w:sz w:val="24"/>
          <w:szCs w:val="24"/>
          <w:shd w:val="clear" w:color="auto" w:fill="FFFFFF"/>
        </w:rPr>
        <w:lastRenderedPageBreak/>
        <w:t>the human hip joint, to correlate with body size.</w:t>
      </w:r>
      <w:r>
        <w:rPr>
          <w:rFonts w:cs="Arial"/>
          <w:color w:val="222222"/>
          <w:sz w:val="24"/>
          <w:szCs w:val="24"/>
          <w:shd w:val="clear" w:color="auto" w:fill="FFFFFF"/>
        </w:rPr>
        <w:t xml:space="preserve"> </w:t>
      </w:r>
      <w:r w:rsidR="007E0281">
        <w:rPr>
          <w:rFonts w:cs="Arial"/>
          <w:color w:val="222222"/>
          <w:sz w:val="24"/>
          <w:szCs w:val="24"/>
          <w:shd w:val="clear" w:color="auto" w:fill="FFFFFF"/>
        </w:rPr>
        <w:t>The research suggests the coxofemoral</w:t>
      </w:r>
      <w:r>
        <w:rPr>
          <w:rFonts w:cs="Arial"/>
          <w:color w:val="222222"/>
          <w:sz w:val="24"/>
          <w:szCs w:val="24"/>
          <w:shd w:val="clear" w:color="auto" w:fill="FFFFFF"/>
        </w:rPr>
        <w:t xml:space="preserve"> joint in modern humans </w:t>
      </w:r>
      <w:r w:rsidR="007E0281">
        <w:rPr>
          <w:rFonts w:cs="Arial"/>
          <w:color w:val="222222"/>
          <w:sz w:val="24"/>
          <w:szCs w:val="24"/>
          <w:shd w:val="clear" w:color="auto" w:fill="FFFFFF"/>
        </w:rPr>
        <w:t>has adaptively increased in size due to bipedalism to support and stabilise the full weight of the trunk.</w:t>
      </w:r>
      <w:r w:rsidR="0088433E">
        <w:rPr>
          <w:rFonts w:cs="Arial"/>
          <w:color w:val="222222"/>
          <w:sz w:val="24"/>
          <w:szCs w:val="24"/>
          <w:shd w:val="clear" w:color="auto" w:fill="FFFFFF"/>
        </w:rPr>
        <w:t xml:space="preserve"> </w:t>
      </w:r>
      <w:r w:rsidR="007E0281">
        <w:rPr>
          <w:rFonts w:cs="Arial"/>
          <w:color w:val="222222"/>
          <w:sz w:val="24"/>
          <w:szCs w:val="24"/>
          <w:shd w:val="clear" w:color="auto" w:fill="FFFFFF"/>
        </w:rPr>
        <w:t xml:space="preserve">Concurrently, the shoulder complex has proportionally decreased in size as fewer kinetic forces and stresses are placed through it, becoming the adaptable, gracile and mobile joint that it is today (Jungers, 1988). </w:t>
      </w:r>
    </w:p>
    <w:p w:rsidR="007E0281" w:rsidRPr="00CD7C51" w:rsidRDefault="00347BCC" w:rsidP="003B5900">
      <w:pPr>
        <w:spacing w:line="360" w:lineRule="auto"/>
        <w:jc w:val="both"/>
        <w:rPr>
          <w:rFonts w:cs="Arial"/>
          <w:b/>
          <w:color w:val="222222"/>
          <w:sz w:val="24"/>
          <w:szCs w:val="24"/>
          <w:shd w:val="clear" w:color="auto" w:fill="FFFFFF"/>
        </w:rPr>
      </w:pPr>
      <w:r>
        <w:rPr>
          <w:rFonts w:cstheme="minorHAnsi"/>
          <w:b/>
          <w:shd w:val="clear" w:color="auto" w:fill="FFFFFF"/>
        </w:rPr>
        <w:t xml:space="preserve">Pathology </w:t>
      </w:r>
    </w:p>
    <w:p w:rsidR="007E0281" w:rsidRDefault="007E0281" w:rsidP="003B5900">
      <w:pPr>
        <w:spacing w:line="360" w:lineRule="auto"/>
        <w:jc w:val="both"/>
        <w:rPr>
          <w:rFonts w:cs="Calibri"/>
          <w:spacing w:val="-1"/>
          <w:sz w:val="24"/>
          <w:szCs w:val="24"/>
        </w:rPr>
      </w:pPr>
      <w:r w:rsidRPr="004902E0">
        <w:rPr>
          <w:rFonts w:cs="Calibri"/>
          <w:spacing w:val="-1"/>
          <w:sz w:val="24"/>
          <w:szCs w:val="24"/>
        </w:rPr>
        <w:t>The high mobility of the shoulder joint is closely related to its instability and susceptibility to injury.  This</w:t>
      </w:r>
      <w:r>
        <w:rPr>
          <w:rFonts w:cs="Calibri"/>
          <w:spacing w:val="-1"/>
          <w:sz w:val="24"/>
          <w:szCs w:val="24"/>
        </w:rPr>
        <w:t>, as well as natural degeneration, is responsible for shoulder disease</w:t>
      </w:r>
      <w:r w:rsidRPr="004902E0">
        <w:rPr>
          <w:rFonts w:cs="Calibri"/>
          <w:spacing w:val="-1"/>
          <w:sz w:val="24"/>
          <w:szCs w:val="24"/>
        </w:rPr>
        <w:t xml:space="preserve">. </w:t>
      </w:r>
    </w:p>
    <w:p w:rsidR="007E0281" w:rsidRPr="0070311C" w:rsidRDefault="007E0281" w:rsidP="003B5900">
      <w:pPr>
        <w:spacing w:line="360" w:lineRule="auto"/>
        <w:jc w:val="both"/>
        <w:rPr>
          <w:rFonts w:cs="Calibri"/>
          <w:i/>
          <w:spacing w:val="-1"/>
          <w:sz w:val="24"/>
          <w:szCs w:val="24"/>
        </w:rPr>
      </w:pPr>
      <w:r w:rsidRPr="0070311C">
        <w:rPr>
          <w:rFonts w:cs="Calibri"/>
          <w:i/>
          <w:spacing w:val="-1"/>
          <w:sz w:val="24"/>
          <w:szCs w:val="24"/>
        </w:rPr>
        <w:t xml:space="preserve">OSTEOARTHRITIS </w:t>
      </w:r>
    </w:p>
    <w:p w:rsidR="007E0281" w:rsidRDefault="007E0281" w:rsidP="003B5900">
      <w:pPr>
        <w:spacing w:before="144" w:line="360" w:lineRule="auto"/>
        <w:jc w:val="both"/>
        <w:rPr>
          <w:rFonts w:cs="Calibri"/>
          <w:spacing w:val="-1"/>
          <w:sz w:val="24"/>
          <w:szCs w:val="24"/>
        </w:rPr>
      </w:pPr>
      <w:r w:rsidRPr="004902E0">
        <w:rPr>
          <w:rFonts w:cs="Calibri"/>
          <w:spacing w:val="-1"/>
          <w:sz w:val="24"/>
          <w:szCs w:val="24"/>
        </w:rPr>
        <w:t xml:space="preserve">Osteoarthritis (OA) is a proliferative joint disease that can occur either as a primary or secondary disease.  Primary OA is caused by biological factors, such as age, sex and body weight, whilst secondary OA occurs when the disease is triggered by other pathology or trauma (Esser and Bailey, 2011).  </w:t>
      </w:r>
    </w:p>
    <w:p w:rsidR="007E0281" w:rsidRDefault="007E0281" w:rsidP="003B5900">
      <w:pPr>
        <w:spacing w:before="144" w:line="360" w:lineRule="auto"/>
        <w:jc w:val="both"/>
        <w:rPr>
          <w:rFonts w:cs="Calibri"/>
          <w:spacing w:val="-1"/>
          <w:sz w:val="24"/>
          <w:szCs w:val="24"/>
        </w:rPr>
      </w:pPr>
      <w:r w:rsidRPr="000A770F">
        <w:rPr>
          <w:rFonts w:cs="Calibri"/>
          <w:spacing w:val="-1"/>
          <w:sz w:val="24"/>
          <w:szCs w:val="24"/>
        </w:rPr>
        <w:t>OA is a common disease historically and in modern populations and is the most prevalent</w:t>
      </w:r>
      <w:r>
        <w:rPr>
          <w:rFonts w:cs="Calibri"/>
          <w:spacing w:val="-1"/>
          <w:sz w:val="24"/>
          <w:szCs w:val="24"/>
        </w:rPr>
        <w:t xml:space="preserve"> joint</w:t>
      </w:r>
      <w:r w:rsidRPr="000A770F">
        <w:rPr>
          <w:rFonts w:cs="Calibri"/>
          <w:spacing w:val="-1"/>
          <w:sz w:val="24"/>
          <w:szCs w:val="24"/>
        </w:rPr>
        <w:t xml:space="preserve"> disease identified on skeletal remains (Waldron, 2009).  </w:t>
      </w:r>
      <w:r>
        <w:rPr>
          <w:rFonts w:cs="Calibri"/>
          <w:spacing w:val="-1"/>
          <w:sz w:val="24"/>
          <w:szCs w:val="24"/>
        </w:rPr>
        <w:t>In the shoulder, glenohumeral (GHJ) OA and acromioclavicular joint (ACJ) OA can occur.  Waldron (2009) states GHJ OA to be uncommon when the shoulder has not experienced trauma, whilst it can also be caused by excessive use of the shoulder complex.  Conversely, ACJ OA is highly prevalent, reported to be one of the most frequent locations for the manifestation of OA in</w:t>
      </w:r>
      <w:r w:rsidRPr="000A770F">
        <w:rPr>
          <w:rFonts w:cs="Calibri"/>
          <w:spacing w:val="-1"/>
          <w:sz w:val="24"/>
          <w:szCs w:val="24"/>
        </w:rPr>
        <w:t xml:space="preserve"> </w:t>
      </w:r>
      <w:r>
        <w:rPr>
          <w:rFonts w:cs="Calibri"/>
          <w:spacing w:val="-1"/>
          <w:sz w:val="24"/>
          <w:szCs w:val="24"/>
        </w:rPr>
        <w:t xml:space="preserve">remains from </w:t>
      </w:r>
      <w:r w:rsidRPr="000A770F">
        <w:rPr>
          <w:rFonts w:cs="Calibri"/>
          <w:spacing w:val="-1"/>
          <w:sz w:val="24"/>
          <w:szCs w:val="24"/>
        </w:rPr>
        <w:t>the med</w:t>
      </w:r>
      <w:r>
        <w:rPr>
          <w:rFonts w:cs="Calibri"/>
          <w:spacing w:val="-1"/>
          <w:sz w:val="24"/>
          <w:szCs w:val="24"/>
        </w:rPr>
        <w:t xml:space="preserve">ieval and post-medieval periods (Waldron, 2009), occurring due to natural degeneration.  </w:t>
      </w:r>
    </w:p>
    <w:p w:rsidR="007E0281" w:rsidRDefault="007E0281" w:rsidP="003B5900">
      <w:pPr>
        <w:spacing w:before="144" w:line="360" w:lineRule="auto"/>
        <w:jc w:val="both"/>
        <w:rPr>
          <w:rFonts w:cs="Calibri"/>
          <w:spacing w:val="-1"/>
          <w:sz w:val="24"/>
          <w:szCs w:val="24"/>
        </w:rPr>
      </w:pPr>
      <w:r>
        <w:rPr>
          <w:rFonts w:cs="Calibri"/>
          <w:spacing w:val="-1"/>
          <w:sz w:val="24"/>
          <w:szCs w:val="24"/>
        </w:rPr>
        <w:t xml:space="preserve">The prevalence of </w:t>
      </w:r>
      <w:r w:rsidRPr="000A770F">
        <w:rPr>
          <w:rFonts w:cs="Calibri"/>
          <w:spacing w:val="-1"/>
          <w:sz w:val="24"/>
          <w:szCs w:val="24"/>
        </w:rPr>
        <w:t>OA is positively linked with age, increasing linearly as degenerative changes occur in the ageing process</w:t>
      </w:r>
      <w:r w:rsidR="00042EFC">
        <w:rPr>
          <w:rFonts w:cs="Calibri"/>
          <w:spacing w:val="-1"/>
          <w:sz w:val="24"/>
          <w:szCs w:val="24"/>
        </w:rPr>
        <w:t>, and genetics, causing some to be more susceptible than others</w:t>
      </w:r>
      <w:r>
        <w:rPr>
          <w:rFonts w:cs="Calibri"/>
          <w:spacing w:val="-1"/>
          <w:sz w:val="24"/>
          <w:szCs w:val="24"/>
        </w:rPr>
        <w:t xml:space="preserve"> (Hanna </w:t>
      </w:r>
      <w:r w:rsidRPr="00C25B20">
        <w:rPr>
          <w:rFonts w:cs="Calibri"/>
          <w:i/>
          <w:spacing w:val="-1"/>
          <w:sz w:val="24"/>
          <w:szCs w:val="24"/>
        </w:rPr>
        <w:t>et al</w:t>
      </w:r>
      <w:r>
        <w:rPr>
          <w:rFonts w:cs="Calibri"/>
          <w:spacing w:val="-1"/>
          <w:sz w:val="24"/>
          <w:szCs w:val="24"/>
        </w:rPr>
        <w:t xml:space="preserve">., 2009; </w:t>
      </w:r>
      <w:r w:rsidRPr="00C25B20">
        <w:rPr>
          <w:rFonts w:cs="Calibri"/>
          <w:spacing w:val="-1"/>
          <w:sz w:val="24"/>
          <w:szCs w:val="24"/>
        </w:rPr>
        <w:t>Prieto-Alhambra</w:t>
      </w:r>
      <w:r>
        <w:rPr>
          <w:rFonts w:cs="Calibri"/>
          <w:spacing w:val="-1"/>
          <w:sz w:val="24"/>
          <w:szCs w:val="24"/>
        </w:rPr>
        <w:t xml:space="preserve"> </w:t>
      </w:r>
      <w:r w:rsidRPr="00C25B20">
        <w:rPr>
          <w:rFonts w:cs="Calibri"/>
          <w:i/>
          <w:spacing w:val="-1"/>
          <w:sz w:val="24"/>
          <w:szCs w:val="24"/>
        </w:rPr>
        <w:t>et al</w:t>
      </w:r>
      <w:r>
        <w:rPr>
          <w:rFonts w:cs="Calibri"/>
          <w:spacing w:val="-1"/>
          <w:sz w:val="24"/>
          <w:szCs w:val="24"/>
        </w:rPr>
        <w:t>., 2014)</w:t>
      </w:r>
      <w:r w:rsidRPr="000A770F">
        <w:rPr>
          <w:rFonts w:cs="Calibri"/>
          <w:spacing w:val="-1"/>
          <w:sz w:val="24"/>
          <w:szCs w:val="24"/>
        </w:rPr>
        <w:t xml:space="preserve">.  </w:t>
      </w:r>
      <w:r>
        <w:rPr>
          <w:rFonts w:cs="Calibri"/>
          <w:spacing w:val="-1"/>
          <w:sz w:val="24"/>
          <w:szCs w:val="24"/>
        </w:rPr>
        <w:t>The disease has equally been linked to physicality and labour in archaeological remains</w:t>
      </w:r>
      <w:r w:rsidRPr="00511E64">
        <w:rPr>
          <w:sz w:val="24"/>
          <w:szCs w:val="24"/>
        </w:rPr>
        <w:t xml:space="preserve"> </w:t>
      </w:r>
      <w:r>
        <w:rPr>
          <w:sz w:val="24"/>
          <w:szCs w:val="24"/>
        </w:rPr>
        <w:t>across the literature, and was explored by Waldron and Cox (</w:t>
      </w:r>
      <w:r w:rsidRPr="002C4CED">
        <w:rPr>
          <w:sz w:val="24"/>
          <w:szCs w:val="24"/>
        </w:rPr>
        <w:t>1989)</w:t>
      </w:r>
      <w:r>
        <w:rPr>
          <w:rFonts w:cs="Calibri"/>
          <w:spacing w:val="-1"/>
          <w:sz w:val="24"/>
          <w:szCs w:val="24"/>
        </w:rPr>
        <w:t xml:space="preserve"> in documented remains from London’s Spitalfields Cemetery.  The study found manual workers to exhibit a larger quantity of OA, proposedly due to greater wear and tear at the joint</w:t>
      </w:r>
      <w:r>
        <w:rPr>
          <w:sz w:val="24"/>
          <w:szCs w:val="24"/>
        </w:rPr>
        <w:t>.  S</w:t>
      </w:r>
      <w:r w:rsidRPr="000A770F">
        <w:rPr>
          <w:rFonts w:cs="Calibri"/>
          <w:spacing w:val="-1"/>
          <w:sz w:val="24"/>
          <w:szCs w:val="24"/>
        </w:rPr>
        <w:t xml:space="preserve">tudies </w:t>
      </w:r>
      <w:r>
        <w:rPr>
          <w:rFonts w:cs="Calibri"/>
          <w:spacing w:val="-1"/>
          <w:sz w:val="24"/>
          <w:szCs w:val="24"/>
        </w:rPr>
        <w:t xml:space="preserve">further </w:t>
      </w:r>
      <w:r w:rsidRPr="000A770F">
        <w:rPr>
          <w:rFonts w:cs="Calibri"/>
          <w:spacing w:val="-1"/>
          <w:sz w:val="24"/>
          <w:szCs w:val="24"/>
        </w:rPr>
        <w:t>suggest females to more commonly exhibit OA, associated with biological intrinsic causes</w:t>
      </w:r>
      <w:r>
        <w:rPr>
          <w:rFonts w:cs="Calibri"/>
          <w:spacing w:val="-1"/>
          <w:sz w:val="24"/>
          <w:szCs w:val="24"/>
        </w:rPr>
        <w:t xml:space="preserve">, including the </w:t>
      </w:r>
      <w:r>
        <w:rPr>
          <w:rFonts w:cs="Calibri"/>
          <w:spacing w:val="-1"/>
          <w:sz w:val="24"/>
          <w:szCs w:val="24"/>
        </w:rPr>
        <w:lastRenderedPageBreak/>
        <w:t xml:space="preserve">menopause </w:t>
      </w:r>
      <w:r w:rsidRPr="000A770F">
        <w:rPr>
          <w:rFonts w:cs="Calibri"/>
          <w:spacing w:val="-1"/>
          <w:sz w:val="24"/>
          <w:szCs w:val="24"/>
        </w:rPr>
        <w:t>(</w:t>
      </w:r>
      <w:r w:rsidRPr="00961D7C">
        <w:rPr>
          <w:rFonts w:cs="Calibri"/>
          <w:spacing w:val="-1"/>
          <w:sz w:val="24"/>
          <w:szCs w:val="24"/>
        </w:rPr>
        <w:t>Verbrugge</w:t>
      </w:r>
      <w:r>
        <w:rPr>
          <w:rFonts w:cs="Calibri"/>
          <w:spacing w:val="-1"/>
          <w:sz w:val="24"/>
          <w:szCs w:val="24"/>
        </w:rPr>
        <w:t>, 1995;</w:t>
      </w:r>
      <w:r w:rsidRPr="00961D7C">
        <w:rPr>
          <w:rFonts w:cs="Calibri"/>
          <w:spacing w:val="-1"/>
          <w:sz w:val="24"/>
          <w:szCs w:val="24"/>
        </w:rPr>
        <w:t xml:space="preserve"> </w:t>
      </w:r>
      <w:r w:rsidRPr="000A770F">
        <w:rPr>
          <w:rFonts w:cs="Calibri"/>
          <w:spacing w:val="-1"/>
          <w:sz w:val="24"/>
          <w:szCs w:val="24"/>
        </w:rPr>
        <w:t>Waldron, 2009).</w:t>
      </w:r>
      <w:r w:rsidRPr="000A770F">
        <w:rPr>
          <w:rFonts w:cs="Calibri"/>
          <w:i/>
          <w:spacing w:val="-1"/>
          <w:sz w:val="24"/>
          <w:szCs w:val="24"/>
        </w:rPr>
        <w:t xml:space="preserve"> </w:t>
      </w:r>
      <w:r w:rsidRPr="000A770F">
        <w:rPr>
          <w:rFonts w:cs="Calibri"/>
          <w:spacing w:val="-1"/>
          <w:sz w:val="24"/>
          <w:szCs w:val="24"/>
        </w:rPr>
        <w:t xml:space="preserve"> </w:t>
      </w:r>
      <w:r>
        <w:rPr>
          <w:rFonts w:cs="Calibri"/>
          <w:spacing w:val="-1"/>
          <w:sz w:val="24"/>
          <w:szCs w:val="24"/>
        </w:rPr>
        <w:t xml:space="preserve">This was outlined in a clinical assessment of tibiofemoral OA by Hanna </w:t>
      </w:r>
      <w:r w:rsidRPr="00C25B20">
        <w:rPr>
          <w:rFonts w:cs="Calibri"/>
          <w:i/>
          <w:spacing w:val="-1"/>
          <w:sz w:val="24"/>
          <w:szCs w:val="24"/>
        </w:rPr>
        <w:t>et al</w:t>
      </w:r>
      <w:r>
        <w:rPr>
          <w:rFonts w:cs="Calibri"/>
          <w:spacing w:val="-1"/>
          <w:sz w:val="24"/>
          <w:szCs w:val="24"/>
        </w:rPr>
        <w:t xml:space="preserve">. (2009), finding females to have a predisposition to OA due to cartilage health, and supported in a study by </w:t>
      </w:r>
      <w:r w:rsidRPr="00961D7C">
        <w:rPr>
          <w:rFonts w:cs="Calibri"/>
          <w:spacing w:val="-1"/>
          <w:sz w:val="24"/>
          <w:szCs w:val="24"/>
        </w:rPr>
        <w:t>Verbrugge</w:t>
      </w:r>
      <w:r>
        <w:rPr>
          <w:rFonts w:cs="Calibri"/>
          <w:spacing w:val="-1"/>
          <w:sz w:val="24"/>
          <w:szCs w:val="24"/>
        </w:rPr>
        <w:t xml:space="preserve"> (1995), outlining the rate of all forms of arthritis in females to exceed the rate in males in studies by the American National Health Interview Survey.</w:t>
      </w:r>
    </w:p>
    <w:p w:rsidR="007E0281" w:rsidRDefault="007E0281" w:rsidP="003B5900">
      <w:pPr>
        <w:spacing w:before="144" w:line="360" w:lineRule="auto"/>
        <w:jc w:val="both"/>
        <w:rPr>
          <w:rFonts w:cs="Calibri"/>
          <w:spacing w:val="-1"/>
          <w:sz w:val="24"/>
          <w:szCs w:val="24"/>
        </w:rPr>
      </w:pPr>
      <w:r w:rsidRPr="00961D7C">
        <w:rPr>
          <w:rFonts w:cs="Calibri"/>
          <w:spacing w:val="-1"/>
          <w:sz w:val="24"/>
          <w:szCs w:val="24"/>
        </w:rPr>
        <w:t>Verbrugge</w:t>
      </w:r>
      <w:r>
        <w:rPr>
          <w:rFonts w:cs="Calibri"/>
          <w:spacing w:val="-1"/>
          <w:sz w:val="24"/>
          <w:szCs w:val="24"/>
        </w:rPr>
        <w:t xml:space="preserve"> (1995) states that after ‘midlife’, arthritis is the highest occurring chronic condition in females, whilst arthritis becomes the </w:t>
      </w:r>
      <w:r w:rsidR="00E0467F">
        <w:rPr>
          <w:rFonts w:cs="Calibri"/>
          <w:spacing w:val="-1"/>
          <w:sz w:val="24"/>
          <w:szCs w:val="24"/>
        </w:rPr>
        <w:t>top-ranking</w:t>
      </w:r>
      <w:r>
        <w:rPr>
          <w:rFonts w:cs="Calibri"/>
          <w:spacing w:val="-1"/>
          <w:sz w:val="24"/>
          <w:szCs w:val="24"/>
        </w:rPr>
        <w:t xml:space="preserve"> chronic disease in males only after the ages of 45-46.  </w:t>
      </w:r>
      <w:r w:rsidRPr="00961D7C">
        <w:rPr>
          <w:rFonts w:cs="Calibri"/>
          <w:spacing w:val="-1"/>
          <w:sz w:val="24"/>
          <w:szCs w:val="24"/>
        </w:rPr>
        <w:t>Verbrugge</w:t>
      </w:r>
      <w:r>
        <w:rPr>
          <w:rFonts w:cs="Calibri"/>
          <w:spacing w:val="-1"/>
          <w:sz w:val="24"/>
          <w:szCs w:val="24"/>
        </w:rPr>
        <w:t xml:space="preserve"> (1995) further proposes that the prevalence gap between the genders decreases over time, suggesting the rate of OA increases in males concurrently with age.  </w:t>
      </w:r>
    </w:p>
    <w:p w:rsidR="007E0281" w:rsidRPr="0070311C" w:rsidRDefault="007E0281" w:rsidP="003B5900">
      <w:pPr>
        <w:spacing w:before="144" w:line="360" w:lineRule="auto"/>
        <w:jc w:val="both"/>
        <w:rPr>
          <w:rFonts w:cs="Calibri"/>
          <w:i/>
          <w:spacing w:val="-1"/>
          <w:sz w:val="24"/>
          <w:szCs w:val="24"/>
        </w:rPr>
      </w:pPr>
      <w:r w:rsidRPr="0070311C">
        <w:rPr>
          <w:rFonts w:cstheme="minorHAnsi"/>
          <w:i/>
          <w:sz w:val="24"/>
          <w:szCs w:val="24"/>
        </w:rPr>
        <w:t xml:space="preserve">ROTATOR CUFF DISEASE AND IMPINGEMENT  </w:t>
      </w:r>
    </w:p>
    <w:p w:rsidR="007E0281" w:rsidRDefault="007E0281" w:rsidP="003B5900">
      <w:pPr>
        <w:spacing w:line="360" w:lineRule="auto"/>
        <w:jc w:val="both"/>
        <w:rPr>
          <w:sz w:val="24"/>
          <w:szCs w:val="24"/>
        </w:rPr>
      </w:pPr>
      <w:r w:rsidRPr="000A770F">
        <w:rPr>
          <w:sz w:val="24"/>
          <w:szCs w:val="24"/>
        </w:rPr>
        <w:t xml:space="preserve">Rotator cuff disease (RCD) is characterised by inflammation of the rotator cuff muscle tendons through extrinsic </w:t>
      </w:r>
      <w:r>
        <w:rPr>
          <w:sz w:val="24"/>
          <w:szCs w:val="24"/>
        </w:rPr>
        <w:t>(</w:t>
      </w:r>
      <w:r w:rsidRPr="000A770F">
        <w:rPr>
          <w:sz w:val="24"/>
          <w:szCs w:val="24"/>
        </w:rPr>
        <w:t>overuse</w:t>
      </w:r>
      <w:r>
        <w:rPr>
          <w:sz w:val="24"/>
          <w:szCs w:val="24"/>
        </w:rPr>
        <w:t xml:space="preserve">, </w:t>
      </w:r>
      <w:r w:rsidRPr="000A770F">
        <w:rPr>
          <w:rFonts w:cs="Arial"/>
          <w:sz w:val="24"/>
          <w:szCs w:val="24"/>
        </w:rPr>
        <w:t xml:space="preserve">repetitive </w:t>
      </w:r>
      <w:r w:rsidRPr="000A770F">
        <w:rPr>
          <w:sz w:val="24"/>
          <w:szCs w:val="24"/>
        </w:rPr>
        <w:t>straining</w:t>
      </w:r>
      <w:r w:rsidRPr="000A770F">
        <w:rPr>
          <w:rFonts w:cs="Arial"/>
          <w:sz w:val="24"/>
          <w:szCs w:val="24"/>
        </w:rPr>
        <w:t xml:space="preserve"> motions</w:t>
      </w:r>
      <w:r>
        <w:rPr>
          <w:rFonts w:cs="Arial"/>
          <w:sz w:val="24"/>
          <w:szCs w:val="24"/>
        </w:rPr>
        <w:t xml:space="preserve"> or</w:t>
      </w:r>
      <w:r w:rsidRPr="00EC29F1">
        <w:rPr>
          <w:rFonts w:cs="Arial"/>
          <w:sz w:val="24"/>
          <w:szCs w:val="24"/>
        </w:rPr>
        <w:t xml:space="preserve"> </w:t>
      </w:r>
      <w:r w:rsidRPr="000A770F">
        <w:rPr>
          <w:rFonts w:cs="Arial"/>
          <w:sz w:val="24"/>
          <w:szCs w:val="24"/>
        </w:rPr>
        <w:t>sustained raising of the arms above 30° horizontal</w:t>
      </w:r>
      <w:r>
        <w:rPr>
          <w:rFonts w:cs="Arial"/>
          <w:sz w:val="24"/>
          <w:szCs w:val="24"/>
        </w:rPr>
        <w:t>)</w:t>
      </w:r>
      <w:r w:rsidRPr="000A770F">
        <w:rPr>
          <w:sz w:val="24"/>
          <w:szCs w:val="24"/>
        </w:rPr>
        <w:t xml:space="preserve"> or intrinsic factors</w:t>
      </w:r>
      <w:r>
        <w:rPr>
          <w:sz w:val="24"/>
          <w:szCs w:val="24"/>
        </w:rPr>
        <w:t xml:space="preserve"> (</w:t>
      </w:r>
      <w:r w:rsidRPr="000A770F">
        <w:rPr>
          <w:sz w:val="24"/>
          <w:szCs w:val="24"/>
        </w:rPr>
        <w:t>degeneration of the tendons due to old age, poor blood supply, attrition and tendon calcification</w:t>
      </w:r>
      <w:r>
        <w:rPr>
          <w:sz w:val="24"/>
          <w:szCs w:val="24"/>
        </w:rPr>
        <w:t xml:space="preserve">) </w:t>
      </w:r>
      <w:r w:rsidRPr="000A770F">
        <w:rPr>
          <w:sz w:val="24"/>
          <w:szCs w:val="24"/>
        </w:rPr>
        <w:t xml:space="preserve">(Clement </w:t>
      </w:r>
      <w:r w:rsidRPr="000A770F">
        <w:rPr>
          <w:i/>
          <w:sz w:val="24"/>
          <w:szCs w:val="24"/>
        </w:rPr>
        <w:t>et al.,</w:t>
      </w:r>
      <w:r w:rsidRPr="000A770F">
        <w:rPr>
          <w:sz w:val="24"/>
          <w:szCs w:val="24"/>
        </w:rPr>
        <w:t xml:space="preserve"> 2012).  When complete rupture </w:t>
      </w:r>
      <w:r>
        <w:rPr>
          <w:sz w:val="24"/>
          <w:szCs w:val="24"/>
        </w:rPr>
        <w:t xml:space="preserve">of the subscapularis or other tendons within the rotator cuff </w:t>
      </w:r>
      <w:r w:rsidRPr="000A770F">
        <w:rPr>
          <w:sz w:val="24"/>
          <w:szCs w:val="24"/>
        </w:rPr>
        <w:t>o</w:t>
      </w:r>
      <w:r>
        <w:rPr>
          <w:sz w:val="24"/>
          <w:szCs w:val="24"/>
        </w:rPr>
        <w:t xml:space="preserve">ccurs, impingement </w:t>
      </w:r>
      <w:r w:rsidRPr="00145EF4">
        <w:rPr>
          <w:sz w:val="24"/>
          <w:szCs w:val="24"/>
        </w:rPr>
        <w:t xml:space="preserve">can </w:t>
      </w:r>
      <w:r w:rsidR="00145EF4" w:rsidRPr="00145EF4">
        <w:rPr>
          <w:sz w:val="24"/>
          <w:szCs w:val="24"/>
        </w:rPr>
        <w:t>occur</w:t>
      </w:r>
      <w:r w:rsidRPr="00145EF4">
        <w:rPr>
          <w:sz w:val="24"/>
          <w:szCs w:val="24"/>
        </w:rPr>
        <w:t>, resulting in the upwards</w:t>
      </w:r>
      <w:r w:rsidRPr="000A770F">
        <w:rPr>
          <w:sz w:val="24"/>
          <w:szCs w:val="24"/>
        </w:rPr>
        <w:t xml:space="preserve"> pull of the humerus to the inferior surface of the acromion process of the scapula, consequence of t</w:t>
      </w:r>
      <w:r>
        <w:rPr>
          <w:sz w:val="24"/>
          <w:szCs w:val="24"/>
        </w:rPr>
        <w:t xml:space="preserve">he pull of the deltoid muscle (Ludewig and Cook, 2000; Waldron, 2009). </w:t>
      </w:r>
    </w:p>
    <w:p w:rsidR="007E0281" w:rsidRDefault="00042EFC" w:rsidP="003B5900">
      <w:pPr>
        <w:spacing w:line="360" w:lineRule="auto"/>
        <w:jc w:val="both"/>
        <w:rPr>
          <w:sz w:val="24"/>
          <w:szCs w:val="24"/>
        </w:rPr>
      </w:pPr>
      <w:r>
        <w:rPr>
          <w:sz w:val="24"/>
          <w:szCs w:val="24"/>
        </w:rPr>
        <w:t xml:space="preserve">Waldron (2009) calculated </w:t>
      </w:r>
      <w:r w:rsidRPr="000A770F">
        <w:rPr>
          <w:sz w:val="24"/>
          <w:szCs w:val="24"/>
        </w:rPr>
        <w:t xml:space="preserve">a </w:t>
      </w:r>
      <w:r>
        <w:rPr>
          <w:sz w:val="24"/>
          <w:szCs w:val="24"/>
        </w:rPr>
        <w:t xml:space="preserve">RCD </w:t>
      </w:r>
      <w:r w:rsidRPr="000A770F">
        <w:rPr>
          <w:sz w:val="24"/>
          <w:szCs w:val="24"/>
        </w:rPr>
        <w:t xml:space="preserve">prevalence </w:t>
      </w:r>
      <w:r>
        <w:rPr>
          <w:sz w:val="24"/>
          <w:szCs w:val="24"/>
        </w:rPr>
        <w:t xml:space="preserve">of </w:t>
      </w:r>
      <w:r w:rsidRPr="000A770F">
        <w:rPr>
          <w:sz w:val="24"/>
          <w:szCs w:val="24"/>
        </w:rPr>
        <w:t xml:space="preserve">21% in individuals over the age of 70, </w:t>
      </w:r>
      <w:r>
        <w:rPr>
          <w:sz w:val="24"/>
          <w:szCs w:val="24"/>
        </w:rPr>
        <w:t xml:space="preserve">a </w:t>
      </w:r>
      <w:r w:rsidRPr="000A770F">
        <w:rPr>
          <w:sz w:val="24"/>
          <w:szCs w:val="24"/>
        </w:rPr>
        <w:t xml:space="preserve">7-27% </w:t>
      </w:r>
      <w:r>
        <w:rPr>
          <w:sz w:val="24"/>
          <w:szCs w:val="24"/>
        </w:rPr>
        <w:t xml:space="preserve">prevalence </w:t>
      </w:r>
      <w:r w:rsidRPr="000A770F">
        <w:rPr>
          <w:sz w:val="24"/>
          <w:szCs w:val="24"/>
        </w:rPr>
        <w:t xml:space="preserve">in cadavers and a higher prevalence in females than males. </w:t>
      </w:r>
      <w:r w:rsidR="007E0281">
        <w:rPr>
          <w:sz w:val="24"/>
          <w:szCs w:val="24"/>
        </w:rPr>
        <w:t>Medical u</w:t>
      </w:r>
      <w:r w:rsidR="007E0281" w:rsidRPr="000A770F">
        <w:rPr>
          <w:sz w:val="24"/>
          <w:szCs w:val="24"/>
        </w:rPr>
        <w:t xml:space="preserve">ltrasound scanning has identified </w:t>
      </w:r>
      <w:r>
        <w:rPr>
          <w:sz w:val="24"/>
          <w:szCs w:val="24"/>
        </w:rPr>
        <w:t xml:space="preserve">the </w:t>
      </w:r>
      <w:r w:rsidR="007E0281">
        <w:rPr>
          <w:sz w:val="24"/>
          <w:szCs w:val="24"/>
        </w:rPr>
        <w:t xml:space="preserve">prevalence </w:t>
      </w:r>
      <w:r>
        <w:rPr>
          <w:sz w:val="24"/>
          <w:szCs w:val="24"/>
        </w:rPr>
        <w:t>to be</w:t>
      </w:r>
      <w:r w:rsidR="007E0281" w:rsidRPr="000A770F">
        <w:rPr>
          <w:sz w:val="24"/>
          <w:szCs w:val="24"/>
        </w:rPr>
        <w:t xml:space="preserve"> 13% </w:t>
      </w:r>
      <w:r w:rsidR="007E0281">
        <w:rPr>
          <w:sz w:val="24"/>
          <w:szCs w:val="24"/>
        </w:rPr>
        <w:t xml:space="preserve">in individuals aged 50-59, </w:t>
      </w:r>
      <w:r w:rsidR="007E0281" w:rsidRPr="000A770F">
        <w:rPr>
          <w:sz w:val="24"/>
          <w:szCs w:val="24"/>
        </w:rPr>
        <w:t xml:space="preserve">20% </w:t>
      </w:r>
      <w:r w:rsidR="007E0281">
        <w:rPr>
          <w:sz w:val="24"/>
          <w:szCs w:val="24"/>
        </w:rPr>
        <w:t>in</w:t>
      </w:r>
      <w:r w:rsidR="007E0281" w:rsidRPr="000A770F">
        <w:rPr>
          <w:sz w:val="24"/>
          <w:szCs w:val="24"/>
        </w:rPr>
        <w:t xml:space="preserve"> individuals aged 60-69, and 31% </w:t>
      </w:r>
      <w:r w:rsidR="007E0281">
        <w:rPr>
          <w:sz w:val="24"/>
          <w:szCs w:val="24"/>
        </w:rPr>
        <w:t>in</w:t>
      </w:r>
      <w:r w:rsidR="007E0281" w:rsidRPr="000A770F">
        <w:rPr>
          <w:sz w:val="24"/>
          <w:szCs w:val="24"/>
        </w:rPr>
        <w:t xml:space="preserve"> individuals aged 70-79 (Tempelhof </w:t>
      </w:r>
      <w:r w:rsidR="007E0281" w:rsidRPr="000A770F">
        <w:rPr>
          <w:i/>
          <w:sz w:val="24"/>
          <w:szCs w:val="24"/>
        </w:rPr>
        <w:t>et al</w:t>
      </w:r>
      <w:r>
        <w:rPr>
          <w:sz w:val="24"/>
          <w:szCs w:val="24"/>
        </w:rPr>
        <w:t xml:space="preserve">., 1999). </w:t>
      </w:r>
      <w:r w:rsidR="007E0281">
        <w:rPr>
          <w:sz w:val="24"/>
          <w:szCs w:val="24"/>
        </w:rPr>
        <w:t xml:space="preserve">This is supported in assessments by </w:t>
      </w:r>
      <w:r w:rsidR="007E0281" w:rsidRPr="000A770F">
        <w:rPr>
          <w:sz w:val="24"/>
          <w:szCs w:val="24"/>
        </w:rPr>
        <w:t xml:space="preserve">Clement </w:t>
      </w:r>
      <w:r w:rsidR="007E0281" w:rsidRPr="000A770F">
        <w:rPr>
          <w:i/>
          <w:sz w:val="24"/>
          <w:szCs w:val="24"/>
        </w:rPr>
        <w:t>et al</w:t>
      </w:r>
      <w:r w:rsidR="007E0281">
        <w:rPr>
          <w:sz w:val="24"/>
          <w:szCs w:val="24"/>
        </w:rPr>
        <w:t>. (</w:t>
      </w:r>
      <w:r w:rsidR="007E0281" w:rsidRPr="000A770F">
        <w:rPr>
          <w:sz w:val="24"/>
          <w:szCs w:val="24"/>
        </w:rPr>
        <w:t>2012</w:t>
      </w:r>
      <w:r w:rsidR="007E0281">
        <w:rPr>
          <w:sz w:val="24"/>
          <w:szCs w:val="24"/>
        </w:rPr>
        <w:t>), citing d</w:t>
      </w:r>
      <w:r w:rsidR="007E0281" w:rsidRPr="000A770F">
        <w:rPr>
          <w:sz w:val="24"/>
          <w:szCs w:val="24"/>
        </w:rPr>
        <w:t xml:space="preserve">egenerative rotator cuff tears </w:t>
      </w:r>
      <w:r w:rsidR="007E0281">
        <w:rPr>
          <w:sz w:val="24"/>
          <w:szCs w:val="24"/>
        </w:rPr>
        <w:t>to predominately occur</w:t>
      </w:r>
      <w:r w:rsidR="007E0281" w:rsidRPr="000A770F">
        <w:rPr>
          <w:sz w:val="24"/>
          <w:szCs w:val="24"/>
        </w:rPr>
        <w:t xml:space="preserve"> in individuals aged &gt;50</w:t>
      </w:r>
      <w:r>
        <w:rPr>
          <w:sz w:val="24"/>
          <w:szCs w:val="24"/>
        </w:rPr>
        <w:t>.</w:t>
      </w:r>
    </w:p>
    <w:p w:rsidR="007E0281" w:rsidRPr="0070311C" w:rsidRDefault="007E0281" w:rsidP="003B5900">
      <w:pPr>
        <w:spacing w:line="360" w:lineRule="auto"/>
        <w:jc w:val="both"/>
        <w:rPr>
          <w:rFonts w:cs="Arial"/>
          <w:i/>
          <w:sz w:val="24"/>
          <w:szCs w:val="24"/>
          <w:shd w:val="clear" w:color="auto" w:fill="FFFFFF"/>
        </w:rPr>
      </w:pPr>
      <w:r w:rsidRPr="0070311C">
        <w:rPr>
          <w:rFonts w:cs="Arial"/>
          <w:i/>
          <w:sz w:val="24"/>
          <w:szCs w:val="24"/>
          <w:shd w:val="clear" w:color="auto" w:fill="FFFFFF"/>
        </w:rPr>
        <w:t xml:space="preserve">FRACTURES </w:t>
      </w:r>
    </w:p>
    <w:p w:rsidR="007E0281" w:rsidRPr="006927D6" w:rsidRDefault="007E0281" w:rsidP="003B5900">
      <w:pPr>
        <w:spacing w:line="360" w:lineRule="auto"/>
        <w:jc w:val="both"/>
        <w:rPr>
          <w:sz w:val="24"/>
          <w:szCs w:val="24"/>
        </w:rPr>
      </w:pPr>
      <w:r>
        <w:rPr>
          <w:sz w:val="24"/>
          <w:szCs w:val="24"/>
        </w:rPr>
        <w:t xml:space="preserve">Fractures result when osteological tissue fails, caused by stress outside of the tissues elastic region being placed on the element, resulting in the separation of osteons and a line of non-union along the element </w:t>
      </w:r>
      <w:r w:rsidRPr="00D903E6">
        <w:rPr>
          <w:rFonts w:cs="Arial"/>
          <w:sz w:val="24"/>
          <w:szCs w:val="24"/>
          <w:shd w:val="clear" w:color="auto" w:fill="FFFFFF"/>
        </w:rPr>
        <w:t xml:space="preserve">(Ring and Jupiter, 2007).  </w:t>
      </w:r>
      <w:r w:rsidR="00C912DC">
        <w:rPr>
          <w:sz w:val="24"/>
          <w:szCs w:val="24"/>
        </w:rPr>
        <w:t>Fractures can be</w:t>
      </w:r>
      <w:r>
        <w:rPr>
          <w:sz w:val="24"/>
          <w:szCs w:val="24"/>
        </w:rPr>
        <w:t xml:space="preserve"> caused by </w:t>
      </w:r>
      <w:r w:rsidRPr="006927D6">
        <w:rPr>
          <w:sz w:val="24"/>
          <w:szCs w:val="24"/>
        </w:rPr>
        <w:lastRenderedPageBreak/>
        <w:t>accidental or purposeful</w:t>
      </w:r>
      <w:r>
        <w:rPr>
          <w:sz w:val="24"/>
          <w:szCs w:val="24"/>
        </w:rPr>
        <w:t xml:space="preserve"> trauma</w:t>
      </w:r>
      <w:r w:rsidRPr="006927D6">
        <w:rPr>
          <w:sz w:val="24"/>
          <w:szCs w:val="24"/>
        </w:rPr>
        <w:t xml:space="preserve"> and </w:t>
      </w:r>
      <w:r>
        <w:rPr>
          <w:sz w:val="24"/>
          <w:szCs w:val="24"/>
        </w:rPr>
        <w:t>is</w:t>
      </w:r>
      <w:r w:rsidRPr="006927D6">
        <w:rPr>
          <w:sz w:val="24"/>
          <w:szCs w:val="24"/>
        </w:rPr>
        <w:t xml:space="preserve"> readily identifiable on skeletal remains when healing was incomplete </w:t>
      </w:r>
      <w:r w:rsidR="00042EFC">
        <w:rPr>
          <w:sz w:val="24"/>
          <w:szCs w:val="24"/>
        </w:rPr>
        <w:t>peri-mortem</w:t>
      </w:r>
      <w:r w:rsidRPr="006927D6">
        <w:rPr>
          <w:sz w:val="24"/>
          <w:szCs w:val="24"/>
        </w:rPr>
        <w:t xml:space="preserve">.  </w:t>
      </w:r>
    </w:p>
    <w:p w:rsidR="007E0281" w:rsidRPr="000764DD" w:rsidRDefault="007E0281" w:rsidP="003B5900">
      <w:pPr>
        <w:spacing w:line="360" w:lineRule="auto"/>
        <w:jc w:val="both"/>
        <w:rPr>
          <w:rFonts w:cs="Arial"/>
          <w:sz w:val="24"/>
          <w:szCs w:val="24"/>
          <w:shd w:val="clear" w:color="auto" w:fill="FFFFFF"/>
        </w:rPr>
      </w:pPr>
      <w:r w:rsidRPr="000A770F">
        <w:rPr>
          <w:sz w:val="24"/>
          <w:szCs w:val="24"/>
        </w:rPr>
        <w:t xml:space="preserve">Fractures to the clavicle bone are </w:t>
      </w:r>
      <w:r>
        <w:rPr>
          <w:sz w:val="24"/>
          <w:szCs w:val="24"/>
        </w:rPr>
        <w:t>often left</w:t>
      </w:r>
      <w:r w:rsidRPr="000A770F">
        <w:rPr>
          <w:sz w:val="24"/>
          <w:szCs w:val="24"/>
        </w:rPr>
        <w:t xml:space="preserve"> </w:t>
      </w:r>
      <w:r w:rsidRPr="000A770F">
        <w:rPr>
          <w:rFonts w:cs="Arial"/>
          <w:color w:val="222222"/>
          <w:sz w:val="24"/>
          <w:szCs w:val="24"/>
          <w:shd w:val="clear" w:color="auto" w:fill="FFFFFF"/>
        </w:rPr>
        <w:t xml:space="preserve">un-reduced </w:t>
      </w:r>
      <w:r>
        <w:rPr>
          <w:rFonts w:cs="Arial"/>
          <w:color w:val="222222"/>
          <w:sz w:val="24"/>
          <w:szCs w:val="24"/>
          <w:shd w:val="clear" w:color="auto" w:fill="FFFFFF"/>
        </w:rPr>
        <w:t>according to</w:t>
      </w:r>
      <w:r w:rsidRPr="000A770F">
        <w:rPr>
          <w:sz w:val="24"/>
          <w:szCs w:val="24"/>
        </w:rPr>
        <w:t xml:space="preserve"> Rin</w:t>
      </w:r>
      <w:r w:rsidRPr="000A770F">
        <w:rPr>
          <w:rFonts w:cs="Arial"/>
          <w:color w:val="222222"/>
          <w:sz w:val="24"/>
          <w:szCs w:val="24"/>
          <w:shd w:val="clear" w:color="auto" w:fill="FFFFFF"/>
        </w:rPr>
        <w:t>g and Jupiter (2007), ordinarily result</w:t>
      </w:r>
      <w:r>
        <w:rPr>
          <w:rFonts w:cs="Arial"/>
          <w:color w:val="222222"/>
          <w:sz w:val="24"/>
          <w:szCs w:val="24"/>
          <w:shd w:val="clear" w:color="auto" w:fill="FFFFFF"/>
        </w:rPr>
        <w:t>ing</w:t>
      </w:r>
      <w:r w:rsidRPr="000A770F">
        <w:rPr>
          <w:rFonts w:cs="Arial"/>
          <w:color w:val="222222"/>
          <w:sz w:val="24"/>
          <w:szCs w:val="24"/>
          <w:shd w:val="clear" w:color="auto" w:fill="FFFFFF"/>
        </w:rPr>
        <w:t xml:space="preserve"> in harmless deformation with retained function.  </w:t>
      </w:r>
      <w:r w:rsidRPr="000A770F">
        <w:rPr>
          <w:sz w:val="24"/>
          <w:szCs w:val="24"/>
        </w:rPr>
        <w:t xml:space="preserve">Fractures to the </w:t>
      </w:r>
      <w:r>
        <w:rPr>
          <w:sz w:val="24"/>
          <w:szCs w:val="24"/>
        </w:rPr>
        <w:t>shoulder girdle</w:t>
      </w:r>
      <w:r w:rsidRPr="000A770F">
        <w:rPr>
          <w:sz w:val="24"/>
          <w:szCs w:val="24"/>
        </w:rPr>
        <w:t xml:space="preserve"> are cited to most </w:t>
      </w:r>
      <w:r w:rsidR="00AD0E31">
        <w:rPr>
          <w:sz w:val="24"/>
          <w:szCs w:val="24"/>
        </w:rPr>
        <w:t xml:space="preserve">commonly occur through falling or fast paced collisions, such as </w:t>
      </w:r>
      <w:r w:rsidRPr="000A770F">
        <w:rPr>
          <w:sz w:val="24"/>
          <w:szCs w:val="24"/>
        </w:rPr>
        <w:t>road traffic</w:t>
      </w:r>
      <w:r>
        <w:rPr>
          <w:sz w:val="24"/>
          <w:szCs w:val="24"/>
        </w:rPr>
        <w:t xml:space="preserve"> accidents or sporting injuries</w:t>
      </w:r>
      <w:r w:rsidR="00042EFC">
        <w:rPr>
          <w:sz w:val="24"/>
          <w:szCs w:val="24"/>
        </w:rPr>
        <w:t xml:space="preserve"> in modern populations</w:t>
      </w:r>
      <w:r w:rsidRPr="000A770F">
        <w:rPr>
          <w:sz w:val="24"/>
          <w:szCs w:val="24"/>
        </w:rPr>
        <w:t>, with direct in</w:t>
      </w:r>
      <w:r>
        <w:rPr>
          <w:sz w:val="24"/>
          <w:szCs w:val="24"/>
        </w:rPr>
        <w:t xml:space="preserve">jury to the shoulder uncommon </w:t>
      </w:r>
      <w:r w:rsidRPr="000A770F">
        <w:rPr>
          <w:rFonts w:cs="Arial"/>
          <w:color w:val="222222"/>
          <w:sz w:val="24"/>
          <w:szCs w:val="24"/>
          <w:shd w:val="clear" w:color="auto" w:fill="FFFFFF"/>
        </w:rPr>
        <w:t>(</w:t>
      </w:r>
      <w:r>
        <w:rPr>
          <w:rFonts w:cs="Arial"/>
          <w:color w:val="222222"/>
          <w:sz w:val="24"/>
          <w:szCs w:val="24"/>
          <w:shd w:val="clear" w:color="auto" w:fill="FFFFFF"/>
        </w:rPr>
        <w:t>Nordqvist and Petersson, 1995</w:t>
      </w:r>
      <w:r w:rsidRPr="000A770F">
        <w:rPr>
          <w:rFonts w:cs="Arial"/>
          <w:sz w:val="24"/>
          <w:szCs w:val="24"/>
          <w:shd w:val="clear" w:color="auto" w:fill="FFFFFF"/>
        </w:rPr>
        <w:t xml:space="preserve">).  </w:t>
      </w:r>
    </w:p>
    <w:p w:rsidR="004D1942" w:rsidRDefault="00DA7D8D" w:rsidP="003B5900">
      <w:pPr>
        <w:pStyle w:val="Heading1"/>
        <w:spacing w:line="360" w:lineRule="auto"/>
        <w:ind w:left="720"/>
        <w:jc w:val="both"/>
        <w:rPr>
          <w:rFonts w:asciiTheme="minorHAnsi" w:hAnsiTheme="minorHAnsi"/>
          <w:b w:val="0"/>
        </w:rPr>
      </w:pPr>
      <w:r>
        <w:rPr>
          <w:rFonts w:asciiTheme="minorHAnsi" w:hAnsiTheme="minorHAnsi"/>
          <w:b w:val="0"/>
        </w:rPr>
        <w:t>Methodology</w:t>
      </w:r>
      <w:r w:rsidR="00356132">
        <w:rPr>
          <w:rFonts w:asciiTheme="minorHAnsi" w:hAnsiTheme="minorHAnsi"/>
          <w:b w:val="0"/>
        </w:rPr>
        <w:t xml:space="preserve"> </w:t>
      </w:r>
    </w:p>
    <w:p w:rsidR="00DA7D8D" w:rsidRPr="00DA7D8D" w:rsidRDefault="00DA7D8D" w:rsidP="003B5900">
      <w:pPr>
        <w:spacing w:line="360" w:lineRule="auto"/>
        <w:jc w:val="both"/>
        <w:rPr>
          <w:b/>
          <w:sz w:val="24"/>
          <w:szCs w:val="24"/>
        </w:rPr>
      </w:pPr>
      <w:r w:rsidRPr="00DA7D8D">
        <w:rPr>
          <w:b/>
          <w:sz w:val="24"/>
          <w:szCs w:val="24"/>
        </w:rPr>
        <w:t xml:space="preserve">Sample </w:t>
      </w:r>
    </w:p>
    <w:p w:rsidR="002A1FD8" w:rsidRDefault="00605E71" w:rsidP="003B5900">
      <w:pPr>
        <w:spacing w:line="360" w:lineRule="auto"/>
        <w:jc w:val="both"/>
        <w:rPr>
          <w:sz w:val="24"/>
          <w:szCs w:val="24"/>
        </w:rPr>
      </w:pPr>
      <w:r>
        <w:rPr>
          <w:sz w:val="24"/>
          <w:szCs w:val="24"/>
        </w:rPr>
        <w:t xml:space="preserve">93 </w:t>
      </w:r>
      <w:r>
        <w:rPr>
          <w:bCs/>
          <w:sz w:val="24"/>
          <w:szCs w:val="24"/>
        </w:rPr>
        <w:t>s</w:t>
      </w:r>
      <w:r w:rsidR="00CD7C51">
        <w:rPr>
          <w:bCs/>
          <w:sz w:val="24"/>
          <w:szCs w:val="24"/>
        </w:rPr>
        <w:t>keletal remains from s</w:t>
      </w:r>
      <w:r>
        <w:rPr>
          <w:bCs/>
          <w:sz w:val="24"/>
          <w:szCs w:val="24"/>
        </w:rPr>
        <w:t>i</w:t>
      </w:r>
      <w:r w:rsidR="002A1FD8" w:rsidRPr="004F1B25">
        <w:rPr>
          <w:sz w:val="24"/>
          <w:szCs w:val="24"/>
        </w:rPr>
        <w:t>te ESC11, St. Micha</w:t>
      </w:r>
      <w:r w:rsidR="002A1FD8">
        <w:rPr>
          <w:sz w:val="24"/>
          <w:szCs w:val="24"/>
        </w:rPr>
        <w:t>els Litten C</w:t>
      </w:r>
      <w:r w:rsidR="002A1FD8" w:rsidRPr="004F1B25">
        <w:rPr>
          <w:sz w:val="24"/>
          <w:szCs w:val="24"/>
        </w:rPr>
        <w:t>emetery</w:t>
      </w:r>
      <w:r w:rsidR="002A1FD8">
        <w:rPr>
          <w:sz w:val="24"/>
          <w:szCs w:val="24"/>
        </w:rPr>
        <w:t>,</w:t>
      </w:r>
      <w:r w:rsidR="002A1FD8" w:rsidRPr="004F1B25">
        <w:rPr>
          <w:sz w:val="24"/>
          <w:szCs w:val="24"/>
        </w:rPr>
        <w:t xml:space="preserve"> Eastgate Square, Chichester, West Sussex</w:t>
      </w:r>
      <w:r w:rsidR="00CD7C51">
        <w:rPr>
          <w:sz w:val="24"/>
          <w:szCs w:val="24"/>
        </w:rPr>
        <w:t xml:space="preserve"> were </w:t>
      </w:r>
      <w:r w:rsidR="00AD0E31">
        <w:rPr>
          <w:sz w:val="24"/>
          <w:szCs w:val="24"/>
        </w:rPr>
        <w:t>examined</w:t>
      </w:r>
      <w:r w:rsidR="002A1FD8">
        <w:rPr>
          <w:sz w:val="24"/>
          <w:szCs w:val="24"/>
        </w:rPr>
        <w:t>.</w:t>
      </w:r>
      <w:r w:rsidR="002A1FD8" w:rsidRPr="004F1B25">
        <w:rPr>
          <w:sz w:val="24"/>
          <w:szCs w:val="24"/>
        </w:rPr>
        <w:t xml:space="preserve"> </w:t>
      </w:r>
      <w:r w:rsidR="002A1FD8">
        <w:rPr>
          <w:sz w:val="24"/>
          <w:szCs w:val="24"/>
        </w:rPr>
        <w:t xml:space="preserve"> The cemetery </w:t>
      </w:r>
      <w:r w:rsidR="002A1FD8" w:rsidRPr="004F1B25">
        <w:rPr>
          <w:sz w:val="24"/>
          <w:szCs w:val="24"/>
        </w:rPr>
        <w:t>is located on the eastern side of the medieval and post-medieval site and was first documented in the early 12</w:t>
      </w:r>
      <w:r w:rsidR="002A1FD8" w:rsidRPr="004F1B25">
        <w:rPr>
          <w:sz w:val="24"/>
          <w:szCs w:val="24"/>
          <w:vertAlign w:val="superscript"/>
        </w:rPr>
        <w:t>th</w:t>
      </w:r>
      <w:r w:rsidR="002A1FD8" w:rsidRPr="004F1B25">
        <w:rPr>
          <w:sz w:val="24"/>
          <w:szCs w:val="24"/>
        </w:rPr>
        <w:t xml:space="preserve"> century.  Excavations were </w:t>
      </w:r>
      <w:r w:rsidR="00001DA2">
        <w:rPr>
          <w:sz w:val="24"/>
          <w:szCs w:val="24"/>
        </w:rPr>
        <w:t>undertaken</w:t>
      </w:r>
      <w:r w:rsidR="002A1FD8" w:rsidRPr="004F1B25">
        <w:rPr>
          <w:sz w:val="24"/>
          <w:szCs w:val="24"/>
        </w:rPr>
        <w:t xml:space="preserve"> </w:t>
      </w:r>
      <w:r w:rsidR="002A1FD8">
        <w:rPr>
          <w:sz w:val="24"/>
          <w:szCs w:val="24"/>
        </w:rPr>
        <w:t xml:space="preserve">at the </w:t>
      </w:r>
      <w:r w:rsidR="007A7184">
        <w:rPr>
          <w:sz w:val="24"/>
          <w:szCs w:val="24"/>
        </w:rPr>
        <w:t>cemetery</w:t>
      </w:r>
      <w:r w:rsidR="002A1FD8">
        <w:rPr>
          <w:sz w:val="24"/>
          <w:szCs w:val="24"/>
        </w:rPr>
        <w:t xml:space="preserve"> </w:t>
      </w:r>
      <w:r w:rsidR="002A1FD8" w:rsidRPr="004F1B25">
        <w:rPr>
          <w:sz w:val="24"/>
          <w:szCs w:val="24"/>
        </w:rPr>
        <w:t>in 2005 and 2006</w:t>
      </w:r>
      <w:r w:rsidR="00001DA2">
        <w:rPr>
          <w:sz w:val="24"/>
          <w:szCs w:val="24"/>
        </w:rPr>
        <w:t>,</w:t>
      </w:r>
      <w:r w:rsidR="002A1FD8" w:rsidRPr="004F1B25">
        <w:rPr>
          <w:sz w:val="24"/>
          <w:szCs w:val="24"/>
        </w:rPr>
        <w:t xml:space="preserve"> </w:t>
      </w:r>
      <w:r w:rsidR="00001DA2">
        <w:rPr>
          <w:sz w:val="24"/>
          <w:szCs w:val="24"/>
        </w:rPr>
        <w:t>uncovering</w:t>
      </w:r>
      <w:r w:rsidR="00001DA2" w:rsidRPr="004F1B25">
        <w:rPr>
          <w:sz w:val="24"/>
          <w:szCs w:val="24"/>
        </w:rPr>
        <w:t xml:space="preserve"> 93</w:t>
      </w:r>
      <w:r w:rsidR="007A7184">
        <w:rPr>
          <w:sz w:val="24"/>
          <w:szCs w:val="24"/>
        </w:rPr>
        <w:t xml:space="preserve"> inhumations</w:t>
      </w:r>
      <w:r w:rsidR="00001DA2">
        <w:rPr>
          <w:sz w:val="24"/>
          <w:szCs w:val="24"/>
        </w:rPr>
        <w:t>, and</w:t>
      </w:r>
      <w:r w:rsidR="00001DA2" w:rsidRPr="004F1B25">
        <w:rPr>
          <w:sz w:val="24"/>
          <w:szCs w:val="24"/>
        </w:rPr>
        <w:t xml:space="preserve"> </w:t>
      </w:r>
      <w:r w:rsidR="00001DA2">
        <w:rPr>
          <w:sz w:val="24"/>
          <w:szCs w:val="24"/>
        </w:rPr>
        <w:t xml:space="preserve">later excavations </w:t>
      </w:r>
      <w:r w:rsidR="002A1FD8" w:rsidRPr="004F1B25">
        <w:rPr>
          <w:sz w:val="24"/>
          <w:szCs w:val="24"/>
        </w:rPr>
        <w:t xml:space="preserve">by Pre-Construct Archaeology Ltd. (PCA) </w:t>
      </w:r>
      <w:r w:rsidR="00001DA2" w:rsidRPr="004F1B25">
        <w:rPr>
          <w:sz w:val="24"/>
          <w:szCs w:val="24"/>
        </w:rPr>
        <w:t>Archaeology South-East (ASE)</w:t>
      </w:r>
      <w:r w:rsidR="002A1FD8" w:rsidRPr="004F1B25">
        <w:rPr>
          <w:sz w:val="24"/>
          <w:szCs w:val="24"/>
        </w:rPr>
        <w:t xml:space="preserve"> </w:t>
      </w:r>
      <w:r w:rsidR="008A459E">
        <w:rPr>
          <w:sz w:val="24"/>
          <w:szCs w:val="24"/>
        </w:rPr>
        <w:t>between August 2011 and</w:t>
      </w:r>
      <w:r w:rsidR="002A1FD8" w:rsidRPr="004F1B25">
        <w:rPr>
          <w:sz w:val="24"/>
          <w:szCs w:val="24"/>
        </w:rPr>
        <w:t xml:space="preserve"> January 2012 excavated the remaining 1637 skeletons</w:t>
      </w:r>
      <w:r w:rsidR="000F06EC">
        <w:rPr>
          <w:sz w:val="24"/>
          <w:szCs w:val="24"/>
        </w:rPr>
        <w:t>,</w:t>
      </w:r>
      <w:r w:rsidR="002A1FD8" w:rsidRPr="004F1B25">
        <w:rPr>
          <w:sz w:val="24"/>
          <w:szCs w:val="24"/>
        </w:rPr>
        <w:t xml:space="preserve"> which were</w:t>
      </w:r>
      <w:r w:rsidR="002A1FD8" w:rsidRPr="004F1B25">
        <w:rPr>
          <w:rFonts w:cs="Arial,Italic"/>
          <w:iCs/>
          <w:sz w:val="24"/>
          <w:szCs w:val="24"/>
        </w:rPr>
        <w:t xml:space="preserve"> typically aligned NE-SW</w:t>
      </w:r>
      <w:r w:rsidR="002A1FD8" w:rsidRPr="004F1B25">
        <w:rPr>
          <w:sz w:val="24"/>
          <w:szCs w:val="24"/>
        </w:rPr>
        <w:t xml:space="preserve">, totalling 1634 </w:t>
      </w:r>
      <w:r w:rsidR="000F06EC">
        <w:rPr>
          <w:sz w:val="24"/>
          <w:szCs w:val="24"/>
        </w:rPr>
        <w:t>inhumations</w:t>
      </w:r>
      <w:r w:rsidR="002A1FD8" w:rsidRPr="004F1B25">
        <w:rPr>
          <w:sz w:val="24"/>
          <w:szCs w:val="24"/>
        </w:rPr>
        <w:t>.</w:t>
      </w:r>
    </w:p>
    <w:p w:rsidR="00205A92" w:rsidRPr="00CD7C51" w:rsidRDefault="002A1FD8" w:rsidP="003B5900">
      <w:pPr>
        <w:spacing w:line="360" w:lineRule="auto"/>
        <w:jc w:val="both"/>
        <w:rPr>
          <w:sz w:val="24"/>
          <w:szCs w:val="24"/>
        </w:rPr>
      </w:pPr>
      <w:r w:rsidRPr="004F1B25">
        <w:rPr>
          <w:sz w:val="24"/>
          <w:szCs w:val="24"/>
        </w:rPr>
        <w:t>Archaeological evidence suggests the site was</w:t>
      </w:r>
      <w:r w:rsidR="00C14FDA">
        <w:rPr>
          <w:sz w:val="24"/>
          <w:szCs w:val="24"/>
        </w:rPr>
        <w:t xml:space="preserve"> initially</w:t>
      </w:r>
      <w:r w:rsidRPr="004F1B25">
        <w:rPr>
          <w:sz w:val="24"/>
          <w:szCs w:val="24"/>
        </w:rPr>
        <w:t xml:space="preserve"> occupied from the early Roman period, late 1</w:t>
      </w:r>
      <w:r w:rsidRPr="004F1B25">
        <w:rPr>
          <w:sz w:val="24"/>
          <w:szCs w:val="24"/>
          <w:vertAlign w:val="superscript"/>
        </w:rPr>
        <w:t>st</w:t>
      </w:r>
      <w:r w:rsidRPr="004F1B25">
        <w:rPr>
          <w:sz w:val="24"/>
          <w:szCs w:val="24"/>
        </w:rPr>
        <w:t xml:space="preserve"> century AD, and continually inhabited from the medieval period by a Saxon-Norman population to the post-medieval period (Hart, 2012).  Across the medieval and post-medieval periods, the site is unders</w:t>
      </w:r>
      <w:r w:rsidR="00C14FDA">
        <w:rPr>
          <w:sz w:val="24"/>
          <w:szCs w:val="24"/>
        </w:rPr>
        <w:t>tood to have had strong links with</w:t>
      </w:r>
      <w:r w:rsidRPr="004F1B25">
        <w:rPr>
          <w:sz w:val="24"/>
          <w:szCs w:val="24"/>
        </w:rPr>
        <w:t xml:space="preserve"> the local port, alongside wool and grain production industries, resulting in a thriving economy</w:t>
      </w:r>
      <w:r w:rsidR="003671AE">
        <w:rPr>
          <w:sz w:val="24"/>
          <w:szCs w:val="24"/>
        </w:rPr>
        <w:t xml:space="preserve"> </w:t>
      </w:r>
      <w:r w:rsidR="003671AE" w:rsidRPr="004F1B25">
        <w:rPr>
          <w:sz w:val="24"/>
          <w:szCs w:val="24"/>
        </w:rPr>
        <w:t>(Hart, 2012)</w:t>
      </w:r>
      <w:r w:rsidRPr="004F1B25">
        <w:rPr>
          <w:sz w:val="24"/>
          <w:szCs w:val="24"/>
        </w:rPr>
        <w:t>.</w:t>
      </w:r>
      <w:r w:rsidR="00424FCA">
        <w:rPr>
          <w:sz w:val="24"/>
          <w:szCs w:val="24"/>
        </w:rPr>
        <w:t xml:space="preserve">  </w:t>
      </w:r>
      <w:r w:rsidR="00FA532A">
        <w:rPr>
          <w:sz w:val="24"/>
          <w:szCs w:val="24"/>
        </w:rPr>
        <w:t>D</w:t>
      </w:r>
      <w:r w:rsidR="00424FCA">
        <w:rPr>
          <w:sz w:val="24"/>
          <w:szCs w:val="24"/>
        </w:rPr>
        <w:t>isease is recorded to have been high</w:t>
      </w:r>
      <w:r w:rsidR="0029623C">
        <w:rPr>
          <w:sz w:val="24"/>
          <w:szCs w:val="24"/>
        </w:rPr>
        <w:t>ly prevalent</w:t>
      </w:r>
      <w:r w:rsidR="00424FCA">
        <w:rPr>
          <w:sz w:val="24"/>
          <w:szCs w:val="24"/>
        </w:rPr>
        <w:t xml:space="preserve"> </w:t>
      </w:r>
      <w:r w:rsidR="00424FCA" w:rsidRPr="00424FCA">
        <w:rPr>
          <w:sz w:val="24"/>
          <w:szCs w:val="24"/>
        </w:rPr>
        <w:t xml:space="preserve">across Chichester </w:t>
      </w:r>
      <w:r w:rsidR="0029623C">
        <w:rPr>
          <w:sz w:val="24"/>
          <w:szCs w:val="24"/>
        </w:rPr>
        <w:t>throughout</w:t>
      </w:r>
      <w:r w:rsidR="00424FCA" w:rsidRPr="00424FCA">
        <w:rPr>
          <w:sz w:val="24"/>
          <w:szCs w:val="24"/>
        </w:rPr>
        <w:t xml:space="preserve"> the 17</w:t>
      </w:r>
      <w:r w:rsidR="00424FCA" w:rsidRPr="00424FCA">
        <w:rPr>
          <w:sz w:val="24"/>
          <w:szCs w:val="24"/>
          <w:vertAlign w:val="superscript"/>
        </w:rPr>
        <w:t>th</w:t>
      </w:r>
      <w:r w:rsidR="00424FCA" w:rsidRPr="00424FCA">
        <w:rPr>
          <w:sz w:val="24"/>
          <w:szCs w:val="24"/>
        </w:rPr>
        <w:t>, 18</w:t>
      </w:r>
      <w:r w:rsidR="00424FCA" w:rsidRPr="00424FCA">
        <w:rPr>
          <w:sz w:val="24"/>
          <w:szCs w:val="24"/>
          <w:vertAlign w:val="superscript"/>
        </w:rPr>
        <w:t>th</w:t>
      </w:r>
      <w:r w:rsidR="00424FCA" w:rsidRPr="00424FCA">
        <w:rPr>
          <w:sz w:val="24"/>
          <w:szCs w:val="24"/>
        </w:rPr>
        <w:t xml:space="preserve"> and 19</w:t>
      </w:r>
      <w:r w:rsidR="00424FCA" w:rsidRPr="00424FCA">
        <w:rPr>
          <w:sz w:val="24"/>
          <w:szCs w:val="24"/>
          <w:vertAlign w:val="superscript"/>
        </w:rPr>
        <w:t>th</w:t>
      </w:r>
      <w:r w:rsidR="00424FCA" w:rsidRPr="00424FCA">
        <w:rPr>
          <w:sz w:val="24"/>
          <w:szCs w:val="24"/>
        </w:rPr>
        <w:t xml:space="preserve"> centuries, with plague occurring in the city in the early 17</w:t>
      </w:r>
      <w:r w:rsidR="00424FCA" w:rsidRPr="0029623C">
        <w:rPr>
          <w:sz w:val="24"/>
          <w:szCs w:val="24"/>
          <w:vertAlign w:val="superscript"/>
        </w:rPr>
        <w:t>th</w:t>
      </w:r>
      <w:r w:rsidR="0029623C">
        <w:rPr>
          <w:sz w:val="24"/>
          <w:szCs w:val="24"/>
        </w:rPr>
        <w:t xml:space="preserve"> </w:t>
      </w:r>
      <w:r w:rsidR="00424FCA" w:rsidRPr="00424FCA">
        <w:rPr>
          <w:sz w:val="24"/>
          <w:szCs w:val="24"/>
        </w:rPr>
        <w:t>century and in 1665 (Morgan, 1992).  Equally, small pox occurred at a high rate in 1722, 1740, 1759 and 1775, and epidemics relat</w:t>
      </w:r>
      <w:r w:rsidR="000F06EC">
        <w:rPr>
          <w:sz w:val="24"/>
          <w:szCs w:val="24"/>
        </w:rPr>
        <w:t xml:space="preserve">ed to water and sewage, including </w:t>
      </w:r>
      <w:r w:rsidR="00424FCA" w:rsidRPr="00424FCA">
        <w:rPr>
          <w:sz w:val="24"/>
          <w:szCs w:val="24"/>
        </w:rPr>
        <w:t xml:space="preserve">cholera and typhoid fever, </w:t>
      </w:r>
      <w:r w:rsidR="001E13D9">
        <w:rPr>
          <w:sz w:val="24"/>
          <w:szCs w:val="24"/>
        </w:rPr>
        <w:t>waged</w:t>
      </w:r>
      <w:r w:rsidR="00424FCA" w:rsidRPr="00424FCA">
        <w:rPr>
          <w:sz w:val="24"/>
          <w:szCs w:val="24"/>
        </w:rPr>
        <w:t xml:space="preserve"> regularly.  Morgan (1992) </w:t>
      </w:r>
      <w:r w:rsidR="0029623C">
        <w:rPr>
          <w:sz w:val="24"/>
          <w:szCs w:val="24"/>
        </w:rPr>
        <w:t>reported</w:t>
      </w:r>
      <w:r w:rsidR="00424FCA" w:rsidRPr="00424FCA">
        <w:rPr>
          <w:sz w:val="24"/>
          <w:szCs w:val="24"/>
        </w:rPr>
        <w:t xml:space="preserve"> the poor conditions in Chichester</w:t>
      </w:r>
      <w:r w:rsidR="0029623C">
        <w:rPr>
          <w:sz w:val="24"/>
          <w:szCs w:val="24"/>
        </w:rPr>
        <w:t>,</w:t>
      </w:r>
      <w:r w:rsidR="00424FCA" w:rsidRPr="00424FCA">
        <w:rPr>
          <w:sz w:val="24"/>
          <w:szCs w:val="24"/>
        </w:rPr>
        <w:t xml:space="preserve"> stating the </w:t>
      </w:r>
      <w:r w:rsidR="001E13D9">
        <w:rPr>
          <w:sz w:val="24"/>
          <w:szCs w:val="24"/>
        </w:rPr>
        <w:t>area t</w:t>
      </w:r>
      <w:r w:rsidR="00424FCA" w:rsidRPr="00424FCA">
        <w:rPr>
          <w:sz w:val="24"/>
          <w:szCs w:val="24"/>
        </w:rPr>
        <w:t>o have</w:t>
      </w:r>
      <w:r w:rsidR="001E13D9">
        <w:rPr>
          <w:sz w:val="24"/>
          <w:szCs w:val="24"/>
        </w:rPr>
        <w:t xml:space="preserve"> had</w:t>
      </w:r>
      <w:r w:rsidR="00424FCA" w:rsidRPr="00424FCA">
        <w:rPr>
          <w:sz w:val="24"/>
          <w:szCs w:val="24"/>
        </w:rPr>
        <w:t xml:space="preserve"> sub-standard </w:t>
      </w:r>
      <w:r w:rsidR="000F06EC">
        <w:rPr>
          <w:sz w:val="24"/>
          <w:szCs w:val="24"/>
        </w:rPr>
        <w:t>sanitation</w:t>
      </w:r>
      <w:r w:rsidR="00424FCA" w:rsidRPr="00424FCA">
        <w:rPr>
          <w:sz w:val="24"/>
          <w:szCs w:val="24"/>
        </w:rPr>
        <w:t xml:space="preserve"> in comparison to other cities in England</w:t>
      </w:r>
      <w:r w:rsidR="0029623C">
        <w:rPr>
          <w:sz w:val="24"/>
          <w:szCs w:val="24"/>
        </w:rPr>
        <w:t xml:space="preserve"> and outlining</w:t>
      </w:r>
      <w:r w:rsidR="00424FCA" w:rsidRPr="00424FCA">
        <w:rPr>
          <w:sz w:val="24"/>
          <w:szCs w:val="24"/>
        </w:rPr>
        <w:t xml:space="preserve"> that between 1871 and 1880</w:t>
      </w:r>
      <w:r w:rsidR="001E13D9">
        <w:rPr>
          <w:sz w:val="24"/>
          <w:szCs w:val="24"/>
        </w:rPr>
        <w:t>,</w:t>
      </w:r>
      <w:r w:rsidR="00424FCA" w:rsidRPr="00424FCA">
        <w:rPr>
          <w:sz w:val="24"/>
          <w:szCs w:val="24"/>
        </w:rPr>
        <w:t xml:space="preserve"> Chichester had one of the </w:t>
      </w:r>
      <w:r w:rsidR="001E13D9">
        <w:rPr>
          <w:sz w:val="24"/>
          <w:szCs w:val="24"/>
        </w:rPr>
        <w:t>highest</w:t>
      </w:r>
      <w:r w:rsidR="00424FCA" w:rsidRPr="00424FCA">
        <w:rPr>
          <w:sz w:val="24"/>
          <w:szCs w:val="24"/>
        </w:rPr>
        <w:t xml:space="preserve"> </w:t>
      </w:r>
      <w:r w:rsidR="0029623C">
        <w:rPr>
          <w:sz w:val="24"/>
          <w:szCs w:val="24"/>
        </w:rPr>
        <w:t>rates</w:t>
      </w:r>
      <w:r w:rsidR="00424FCA" w:rsidRPr="00424FCA">
        <w:rPr>
          <w:sz w:val="24"/>
          <w:szCs w:val="24"/>
        </w:rPr>
        <w:t xml:space="preserve"> of typhoid fever in the country, supposedly due to poor sanitation </w:t>
      </w:r>
      <w:r w:rsidR="001E13D9">
        <w:rPr>
          <w:sz w:val="24"/>
          <w:szCs w:val="24"/>
        </w:rPr>
        <w:t xml:space="preserve">and </w:t>
      </w:r>
      <w:r w:rsidR="001E13D9">
        <w:rPr>
          <w:sz w:val="24"/>
          <w:szCs w:val="24"/>
        </w:rPr>
        <w:lastRenderedPageBreak/>
        <w:t>consequence of</w:t>
      </w:r>
      <w:r w:rsidR="00424FCA">
        <w:rPr>
          <w:sz w:val="24"/>
          <w:szCs w:val="24"/>
        </w:rPr>
        <w:t xml:space="preserve"> the lack of </w:t>
      </w:r>
      <w:r w:rsidR="00424FCA" w:rsidRPr="00424FCA">
        <w:rPr>
          <w:sz w:val="24"/>
          <w:szCs w:val="24"/>
        </w:rPr>
        <w:t xml:space="preserve">infrastructure </w:t>
      </w:r>
      <w:r w:rsidR="00424FCA">
        <w:rPr>
          <w:sz w:val="24"/>
          <w:szCs w:val="24"/>
        </w:rPr>
        <w:t xml:space="preserve">providing </w:t>
      </w:r>
      <w:r w:rsidR="00424FCA" w:rsidRPr="00424FCA">
        <w:rPr>
          <w:sz w:val="24"/>
          <w:szCs w:val="24"/>
        </w:rPr>
        <w:t xml:space="preserve">clean water and sewage drainage.  </w:t>
      </w:r>
      <w:r w:rsidR="00424FCA">
        <w:rPr>
          <w:sz w:val="24"/>
          <w:szCs w:val="24"/>
        </w:rPr>
        <w:t xml:space="preserve">Though these diseases do not directly influence shoulder health, information on the sanitation and health of the </w:t>
      </w:r>
      <w:r w:rsidR="0029623C">
        <w:rPr>
          <w:sz w:val="24"/>
          <w:szCs w:val="24"/>
        </w:rPr>
        <w:t xml:space="preserve">subject </w:t>
      </w:r>
      <w:r w:rsidR="00424FCA">
        <w:rPr>
          <w:sz w:val="24"/>
          <w:szCs w:val="24"/>
        </w:rPr>
        <w:t xml:space="preserve">population is important for contextualising the alternate factors influencing health and </w:t>
      </w:r>
      <w:r w:rsidR="00424FCA" w:rsidRPr="00E6657A">
        <w:rPr>
          <w:sz w:val="24"/>
          <w:szCs w:val="24"/>
        </w:rPr>
        <w:t>wellbeing</w:t>
      </w:r>
      <w:r w:rsidR="000F06EC" w:rsidRPr="00E6657A">
        <w:rPr>
          <w:sz w:val="24"/>
          <w:szCs w:val="24"/>
        </w:rPr>
        <w:t>,</w:t>
      </w:r>
      <w:r w:rsidR="00424FCA">
        <w:rPr>
          <w:sz w:val="24"/>
          <w:szCs w:val="24"/>
        </w:rPr>
        <w:t xml:space="preserve"> and understanding the living conditions faced by the individuals. </w:t>
      </w:r>
    </w:p>
    <w:p w:rsidR="00424FCA" w:rsidRDefault="00C52BF7" w:rsidP="003B5900">
      <w:pPr>
        <w:autoSpaceDE w:val="0"/>
        <w:autoSpaceDN w:val="0"/>
        <w:adjustRightInd w:val="0"/>
        <w:spacing w:after="0" w:line="360" w:lineRule="auto"/>
        <w:jc w:val="both"/>
        <w:rPr>
          <w:rFonts w:cs="Arial,Italic"/>
          <w:iCs/>
          <w:sz w:val="24"/>
          <w:szCs w:val="24"/>
        </w:rPr>
      </w:pPr>
      <w:r>
        <w:rPr>
          <w:sz w:val="24"/>
          <w:szCs w:val="24"/>
        </w:rPr>
        <w:t>The</w:t>
      </w:r>
      <w:r w:rsidR="006A33E6" w:rsidRPr="004F1B25">
        <w:rPr>
          <w:sz w:val="24"/>
          <w:szCs w:val="24"/>
        </w:rPr>
        <w:t xml:space="preserve"> cemetery was continually </w:t>
      </w:r>
      <w:r w:rsidR="008A459E">
        <w:rPr>
          <w:sz w:val="24"/>
          <w:szCs w:val="24"/>
        </w:rPr>
        <w:t>utilised</w:t>
      </w:r>
      <w:r w:rsidR="006A33E6" w:rsidRPr="004F1B25">
        <w:rPr>
          <w:sz w:val="24"/>
          <w:szCs w:val="24"/>
        </w:rPr>
        <w:t xml:space="preserve"> by the population until it was formally closed in </w:t>
      </w:r>
      <w:r w:rsidR="006A33E6" w:rsidRPr="00903C9E">
        <w:rPr>
          <w:sz w:val="24"/>
          <w:szCs w:val="24"/>
        </w:rPr>
        <w:t xml:space="preserve">1859, incorporating populations from the medieval and post-medieval periods (Hart, 2012).  </w:t>
      </w:r>
      <w:r w:rsidR="002A1FD8" w:rsidRPr="00903C9E">
        <w:rPr>
          <w:sz w:val="24"/>
          <w:szCs w:val="24"/>
        </w:rPr>
        <w:t xml:space="preserve">Seven burial styles were identified within the cemetery.  </w:t>
      </w:r>
      <w:r w:rsidR="002A1FD8" w:rsidRPr="00903C9E">
        <w:rPr>
          <w:rFonts w:cs="Arial,Italic"/>
          <w:iCs/>
          <w:sz w:val="24"/>
          <w:szCs w:val="24"/>
        </w:rPr>
        <w:t xml:space="preserve">The inhumation types, variation within body positioning and associated dates can be seen in </w:t>
      </w:r>
      <w:r w:rsidR="00170FF6" w:rsidRPr="00903C9E">
        <w:rPr>
          <w:rFonts w:cs="Arial,Italic"/>
          <w:iCs/>
          <w:sz w:val="24"/>
          <w:szCs w:val="24"/>
        </w:rPr>
        <w:t>T</w:t>
      </w:r>
      <w:r w:rsidR="002A1FD8" w:rsidRPr="00903C9E">
        <w:rPr>
          <w:rFonts w:cs="Arial,Italic"/>
          <w:iCs/>
          <w:sz w:val="24"/>
          <w:szCs w:val="24"/>
        </w:rPr>
        <w:t xml:space="preserve">able </w:t>
      </w:r>
      <w:r w:rsidR="00903C9E" w:rsidRPr="00903C9E">
        <w:rPr>
          <w:rFonts w:cs="Arial,Italic"/>
          <w:iCs/>
          <w:sz w:val="24"/>
          <w:szCs w:val="24"/>
        </w:rPr>
        <w:t>1</w:t>
      </w:r>
      <w:r w:rsidR="002A1FD8" w:rsidRPr="00903C9E">
        <w:rPr>
          <w:rFonts w:cs="Arial,Italic"/>
          <w:iCs/>
          <w:sz w:val="24"/>
          <w:szCs w:val="24"/>
        </w:rPr>
        <w:t xml:space="preserve">.  </w:t>
      </w:r>
    </w:p>
    <w:p w:rsidR="00DA7D8D" w:rsidRPr="00903C9E" w:rsidRDefault="00DA7D8D" w:rsidP="003B5900">
      <w:pPr>
        <w:autoSpaceDE w:val="0"/>
        <w:autoSpaceDN w:val="0"/>
        <w:adjustRightInd w:val="0"/>
        <w:spacing w:after="0" w:line="360" w:lineRule="auto"/>
        <w:jc w:val="both"/>
        <w:rPr>
          <w:rFonts w:cs="Arial,Italic"/>
          <w:iCs/>
          <w:sz w:val="24"/>
          <w:szCs w:val="24"/>
        </w:rPr>
      </w:pPr>
    </w:p>
    <w:p w:rsidR="00A0779F" w:rsidRPr="00903C9E" w:rsidRDefault="00A0779F" w:rsidP="003B5900">
      <w:pPr>
        <w:autoSpaceDE w:val="0"/>
        <w:autoSpaceDN w:val="0"/>
        <w:adjustRightInd w:val="0"/>
        <w:spacing w:after="0" w:line="360" w:lineRule="auto"/>
        <w:jc w:val="both"/>
        <w:rPr>
          <w:rFonts w:cs="Arial,Italic"/>
          <w:b/>
          <w:iCs/>
          <w:sz w:val="24"/>
          <w:szCs w:val="24"/>
          <w:u w:val="single"/>
        </w:rPr>
      </w:pPr>
      <w:r w:rsidRPr="00903C9E">
        <w:rPr>
          <w:rFonts w:cs="Arial,Italic"/>
          <w:b/>
          <w:iCs/>
          <w:sz w:val="24"/>
          <w:szCs w:val="24"/>
          <w:u w:val="single"/>
        </w:rPr>
        <w:t xml:space="preserve">Table </w:t>
      </w:r>
      <w:r w:rsidR="00903C9E" w:rsidRPr="00903C9E">
        <w:rPr>
          <w:rFonts w:cs="Arial,Italic"/>
          <w:b/>
          <w:iCs/>
          <w:sz w:val="24"/>
          <w:szCs w:val="24"/>
          <w:u w:val="single"/>
        </w:rPr>
        <w:t>1</w:t>
      </w:r>
      <w:r w:rsidRPr="00903C9E">
        <w:rPr>
          <w:rFonts w:cs="Arial,Italic"/>
          <w:b/>
          <w:iCs/>
          <w:sz w:val="24"/>
          <w:szCs w:val="24"/>
          <w:u w:val="single"/>
        </w:rPr>
        <w:t xml:space="preserve">: Table of </w:t>
      </w:r>
      <w:r w:rsidR="00042EFC">
        <w:rPr>
          <w:rFonts w:cs="Arial,Italic"/>
          <w:b/>
          <w:iCs/>
          <w:sz w:val="24"/>
          <w:szCs w:val="24"/>
          <w:u w:val="single"/>
        </w:rPr>
        <w:t xml:space="preserve">Common </w:t>
      </w:r>
      <w:r w:rsidRPr="00903C9E">
        <w:rPr>
          <w:rFonts w:cs="Arial,Italic"/>
          <w:b/>
          <w:iCs/>
          <w:sz w:val="24"/>
          <w:szCs w:val="24"/>
          <w:u w:val="single"/>
        </w:rPr>
        <w:t xml:space="preserve">Burial Types in ESC11 </w:t>
      </w:r>
    </w:p>
    <w:tbl>
      <w:tblPr>
        <w:tblStyle w:val="PlainTable11"/>
        <w:tblpPr w:leftFromText="180" w:rightFromText="180" w:vertAnchor="text" w:horzAnchor="margin" w:tblpY="173"/>
        <w:tblW w:w="9242" w:type="dxa"/>
        <w:tblLook w:val="04A0" w:firstRow="1" w:lastRow="0" w:firstColumn="1" w:lastColumn="0" w:noHBand="0" w:noVBand="1"/>
      </w:tblPr>
      <w:tblGrid>
        <w:gridCol w:w="2235"/>
        <w:gridCol w:w="4252"/>
        <w:gridCol w:w="2755"/>
      </w:tblGrid>
      <w:tr w:rsidR="002A1FD8" w:rsidRPr="00903C9E" w:rsidTr="00163C2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center"/>
            <w:hideMark/>
          </w:tcPr>
          <w:p w:rsidR="002A1FD8" w:rsidRPr="00903C9E" w:rsidRDefault="002A1FD8" w:rsidP="003B5900">
            <w:pPr>
              <w:autoSpaceDE w:val="0"/>
              <w:autoSpaceDN w:val="0"/>
              <w:adjustRightInd w:val="0"/>
              <w:jc w:val="both"/>
              <w:rPr>
                <w:rFonts w:cs="Arial,Italic"/>
                <w:iCs/>
              </w:rPr>
            </w:pPr>
            <w:r w:rsidRPr="00903C9E">
              <w:rPr>
                <w:rFonts w:cs="Arial,Italic"/>
                <w:iCs/>
              </w:rPr>
              <w:t>Type of Inhumation</w:t>
            </w:r>
          </w:p>
        </w:tc>
        <w:tc>
          <w:tcPr>
            <w:tcW w:w="42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center"/>
            <w:hideMark/>
          </w:tcPr>
          <w:p w:rsidR="002A1FD8" w:rsidRPr="00903C9E" w:rsidRDefault="002A1FD8" w:rsidP="003B590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Arial,Italic"/>
                <w:iCs/>
              </w:rPr>
            </w:pPr>
            <w:r w:rsidRPr="00903C9E">
              <w:rPr>
                <w:rFonts w:cs="Arial,Italic"/>
                <w:iCs/>
              </w:rPr>
              <w:t>Period</w:t>
            </w:r>
          </w:p>
        </w:tc>
        <w:tc>
          <w:tcPr>
            <w:tcW w:w="27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2A1FD8" w:rsidRPr="00903C9E" w:rsidRDefault="002A1FD8" w:rsidP="003B590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cs="Arial,Italic"/>
                <w:iCs/>
              </w:rPr>
            </w:pPr>
            <w:r w:rsidRPr="00903C9E">
              <w:rPr>
                <w:rFonts w:cs="Arial,Italic"/>
                <w:iCs/>
              </w:rPr>
              <w:t>Body Position</w:t>
            </w:r>
          </w:p>
        </w:tc>
      </w:tr>
      <w:tr w:rsidR="002A1FD8" w:rsidRPr="00903C9E" w:rsidTr="00163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center"/>
            <w:hideMark/>
          </w:tcPr>
          <w:p w:rsidR="002A1FD8" w:rsidRPr="00903C9E" w:rsidRDefault="002A1FD8" w:rsidP="003B5900">
            <w:pPr>
              <w:autoSpaceDE w:val="0"/>
              <w:autoSpaceDN w:val="0"/>
              <w:adjustRightInd w:val="0"/>
              <w:jc w:val="both"/>
              <w:rPr>
                <w:rFonts w:cs="Arial,Italic"/>
                <w:iCs/>
              </w:rPr>
            </w:pPr>
            <w:r w:rsidRPr="00903C9E">
              <w:rPr>
                <w:rFonts w:cs="Arial,Italic"/>
                <w:iCs/>
              </w:rPr>
              <w:t>Shroud 2a:</w:t>
            </w:r>
          </w:p>
        </w:tc>
        <w:tc>
          <w:tcPr>
            <w:tcW w:w="42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center"/>
            <w:hideMark/>
          </w:tcPr>
          <w:p w:rsidR="002A1FD8" w:rsidRPr="00903C9E" w:rsidRDefault="002A1FD8" w:rsidP="003B59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Italic"/>
                <w:iCs/>
              </w:rPr>
            </w:pPr>
            <w:r w:rsidRPr="00903C9E">
              <w:rPr>
                <w:rFonts w:cs="Arial,Italic"/>
                <w:iCs/>
              </w:rPr>
              <w:t>Early post-medieval burials</w:t>
            </w:r>
          </w:p>
        </w:tc>
        <w:tc>
          <w:tcPr>
            <w:tcW w:w="27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2A1FD8" w:rsidRPr="00903C9E" w:rsidRDefault="00042EFC" w:rsidP="00042EF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Italic"/>
                <w:iCs/>
              </w:rPr>
            </w:pPr>
            <w:r w:rsidRPr="00903C9E">
              <w:rPr>
                <w:rFonts w:cs="Arial,Italic"/>
                <w:iCs/>
              </w:rPr>
              <w:t>Extended and supine</w:t>
            </w:r>
            <w:r>
              <w:rPr>
                <w:rFonts w:cs="Arial,Italic"/>
                <w:iCs/>
              </w:rPr>
              <w:t>,</w:t>
            </w:r>
            <w:r w:rsidRPr="00903C9E">
              <w:rPr>
                <w:rFonts w:cs="Arial,Italic"/>
                <w:iCs/>
              </w:rPr>
              <w:t xml:space="preserve"> </w:t>
            </w:r>
            <w:r>
              <w:rPr>
                <w:rFonts w:cs="Arial,Italic"/>
                <w:iCs/>
              </w:rPr>
              <w:t>a</w:t>
            </w:r>
            <w:r w:rsidR="002A1FD8" w:rsidRPr="00903C9E">
              <w:rPr>
                <w:rFonts w:cs="Arial,Italic"/>
                <w:iCs/>
              </w:rPr>
              <w:t>rms crossed over chest</w:t>
            </w:r>
          </w:p>
        </w:tc>
      </w:tr>
      <w:tr w:rsidR="002A1FD8" w:rsidRPr="00903C9E" w:rsidTr="00163C20">
        <w:trPr>
          <w:trHeight w:val="300"/>
        </w:trPr>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center"/>
            <w:hideMark/>
          </w:tcPr>
          <w:p w:rsidR="002A1FD8" w:rsidRPr="00903C9E" w:rsidRDefault="002A1FD8" w:rsidP="003B5900">
            <w:pPr>
              <w:autoSpaceDE w:val="0"/>
              <w:autoSpaceDN w:val="0"/>
              <w:adjustRightInd w:val="0"/>
              <w:jc w:val="both"/>
              <w:rPr>
                <w:rFonts w:cs="Arial,Italic"/>
                <w:iCs/>
              </w:rPr>
            </w:pPr>
            <w:r w:rsidRPr="00903C9E">
              <w:rPr>
                <w:rFonts w:cs="Arial,Italic"/>
                <w:iCs/>
              </w:rPr>
              <w:t>Shroud 2b:</w:t>
            </w:r>
          </w:p>
        </w:tc>
        <w:tc>
          <w:tcPr>
            <w:tcW w:w="42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center"/>
            <w:hideMark/>
          </w:tcPr>
          <w:p w:rsidR="002A1FD8" w:rsidRPr="00903C9E" w:rsidRDefault="002A1FD8" w:rsidP="003B59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Italic"/>
                <w:iCs/>
              </w:rPr>
            </w:pPr>
            <w:r w:rsidRPr="00903C9E">
              <w:rPr>
                <w:rFonts w:cs="Arial,Italic"/>
                <w:iCs/>
              </w:rPr>
              <w:t>Post-medieval burials</w:t>
            </w:r>
          </w:p>
        </w:tc>
        <w:tc>
          <w:tcPr>
            <w:tcW w:w="27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2A1FD8" w:rsidRPr="00903C9E" w:rsidRDefault="00042EFC" w:rsidP="00042EF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Italic"/>
                <w:iCs/>
              </w:rPr>
            </w:pPr>
            <w:r w:rsidRPr="00903C9E">
              <w:rPr>
                <w:rFonts w:cs="Arial,Italic"/>
                <w:iCs/>
              </w:rPr>
              <w:t>Extended and supine</w:t>
            </w:r>
            <w:r>
              <w:rPr>
                <w:rFonts w:cs="Arial,Italic"/>
                <w:iCs/>
              </w:rPr>
              <w:t>, h</w:t>
            </w:r>
            <w:r w:rsidR="002A1FD8" w:rsidRPr="00903C9E">
              <w:rPr>
                <w:rFonts w:cs="Arial,Italic"/>
                <w:iCs/>
              </w:rPr>
              <w:t>ands resting on pelvis</w:t>
            </w:r>
          </w:p>
        </w:tc>
      </w:tr>
      <w:tr w:rsidR="002A1FD8" w:rsidRPr="00903C9E" w:rsidTr="00163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center"/>
            <w:hideMark/>
          </w:tcPr>
          <w:p w:rsidR="002A1FD8" w:rsidRPr="00903C9E" w:rsidRDefault="002A1FD8" w:rsidP="003B5900">
            <w:pPr>
              <w:autoSpaceDE w:val="0"/>
              <w:autoSpaceDN w:val="0"/>
              <w:adjustRightInd w:val="0"/>
              <w:jc w:val="both"/>
              <w:rPr>
                <w:rFonts w:cs="Arial,Italic"/>
                <w:iCs/>
              </w:rPr>
            </w:pPr>
            <w:r w:rsidRPr="00903C9E">
              <w:rPr>
                <w:rFonts w:cs="Arial,Italic"/>
                <w:iCs/>
              </w:rPr>
              <w:t>Shroud 2c:</w:t>
            </w:r>
          </w:p>
        </w:tc>
        <w:tc>
          <w:tcPr>
            <w:tcW w:w="42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center"/>
            <w:hideMark/>
          </w:tcPr>
          <w:p w:rsidR="002A1FD8" w:rsidRPr="00903C9E" w:rsidRDefault="002A1FD8" w:rsidP="003B59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Italic"/>
                <w:iCs/>
              </w:rPr>
            </w:pPr>
            <w:r w:rsidRPr="00903C9E">
              <w:rPr>
                <w:rFonts w:cs="Arial,Italic"/>
                <w:iCs/>
              </w:rPr>
              <w:t>Late post-medieval burials, 18th/19th century</w:t>
            </w:r>
          </w:p>
        </w:tc>
        <w:tc>
          <w:tcPr>
            <w:tcW w:w="27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2A1FD8" w:rsidRPr="00903C9E" w:rsidRDefault="00042EFC" w:rsidP="00042EF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Italic"/>
                <w:iCs/>
              </w:rPr>
            </w:pPr>
            <w:r w:rsidRPr="00903C9E">
              <w:rPr>
                <w:rFonts w:cs="Arial,Italic"/>
                <w:iCs/>
              </w:rPr>
              <w:t>Extended and supine</w:t>
            </w:r>
            <w:r>
              <w:rPr>
                <w:rFonts w:cs="Arial,Italic"/>
                <w:iCs/>
              </w:rPr>
              <w:t>, h</w:t>
            </w:r>
            <w:r w:rsidR="002A1FD8" w:rsidRPr="00903C9E">
              <w:rPr>
                <w:rFonts w:cs="Arial,Italic"/>
                <w:iCs/>
              </w:rPr>
              <w:t xml:space="preserve">ands by </w:t>
            </w:r>
            <w:r>
              <w:rPr>
                <w:rFonts w:cs="Arial,Italic"/>
                <w:iCs/>
              </w:rPr>
              <w:t xml:space="preserve">the </w:t>
            </w:r>
            <w:r w:rsidR="002A1FD8" w:rsidRPr="00903C9E">
              <w:rPr>
                <w:rFonts w:cs="Arial,Italic"/>
                <w:iCs/>
              </w:rPr>
              <w:t>side</w:t>
            </w:r>
          </w:p>
        </w:tc>
      </w:tr>
      <w:tr w:rsidR="002A1FD8" w:rsidRPr="00903C9E" w:rsidTr="00163C20">
        <w:trPr>
          <w:trHeight w:val="300"/>
        </w:trPr>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center"/>
            <w:hideMark/>
          </w:tcPr>
          <w:p w:rsidR="002A1FD8" w:rsidRPr="00903C9E" w:rsidRDefault="002A1FD8" w:rsidP="003B5900">
            <w:pPr>
              <w:autoSpaceDE w:val="0"/>
              <w:autoSpaceDN w:val="0"/>
              <w:adjustRightInd w:val="0"/>
              <w:jc w:val="both"/>
              <w:rPr>
                <w:rFonts w:cs="Arial,Italic"/>
                <w:iCs/>
              </w:rPr>
            </w:pPr>
            <w:r w:rsidRPr="00903C9E">
              <w:rPr>
                <w:rFonts w:cs="Arial,Italic"/>
                <w:iCs/>
              </w:rPr>
              <w:t>Coffin:</w:t>
            </w:r>
          </w:p>
        </w:tc>
        <w:tc>
          <w:tcPr>
            <w:tcW w:w="42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center"/>
            <w:hideMark/>
          </w:tcPr>
          <w:p w:rsidR="002A1FD8" w:rsidRPr="00903C9E" w:rsidRDefault="002A1FD8" w:rsidP="003B59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Italic"/>
                <w:iCs/>
              </w:rPr>
            </w:pPr>
            <w:r w:rsidRPr="00903C9E">
              <w:rPr>
                <w:rFonts w:cs="Arial,Italic"/>
                <w:iCs/>
              </w:rPr>
              <w:t>Late post-medieval burials, 18th/19th century</w:t>
            </w:r>
          </w:p>
        </w:tc>
        <w:tc>
          <w:tcPr>
            <w:tcW w:w="27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2A1FD8" w:rsidRPr="00903C9E" w:rsidRDefault="002A1FD8" w:rsidP="003B590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cs="Arial,Italic"/>
                <w:iCs/>
              </w:rPr>
            </w:pPr>
            <w:r w:rsidRPr="00903C9E">
              <w:rPr>
                <w:rFonts w:cs="Arial,Italic"/>
                <w:iCs/>
              </w:rPr>
              <w:t>Extended and supine, coffins were stacked or in individual brick tombs</w:t>
            </w:r>
          </w:p>
        </w:tc>
      </w:tr>
      <w:tr w:rsidR="002A1FD8" w:rsidRPr="00903C9E" w:rsidTr="00163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center"/>
            <w:hideMark/>
          </w:tcPr>
          <w:p w:rsidR="002A1FD8" w:rsidRPr="00903C9E" w:rsidRDefault="002A1FD8" w:rsidP="003B5900">
            <w:pPr>
              <w:autoSpaceDE w:val="0"/>
              <w:autoSpaceDN w:val="0"/>
              <w:adjustRightInd w:val="0"/>
              <w:jc w:val="both"/>
              <w:rPr>
                <w:rFonts w:cs="Arial,Italic"/>
                <w:iCs/>
              </w:rPr>
            </w:pPr>
            <w:r w:rsidRPr="00903C9E">
              <w:rPr>
                <w:rFonts w:cs="Arial,Italic"/>
                <w:iCs/>
              </w:rPr>
              <w:t>Tomb:</w:t>
            </w:r>
          </w:p>
        </w:tc>
        <w:tc>
          <w:tcPr>
            <w:tcW w:w="42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vAlign w:val="center"/>
            <w:hideMark/>
          </w:tcPr>
          <w:p w:rsidR="002A1FD8" w:rsidRPr="00903C9E" w:rsidRDefault="002A1FD8" w:rsidP="003B59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Italic"/>
                <w:iCs/>
              </w:rPr>
            </w:pPr>
            <w:r w:rsidRPr="00903C9E">
              <w:rPr>
                <w:rFonts w:cs="Arial,Italic"/>
                <w:iCs/>
              </w:rPr>
              <w:t>Late post-medieval burials, 18th/19th century</w:t>
            </w:r>
          </w:p>
        </w:tc>
        <w:tc>
          <w:tcPr>
            <w:tcW w:w="275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rsidR="002A1FD8" w:rsidRPr="00903C9E" w:rsidRDefault="002A1FD8" w:rsidP="003B590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cs="Arial,Italic"/>
                <w:iCs/>
              </w:rPr>
            </w:pPr>
            <w:r w:rsidRPr="00903C9E">
              <w:rPr>
                <w:rFonts w:cs="Arial,Italic"/>
                <w:iCs/>
              </w:rPr>
              <w:t>Extended and supine, in brick lined tomb</w:t>
            </w:r>
          </w:p>
        </w:tc>
      </w:tr>
    </w:tbl>
    <w:p w:rsidR="002A1FD8" w:rsidRDefault="00690685" w:rsidP="003B5900">
      <w:pPr>
        <w:jc w:val="both"/>
        <w:rPr>
          <w:sz w:val="18"/>
          <w:szCs w:val="18"/>
        </w:rPr>
      </w:pPr>
      <w:r w:rsidRPr="00903C9E">
        <w:rPr>
          <w:sz w:val="18"/>
          <w:szCs w:val="18"/>
        </w:rPr>
        <w:t xml:space="preserve">Table </w:t>
      </w:r>
      <w:r w:rsidR="00903C9E" w:rsidRPr="00903C9E">
        <w:rPr>
          <w:sz w:val="18"/>
          <w:szCs w:val="18"/>
        </w:rPr>
        <w:t>1</w:t>
      </w:r>
      <w:r w:rsidR="004173DA" w:rsidRPr="00903C9E">
        <w:rPr>
          <w:sz w:val="18"/>
          <w:szCs w:val="18"/>
        </w:rPr>
        <w:t xml:space="preserve">.  </w:t>
      </w:r>
      <w:r w:rsidR="002A1FD8" w:rsidRPr="00903C9E">
        <w:rPr>
          <w:sz w:val="18"/>
          <w:szCs w:val="18"/>
        </w:rPr>
        <w:t xml:space="preserve">Details of the different inhumation types within ESC11 and their estimated date.  </w:t>
      </w:r>
      <w:r w:rsidR="008A459E" w:rsidRPr="00903C9E">
        <w:rPr>
          <w:sz w:val="18"/>
          <w:szCs w:val="18"/>
        </w:rPr>
        <w:t xml:space="preserve">Shroud graves were the most common burial style across both the medieval and post-medieval periods, summing 1365 cases.  This was followed by coffined and tomb burials.  </w:t>
      </w:r>
      <w:r w:rsidR="002A1FD8" w:rsidRPr="00903C9E">
        <w:rPr>
          <w:sz w:val="18"/>
          <w:szCs w:val="18"/>
        </w:rPr>
        <w:t>Alongside these, four ash and charcoal burials were identified, including both coffined and un-coffined cases from the medieval and post-medieval period, as well as 12 pillow graves dating to the 10th and 11th centuries, and three later charnel pits (Hart, 2012).</w:t>
      </w:r>
    </w:p>
    <w:p w:rsidR="002A1FD8" w:rsidRDefault="002A1FD8" w:rsidP="003B5900">
      <w:pPr>
        <w:spacing w:line="360" w:lineRule="auto"/>
        <w:jc w:val="both"/>
        <w:rPr>
          <w:sz w:val="24"/>
          <w:szCs w:val="24"/>
        </w:rPr>
      </w:pPr>
      <w:r w:rsidRPr="004F1B25">
        <w:rPr>
          <w:sz w:val="24"/>
          <w:szCs w:val="24"/>
        </w:rPr>
        <w:t>The differing styles of inhumation have been suggested to represent socio-economic status, with coffins proposedly representing higher status individuals than shroud</w:t>
      </w:r>
      <w:r>
        <w:rPr>
          <w:sz w:val="24"/>
          <w:szCs w:val="24"/>
        </w:rPr>
        <w:t xml:space="preserve"> </w:t>
      </w:r>
      <w:r w:rsidRPr="004F1B25">
        <w:rPr>
          <w:sz w:val="24"/>
          <w:szCs w:val="24"/>
        </w:rPr>
        <w:t xml:space="preserve">burials, allowing this research to identify the prevalence of pathology between </w:t>
      </w:r>
      <w:r w:rsidR="000F06EC">
        <w:rPr>
          <w:sz w:val="24"/>
          <w:szCs w:val="24"/>
        </w:rPr>
        <w:t xml:space="preserve">socio-economic </w:t>
      </w:r>
      <w:r w:rsidR="000F06EC" w:rsidRPr="00850E6B">
        <w:rPr>
          <w:sz w:val="24"/>
          <w:szCs w:val="24"/>
        </w:rPr>
        <w:t>status</w:t>
      </w:r>
      <w:r w:rsidRPr="00850E6B">
        <w:rPr>
          <w:sz w:val="24"/>
          <w:szCs w:val="24"/>
        </w:rPr>
        <w:t xml:space="preserve"> groups.  </w:t>
      </w:r>
      <w:r w:rsidR="00042EFC" w:rsidRPr="00850E6B">
        <w:rPr>
          <w:sz w:val="24"/>
          <w:szCs w:val="24"/>
        </w:rPr>
        <w:t>The remains assessed were associated</w:t>
      </w:r>
      <w:r w:rsidRPr="00850E6B">
        <w:rPr>
          <w:sz w:val="24"/>
          <w:szCs w:val="24"/>
        </w:rPr>
        <w:t xml:space="preserve"> with the time of the Industrial Revolution, allowing an analysis of a population from a socially turbulent </w:t>
      </w:r>
      <w:r w:rsidR="00EB0ACF" w:rsidRPr="00850E6B">
        <w:rPr>
          <w:sz w:val="24"/>
          <w:szCs w:val="24"/>
        </w:rPr>
        <w:t>time</w:t>
      </w:r>
      <w:r w:rsidRPr="00850E6B">
        <w:rPr>
          <w:sz w:val="24"/>
          <w:szCs w:val="24"/>
        </w:rPr>
        <w:t xml:space="preserve"> and ensuring</w:t>
      </w:r>
      <w:r w:rsidRPr="00BA4DA1">
        <w:rPr>
          <w:sz w:val="24"/>
          <w:szCs w:val="24"/>
        </w:rPr>
        <w:t xml:space="preserve"> the incorporated skeletons date to a </w:t>
      </w:r>
      <w:r w:rsidR="00165D77">
        <w:rPr>
          <w:sz w:val="24"/>
          <w:szCs w:val="24"/>
        </w:rPr>
        <w:t>uniform</w:t>
      </w:r>
      <w:r w:rsidRPr="00BA4DA1">
        <w:rPr>
          <w:sz w:val="24"/>
          <w:szCs w:val="24"/>
        </w:rPr>
        <w:t xml:space="preserve"> period.  </w:t>
      </w:r>
    </w:p>
    <w:p w:rsidR="002A1FD8" w:rsidRDefault="002A1FD8" w:rsidP="003B5900">
      <w:pPr>
        <w:spacing w:line="360" w:lineRule="auto"/>
        <w:jc w:val="both"/>
        <w:rPr>
          <w:sz w:val="24"/>
          <w:szCs w:val="24"/>
        </w:rPr>
      </w:pPr>
      <w:r w:rsidRPr="004F1B25">
        <w:rPr>
          <w:sz w:val="24"/>
          <w:szCs w:val="24"/>
        </w:rPr>
        <w:t xml:space="preserve">The remains uniformly exhibit light brown colouration consistently across the cortical surface from soil staining, with no significant colour differences observed between the </w:t>
      </w:r>
      <w:r w:rsidRPr="004F1B25">
        <w:rPr>
          <w:sz w:val="24"/>
          <w:szCs w:val="24"/>
        </w:rPr>
        <w:lastRenderedPageBreak/>
        <w:t>remains analy</w:t>
      </w:r>
      <w:r w:rsidR="00B52D7B">
        <w:rPr>
          <w:sz w:val="24"/>
          <w:szCs w:val="24"/>
        </w:rPr>
        <w:t>sed.</w:t>
      </w:r>
      <w:r w:rsidR="006B056F">
        <w:rPr>
          <w:sz w:val="24"/>
          <w:szCs w:val="24"/>
        </w:rPr>
        <w:t xml:space="preserve"> This suggests taphonomic</w:t>
      </w:r>
      <w:r w:rsidRPr="004F1B25">
        <w:rPr>
          <w:sz w:val="24"/>
          <w:szCs w:val="24"/>
        </w:rPr>
        <w:t xml:space="preserve"> staining was not largely different bet</w:t>
      </w:r>
      <w:r w:rsidR="00B52D7B">
        <w:rPr>
          <w:sz w:val="24"/>
          <w:szCs w:val="24"/>
        </w:rPr>
        <w:t>ween coffin and shroud burials.</w:t>
      </w:r>
      <w:r w:rsidRPr="004F1B25">
        <w:rPr>
          <w:sz w:val="24"/>
          <w:szCs w:val="24"/>
        </w:rPr>
        <w:t xml:space="preserve"> The remains are </w:t>
      </w:r>
      <w:r w:rsidR="00EB0ACF">
        <w:rPr>
          <w:sz w:val="24"/>
          <w:szCs w:val="24"/>
        </w:rPr>
        <w:t xml:space="preserve">partially </w:t>
      </w:r>
      <w:r w:rsidRPr="004F1B25">
        <w:rPr>
          <w:sz w:val="24"/>
          <w:szCs w:val="24"/>
        </w:rPr>
        <w:t>fragmented due to post-mortem fracturing and cortical destruction from taphonomic processes.</w:t>
      </w:r>
    </w:p>
    <w:p w:rsidR="00F15E0A" w:rsidRDefault="00F15E0A" w:rsidP="003B5900">
      <w:pPr>
        <w:spacing w:line="360" w:lineRule="auto"/>
        <w:jc w:val="both"/>
        <w:rPr>
          <w:sz w:val="24"/>
          <w:szCs w:val="24"/>
        </w:rPr>
      </w:pPr>
    </w:p>
    <w:p w:rsidR="00DA7D8D" w:rsidRPr="00DA7D8D" w:rsidRDefault="00DA7D8D" w:rsidP="003B5900">
      <w:pPr>
        <w:spacing w:line="360" w:lineRule="auto"/>
        <w:jc w:val="both"/>
        <w:rPr>
          <w:b/>
          <w:sz w:val="24"/>
          <w:szCs w:val="24"/>
        </w:rPr>
      </w:pPr>
      <w:r w:rsidRPr="00DA7D8D">
        <w:rPr>
          <w:b/>
          <w:sz w:val="24"/>
          <w:szCs w:val="24"/>
        </w:rPr>
        <w:t>Method</w:t>
      </w:r>
    </w:p>
    <w:p w:rsidR="00073008" w:rsidRDefault="00605E71" w:rsidP="003B5900">
      <w:pPr>
        <w:spacing w:line="360" w:lineRule="auto"/>
        <w:jc w:val="both"/>
        <w:rPr>
          <w:sz w:val="18"/>
          <w:szCs w:val="18"/>
        </w:rPr>
      </w:pPr>
      <w:r>
        <w:rPr>
          <w:sz w:val="24"/>
          <w:szCs w:val="24"/>
        </w:rPr>
        <w:t>An</w:t>
      </w:r>
      <w:r w:rsidR="00170FF6">
        <w:rPr>
          <w:sz w:val="24"/>
          <w:szCs w:val="24"/>
        </w:rPr>
        <w:t xml:space="preserve"> </w:t>
      </w:r>
      <w:r w:rsidR="002A1FD8">
        <w:rPr>
          <w:sz w:val="24"/>
          <w:szCs w:val="24"/>
        </w:rPr>
        <w:t xml:space="preserve">analysis of lesions on the </w:t>
      </w:r>
      <w:r w:rsidR="002A1FD8" w:rsidRPr="005F11E3">
        <w:rPr>
          <w:sz w:val="24"/>
          <w:szCs w:val="24"/>
        </w:rPr>
        <w:t>proximal humerus, distal clavicle</w:t>
      </w:r>
      <w:r w:rsidR="002A1FD8">
        <w:rPr>
          <w:sz w:val="24"/>
          <w:szCs w:val="24"/>
        </w:rPr>
        <w:t>,</w:t>
      </w:r>
      <w:r w:rsidR="002A1FD8" w:rsidRPr="005F11E3">
        <w:rPr>
          <w:sz w:val="24"/>
          <w:szCs w:val="24"/>
        </w:rPr>
        <w:t xml:space="preserve"> and the acromion process and glenoid fossa of the scapula</w:t>
      </w:r>
      <w:r>
        <w:rPr>
          <w:sz w:val="24"/>
          <w:szCs w:val="24"/>
        </w:rPr>
        <w:t xml:space="preserve"> was undertaken</w:t>
      </w:r>
      <w:r w:rsidR="002A1FD8" w:rsidRPr="005F11E3">
        <w:rPr>
          <w:sz w:val="24"/>
          <w:szCs w:val="24"/>
        </w:rPr>
        <w:t xml:space="preserve"> </w:t>
      </w:r>
      <w:r w:rsidR="002A1FD8">
        <w:rPr>
          <w:sz w:val="24"/>
          <w:szCs w:val="24"/>
        </w:rPr>
        <w:t xml:space="preserve">to </w:t>
      </w:r>
      <w:r>
        <w:rPr>
          <w:sz w:val="24"/>
          <w:szCs w:val="24"/>
        </w:rPr>
        <w:t>identify</w:t>
      </w:r>
      <w:r w:rsidR="002A1FD8">
        <w:rPr>
          <w:sz w:val="24"/>
          <w:szCs w:val="24"/>
        </w:rPr>
        <w:t xml:space="preserve"> disease affecting </w:t>
      </w:r>
      <w:r w:rsidR="00170FF6">
        <w:rPr>
          <w:sz w:val="24"/>
          <w:szCs w:val="24"/>
        </w:rPr>
        <w:t>the acromio</w:t>
      </w:r>
      <w:r w:rsidR="002A1FD8" w:rsidRPr="005F11E3">
        <w:rPr>
          <w:sz w:val="24"/>
          <w:szCs w:val="24"/>
        </w:rPr>
        <w:t xml:space="preserve">clavicular and </w:t>
      </w:r>
      <w:r w:rsidR="002A1FD8">
        <w:rPr>
          <w:sz w:val="24"/>
          <w:szCs w:val="24"/>
        </w:rPr>
        <w:t>glenohumeral</w:t>
      </w:r>
      <w:r w:rsidR="002A1FD8" w:rsidRPr="005F11E3">
        <w:rPr>
          <w:sz w:val="24"/>
          <w:szCs w:val="24"/>
        </w:rPr>
        <w:t xml:space="preserve"> joints</w:t>
      </w:r>
      <w:r w:rsidR="002A1FD8">
        <w:rPr>
          <w:sz w:val="24"/>
          <w:szCs w:val="24"/>
        </w:rPr>
        <w:t>,</w:t>
      </w:r>
      <w:r w:rsidR="002A1FD8" w:rsidRPr="005F11E3">
        <w:rPr>
          <w:sz w:val="24"/>
          <w:szCs w:val="24"/>
        </w:rPr>
        <w:t xml:space="preserve"> and the rotator cuff.  </w:t>
      </w:r>
      <w:r w:rsidR="0047680C">
        <w:rPr>
          <w:sz w:val="24"/>
          <w:szCs w:val="24"/>
        </w:rPr>
        <w:t>This research</w:t>
      </w:r>
      <w:r w:rsidR="0047680C" w:rsidRPr="00041BCA">
        <w:rPr>
          <w:color w:val="FF0000"/>
          <w:sz w:val="24"/>
          <w:szCs w:val="24"/>
        </w:rPr>
        <w:t xml:space="preserve"> </w:t>
      </w:r>
      <w:r w:rsidR="0047680C" w:rsidRPr="00145EF4">
        <w:rPr>
          <w:sz w:val="24"/>
          <w:szCs w:val="24"/>
        </w:rPr>
        <w:t>consider</w:t>
      </w:r>
      <w:r w:rsidR="00041BCA" w:rsidRPr="00145EF4">
        <w:rPr>
          <w:sz w:val="24"/>
          <w:szCs w:val="24"/>
        </w:rPr>
        <w:t>s</w:t>
      </w:r>
      <w:r w:rsidR="0047680C">
        <w:rPr>
          <w:sz w:val="24"/>
          <w:szCs w:val="24"/>
        </w:rPr>
        <w:t xml:space="preserve"> the demographic factors of biological sex, age and socio-economic stat</w:t>
      </w:r>
      <w:r w:rsidR="00170FF6">
        <w:rPr>
          <w:sz w:val="24"/>
          <w:szCs w:val="24"/>
        </w:rPr>
        <w:t xml:space="preserve">us to </w:t>
      </w:r>
      <w:r w:rsidR="00145EF4">
        <w:rPr>
          <w:sz w:val="24"/>
          <w:szCs w:val="24"/>
        </w:rPr>
        <w:t xml:space="preserve">identify </w:t>
      </w:r>
      <w:r w:rsidR="00170FF6">
        <w:rPr>
          <w:sz w:val="24"/>
          <w:szCs w:val="24"/>
        </w:rPr>
        <w:t xml:space="preserve">how </w:t>
      </w:r>
      <w:r w:rsidR="0047680C">
        <w:rPr>
          <w:sz w:val="24"/>
          <w:szCs w:val="24"/>
        </w:rPr>
        <w:t xml:space="preserve">pathology differed between </w:t>
      </w:r>
      <w:r w:rsidR="00041BCA">
        <w:rPr>
          <w:sz w:val="24"/>
          <w:szCs w:val="24"/>
        </w:rPr>
        <w:t>skeletons buried in shroud 2c and c</w:t>
      </w:r>
      <w:r w:rsidR="00041BCA" w:rsidRPr="00BA4DA1">
        <w:rPr>
          <w:sz w:val="24"/>
          <w:szCs w:val="24"/>
        </w:rPr>
        <w:t xml:space="preserve">offin burial </w:t>
      </w:r>
      <w:r w:rsidR="00041BCA">
        <w:rPr>
          <w:sz w:val="24"/>
          <w:szCs w:val="24"/>
        </w:rPr>
        <w:t xml:space="preserve">styles, </w:t>
      </w:r>
      <w:r w:rsidR="00041BCA" w:rsidRPr="00BA4DA1">
        <w:rPr>
          <w:sz w:val="24"/>
          <w:szCs w:val="24"/>
        </w:rPr>
        <w:t>dating to the 18</w:t>
      </w:r>
      <w:r w:rsidR="00041BCA" w:rsidRPr="00BA4DA1">
        <w:rPr>
          <w:sz w:val="24"/>
          <w:szCs w:val="24"/>
          <w:vertAlign w:val="superscript"/>
        </w:rPr>
        <w:t>th</w:t>
      </w:r>
      <w:r w:rsidR="00041BCA" w:rsidRPr="00BA4DA1">
        <w:rPr>
          <w:sz w:val="24"/>
          <w:szCs w:val="24"/>
        </w:rPr>
        <w:t xml:space="preserve"> and 19</w:t>
      </w:r>
      <w:r w:rsidR="00041BCA" w:rsidRPr="00BA4DA1">
        <w:rPr>
          <w:sz w:val="24"/>
          <w:szCs w:val="24"/>
          <w:vertAlign w:val="superscript"/>
        </w:rPr>
        <w:t>th</w:t>
      </w:r>
      <w:r w:rsidR="00041BCA">
        <w:rPr>
          <w:sz w:val="24"/>
          <w:szCs w:val="24"/>
        </w:rPr>
        <w:t xml:space="preserve"> centuries</w:t>
      </w:r>
      <w:r w:rsidR="0047680C">
        <w:rPr>
          <w:sz w:val="24"/>
          <w:szCs w:val="24"/>
        </w:rPr>
        <w:t xml:space="preserve">. </w:t>
      </w:r>
      <w:r w:rsidR="00DA7D8D">
        <w:rPr>
          <w:sz w:val="24"/>
          <w:szCs w:val="24"/>
        </w:rPr>
        <w:t xml:space="preserve">The majority of the remains which qualified for this analysis were </w:t>
      </w:r>
      <w:r w:rsidR="009E7A5E">
        <w:rPr>
          <w:sz w:val="24"/>
          <w:szCs w:val="24"/>
        </w:rPr>
        <w:t>shroud 2c, meaning the results were biased towards this sample, however this is considered in the analysis.</w:t>
      </w:r>
      <w:r w:rsidR="0047680C">
        <w:rPr>
          <w:sz w:val="24"/>
          <w:szCs w:val="24"/>
        </w:rPr>
        <w:t xml:space="preserve"> </w:t>
      </w:r>
      <w:r w:rsidR="00041BCA">
        <w:rPr>
          <w:sz w:val="24"/>
          <w:szCs w:val="24"/>
        </w:rPr>
        <w:t>S</w:t>
      </w:r>
      <w:r w:rsidR="00073008">
        <w:rPr>
          <w:sz w:val="24"/>
          <w:szCs w:val="24"/>
        </w:rPr>
        <w:t>keletons</w:t>
      </w:r>
      <w:r w:rsidR="00073008" w:rsidRPr="00BA4DA1">
        <w:rPr>
          <w:sz w:val="24"/>
          <w:szCs w:val="24"/>
        </w:rPr>
        <w:t xml:space="preserve"> were included in the analysis only when biological age</w:t>
      </w:r>
      <w:r w:rsidR="00073008">
        <w:rPr>
          <w:sz w:val="24"/>
          <w:szCs w:val="24"/>
        </w:rPr>
        <w:t xml:space="preserve"> and sex</w:t>
      </w:r>
      <w:r w:rsidR="00073008" w:rsidRPr="00BA4DA1">
        <w:rPr>
          <w:sz w:val="24"/>
          <w:szCs w:val="24"/>
        </w:rPr>
        <w:t xml:space="preserve"> could be determined</w:t>
      </w:r>
      <w:r w:rsidR="005322F3">
        <w:rPr>
          <w:sz w:val="24"/>
          <w:szCs w:val="24"/>
        </w:rPr>
        <w:t xml:space="preserve">. </w:t>
      </w:r>
    </w:p>
    <w:p w:rsidR="007C78F3" w:rsidRDefault="00F60095" w:rsidP="003B5900">
      <w:pPr>
        <w:spacing w:line="360" w:lineRule="auto"/>
        <w:jc w:val="both"/>
        <w:rPr>
          <w:sz w:val="24"/>
          <w:szCs w:val="24"/>
        </w:rPr>
      </w:pPr>
      <w:r w:rsidRPr="00BA4DA1">
        <w:rPr>
          <w:sz w:val="24"/>
          <w:szCs w:val="24"/>
        </w:rPr>
        <w:t xml:space="preserve">Demographic data </w:t>
      </w:r>
      <w:r w:rsidR="00BA4DA1">
        <w:rPr>
          <w:sz w:val="24"/>
          <w:szCs w:val="24"/>
        </w:rPr>
        <w:t>were</w:t>
      </w:r>
      <w:r w:rsidRPr="00BA4DA1">
        <w:rPr>
          <w:sz w:val="24"/>
          <w:szCs w:val="24"/>
        </w:rPr>
        <w:t xml:space="preserve"> </w:t>
      </w:r>
      <w:r w:rsidR="002E26EC">
        <w:rPr>
          <w:sz w:val="24"/>
          <w:szCs w:val="24"/>
        </w:rPr>
        <w:t>recorded</w:t>
      </w:r>
      <w:r w:rsidRPr="00BA4DA1">
        <w:rPr>
          <w:sz w:val="24"/>
          <w:szCs w:val="24"/>
        </w:rPr>
        <w:t xml:space="preserve"> for all </w:t>
      </w:r>
      <w:r w:rsidR="00B50F17">
        <w:rPr>
          <w:sz w:val="24"/>
          <w:szCs w:val="24"/>
        </w:rPr>
        <w:t>skeletons</w:t>
      </w:r>
      <w:r w:rsidR="00041BCA">
        <w:rPr>
          <w:sz w:val="24"/>
          <w:szCs w:val="24"/>
        </w:rPr>
        <w:t xml:space="preserve"> which qualified for assessment</w:t>
      </w:r>
      <w:r w:rsidRPr="00BA4DA1">
        <w:rPr>
          <w:sz w:val="24"/>
          <w:szCs w:val="24"/>
        </w:rPr>
        <w:t xml:space="preserve">.  </w:t>
      </w:r>
      <w:r w:rsidR="00DE7442" w:rsidRPr="00BA4DA1">
        <w:rPr>
          <w:sz w:val="24"/>
          <w:szCs w:val="24"/>
        </w:rPr>
        <w:t>Biological a</w:t>
      </w:r>
      <w:r w:rsidR="00D9414B" w:rsidRPr="00BA4DA1">
        <w:rPr>
          <w:sz w:val="24"/>
          <w:szCs w:val="24"/>
        </w:rPr>
        <w:t>ge was</w:t>
      </w:r>
      <w:r w:rsidR="00AE12BC" w:rsidRPr="00BA4DA1">
        <w:rPr>
          <w:sz w:val="24"/>
          <w:szCs w:val="24"/>
        </w:rPr>
        <w:t xml:space="preserve"> </w:t>
      </w:r>
      <w:r w:rsidR="00145EF4">
        <w:rPr>
          <w:sz w:val="24"/>
          <w:szCs w:val="24"/>
        </w:rPr>
        <w:t>identified</w:t>
      </w:r>
      <w:r w:rsidR="00AE12BC" w:rsidRPr="00BA4DA1">
        <w:rPr>
          <w:sz w:val="24"/>
          <w:szCs w:val="24"/>
        </w:rPr>
        <w:t xml:space="preserve"> using Brooks and Suchey</w:t>
      </w:r>
      <w:r w:rsidR="002440A7">
        <w:rPr>
          <w:sz w:val="24"/>
          <w:szCs w:val="24"/>
        </w:rPr>
        <w:t xml:space="preserve"> (1990) </w:t>
      </w:r>
      <w:r w:rsidR="00AE12BC" w:rsidRPr="00BA4DA1">
        <w:rPr>
          <w:sz w:val="24"/>
          <w:szCs w:val="24"/>
        </w:rPr>
        <w:t xml:space="preserve">and Lovejoy </w:t>
      </w:r>
      <w:r w:rsidR="00AE12BC" w:rsidRPr="00BA4DA1">
        <w:rPr>
          <w:i/>
          <w:sz w:val="24"/>
          <w:szCs w:val="24"/>
        </w:rPr>
        <w:t>et al.</w:t>
      </w:r>
      <w:r w:rsidR="00AE12BC" w:rsidRPr="00BA4DA1">
        <w:rPr>
          <w:sz w:val="24"/>
          <w:szCs w:val="24"/>
        </w:rPr>
        <w:t xml:space="preserve"> (1985</w:t>
      </w:r>
      <w:r w:rsidR="00AD0E31">
        <w:rPr>
          <w:sz w:val="24"/>
          <w:szCs w:val="24"/>
        </w:rPr>
        <w:t>)</w:t>
      </w:r>
      <w:r w:rsidR="00A708F5">
        <w:rPr>
          <w:sz w:val="24"/>
          <w:szCs w:val="24"/>
        </w:rPr>
        <w:t xml:space="preserve">.  When required, </w:t>
      </w:r>
      <w:r w:rsidR="00906225">
        <w:rPr>
          <w:sz w:val="24"/>
          <w:szCs w:val="24"/>
        </w:rPr>
        <w:t xml:space="preserve">the </w:t>
      </w:r>
      <w:r w:rsidR="00A708F5">
        <w:rPr>
          <w:sz w:val="24"/>
          <w:szCs w:val="24"/>
        </w:rPr>
        <w:t xml:space="preserve">fusion stage of the </w:t>
      </w:r>
      <w:r w:rsidR="006279A8">
        <w:rPr>
          <w:sz w:val="24"/>
          <w:szCs w:val="24"/>
        </w:rPr>
        <w:t xml:space="preserve">left and right medial clavicle epiphyses </w:t>
      </w:r>
      <w:r w:rsidR="004E2622">
        <w:rPr>
          <w:sz w:val="24"/>
          <w:szCs w:val="24"/>
        </w:rPr>
        <w:t>was</w:t>
      </w:r>
      <w:r w:rsidR="00A708F5">
        <w:rPr>
          <w:sz w:val="24"/>
          <w:szCs w:val="24"/>
        </w:rPr>
        <w:t xml:space="preserve"> used to determine a young age, following </w:t>
      </w:r>
      <w:r w:rsidR="00A708F5" w:rsidRPr="00AF373B">
        <w:rPr>
          <w:sz w:val="24"/>
          <w:szCs w:val="24"/>
        </w:rPr>
        <w:t>Scheue</w:t>
      </w:r>
      <w:r w:rsidR="00B52D7B">
        <w:rPr>
          <w:sz w:val="24"/>
          <w:szCs w:val="24"/>
        </w:rPr>
        <w:t xml:space="preserve">r and Black (2000). </w:t>
      </w:r>
      <w:r w:rsidR="00041BCA">
        <w:rPr>
          <w:sz w:val="24"/>
          <w:szCs w:val="24"/>
        </w:rPr>
        <w:t>No</w:t>
      </w:r>
      <w:r w:rsidR="00C14FDA">
        <w:rPr>
          <w:sz w:val="24"/>
          <w:szCs w:val="24"/>
        </w:rPr>
        <w:t xml:space="preserve"> juveniles were </w:t>
      </w:r>
      <w:r w:rsidR="003535C8">
        <w:rPr>
          <w:sz w:val="24"/>
          <w:szCs w:val="24"/>
        </w:rPr>
        <w:t>assessed</w:t>
      </w:r>
      <w:r w:rsidR="00C14FDA">
        <w:rPr>
          <w:sz w:val="24"/>
          <w:szCs w:val="24"/>
        </w:rPr>
        <w:t xml:space="preserve"> as the </w:t>
      </w:r>
      <w:r w:rsidR="00165989">
        <w:rPr>
          <w:sz w:val="24"/>
          <w:szCs w:val="24"/>
        </w:rPr>
        <w:t>age ranges included in the study were 20-39 and 40+</w:t>
      </w:r>
      <w:r w:rsidR="00B52D7B">
        <w:rPr>
          <w:sz w:val="24"/>
          <w:szCs w:val="24"/>
        </w:rPr>
        <w:t xml:space="preserve">. </w:t>
      </w:r>
      <w:r w:rsidR="00041BCA">
        <w:rPr>
          <w:sz w:val="24"/>
          <w:szCs w:val="24"/>
        </w:rPr>
        <w:t>T</w:t>
      </w:r>
      <w:r w:rsidR="007C78F3">
        <w:rPr>
          <w:sz w:val="24"/>
          <w:szCs w:val="24"/>
        </w:rPr>
        <w:t xml:space="preserve">hese age ranges were devised due to the influence of </w:t>
      </w:r>
      <w:r w:rsidR="00C01CA1">
        <w:rPr>
          <w:sz w:val="24"/>
          <w:szCs w:val="24"/>
        </w:rPr>
        <w:t xml:space="preserve">progressive </w:t>
      </w:r>
      <w:r w:rsidR="007C78F3">
        <w:rPr>
          <w:sz w:val="24"/>
          <w:szCs w:val="24"/>
        </w:rPr>
        <w:t xml:space="preserve">degeneration on the </w:t>
      </w:r>
      <w:r w:rsidR="00F83C2D">
        <w:rPr>
          <w:sz w:val="24"/>
          <w:szCs w:val="24"/>
        </w:rPr>
        <w:t xml:space="preserve">skeletal system of the </w:t>
      </w:r>
      <w:r w:rsidR="00C01CA1">
        <w:rPr>
          <w:sz w:val="24"/>
          <w:szCs w:val="24"/>
        </w:rPr>
        <w:t xml:space="preserve">older population </w:t>
      </w:r>
      <w:r w:rsidR="007C78F3">
        <w:rPr>
          <w:sz w:val="24"/>
          <w:szCs w:val="24"/>
        </w:rPr>
        <w:t xml:space="preserve">after the </w:t>
      </w:r>
      <w:r w:rsidR="00FD2448">
        <w:rPr>
          <w:sz w:val="24"/>
          <w:szCs w:val="24"/>
        </w:rPr>
        <w:t>age of 35</w:t>
      </w:r>
      <w:r w:rsidR="003535C8">
        <w:rPr>
          <w:sz w:val="24"/>
          <w:szCs w:val="24"/>
        </w:rPr>
        <w:t xml:space="preserve"> as </w:t>
      </w:r>
      <w:r w:rsidR="00F83C2D">
        <w:rPr>
          <w:sz w:val="24"/>
          <w:szCs w:val="24"/>
        </w:rPr>
        <w:t>peak bone density</w:t>
      </w:r>
      <w:r w:rsidR="007E6E0A">
        <w:rPr>
          <w:sz w:val="24"/>
          <w:szCs w:val="24"/>
        </w:rPr>
        <w:t xml:space="preserve"> </w:t>
      </w:r>
      <w:r w:rsidR="003535C8">
        <w:rPr>
          <w:sz w:val="24"/>
          <w:szCs w:val="24"/>
        </w:rPr>
        <w:t>passed</w:t>
      </w:r>
      <w:r w:rsidR="00FD2448">
        <w:rPr>
          <w:sz w:val="24"/>
          <w:szCs w:val="24"/>
        </w:rPr>
        <w:t>, and as</w:t>
      </w:r>
      <w:r w:rsidR="00C01CA1">
        <w:rPr>
          <w:sz w:val="24"/>
          <w:szCs w:val="24"/>
        </w:rPr>
        <w:t xml:space="preserve"> </w:t>
      </w:r>
      <w:r w:rsidR="00F83C2D">
        <w:rPr>
          <w:sz w:val="24"/>
          <w:szCs w:val="24"/>
        </w:rPr>
        <w:t>susceptibility of wear and tear</w:t>
      </w:r>
      <w:r w:rsidR="00FD2448" w:rsidRPr="00FD2448">
        <w:rPr>
          <w:sz w:val="24"/>
          <w:szCs w:val="24"/>
        </w:rPr>
        <w:t xml:space="preserve"> </w:t>
      </w:r>
      <w:r w:rsidR="00FD2448">
        <w:rPr>
          <w:sz w:val="24"/>
          <w:szCs w:val="24"/>
        </w:rPr>
        <w:t>increased</w:t>
      </w:r>
      <w:r w:rsidR="00F83C2D">
        <w:rPr>
          <w:sz w:val="24"/>
          <w:szCs w:val="24"/>
        </w:rPr>
        <w:t>. The age ranges consequently control this to illuminate how the factor of age affected disease (</w:t>
      </w:r>
      <w:r w:rsidR="00F83C2D">
        <w:rPr>
          <w:rFonts w:cs="Calibri"/>
          <w:spacing w:val="-1"/>
          <w:sz w:val="24"/>
          <w:szCs w:val="24"/>
        </w:rPr>
        <w:t>Waldron, 2009)</w:t>
      </w:r>
      <w:r w:rsidR="00F83C2D" w:rsidRPr="000A770F">
        <w:rPr>
          <w:rFonts w:cs="Calibri"/>
          <w:spacing w:val="-1"/>
          <w:sz w:val="24"/>
          <w:szCs w:val="24"/>
        </w:rPr>
        <w:t>.</w:t>
      </w:r>
    </w:p>
    <w:p w:rsidR="00AE12BC" w:rsidRDefault="00AE12BC" w:rsidP="003B5900">
      <w:pPr>
        <w:spacing w:line="360" w:lineRule="auto"/>
        <w:jc w:val="both"/>
        <w:rPr>
          <w:sz w:val="24"/>
          <w:szCs w:val="24"/>
        </w:rPr>
      </w:pPr>
      <w:r w:rsidRPr="00BA4DA1">
        <w:rPr>
          <w:sz w:val="24"/>
          <w:szCs w:val="24"/>
        </w:rPr>
        <w:t>Sex w</w:t>
      </w:r>
      <w:r w:rsidR="00D9414B" w:rsidRPr="00BA4DA1">
        <w:rPr>
          <w:sz w:val="24"/>
          <w:szCs w:val="24"/>
        </w:rPr>
        <w:t>as</w:t>
      </w:r>
      <w:r w:rsidRPr="00BA4DA1">
        <w:rPr>
          <w:sz w:val="24"/>
          <w:szCs w:val="24"/>
        </w:rPr>
        <w:t xml:space="preserve"> determined following Phenice (1969</w:t>
      </w:r>
      <w:r w:rsidR="002440A7">
        <w:rPr>
          <w:sz w:val="24"/>
          <w:szCs w:val="24"/>
        </w:rPr>
        <w:t xml:space="preserve">) and </w:t>
      </w:r>
      <w:r w:rsidRPr="00BA4DA1">
        <w:rPr>
          <w:sz w:val="24"/>
          <w:szCs w:val="24"/>
        </w:rPr>
        <w:t>Buikstra and Ubelaker (1994</w:t>
      </w:r>
      <w:r w:rsidR="002440A7">
        <w:rPr>
          <w:sz w:val="24"/>
          <w:szCs w:val="24"/>
        </w:rPr>
        <w:t>)</w:t>
      </w:r>
      <w:r w:rsidRPr="00BA4DA1">
        <w:rPr>
          <w:sz w:val="24"/>
          <w:szCs w:val="24"/>
        </w:rPr>
        <w:t xml:space="preserve">. </w:t>
      </w:r>
      <w:r w:rsidR="004526F4" w:rsidRPr="00BA4DA1">
        <w:rPr>
          <w:sz w:val="24"/>
          <w:szCs w:val="24"/>
        </w:rPr>
        <w:t xml:space="preserve"> </w:t>
      </w:r>
      <w:r w:rsidR="002440A7">
        <w:rPr>
          <w:sz w:val="24"/>
          <w:szCs w:val="24"/>
        </w:rPr>
        <w:t>M</w:t>
      </w:r>
      <w:r w:rsidR="00BA4DA1">
        <w:rPr>
          <w:sz w:val="24"/>
          <w:szCs w:val="24"/>
        </w:rPr>
        <w:t>easurement</w:t>
      </w:r>
      <w:r w:rsidR="002E26EC">
        <w:rPr>
          <w:sz w:val="24"/>
          <w:szCs w:val="24"/>
        </w:rPr>
        <w:t>s</w:t>
      </w:r>
      <w:r w:rsidR="005858EE" w:rsidRPr="00BA4DA1">
        <w:rPr>
          <w:sz w:val="24"/>
          <w:szCs w:val="24"/>
        </w:rPr>
        <w:t xml:space="preserve"> of the femoral head </w:t>
      </w:r>
      <w:r w:rsidR="00DE7442" w:rsidRPr="00BA4DA1">
        <w:rPr>
          <w:sz w:val="24"/>
          <w:szCs w:val="24"/>
        </w:rPr>
        <w:t xml:space="preserve">were taken </w:t>
      </w:r>
      <w:r w:rsidR="00BA4DA1">
        <w:rPr>
          <w:sz w:val="24"/>
          <w:szCs w:val="24"/>
        </w:rPr>
        <w:t>following Bass (1995)</w:t>
      </w:r>
      <w:r w:rsidR="00DE7442" w:rsidRPr="00BA4DA1">
        <w:rPr>
          <w:sz w:val="24"/>
          <w:szCs w:val="24"/>
        </w:rPr>
        <w:t xml:space="preserve"> to aid ide</w:t>
      </w:r>
      <w:r w:rsidR="00B52D7B">
        <w:rPr>
          <w:sz w:val="24"/>
          <w:szCs w:val="24"/>
        </w:rPr>
        <w:t xml:space="preserve">ntification of biological sex. </w:t>
      </w:r>
      <w:r w:rsidR="00DE7442" w:rsidRPr="00BA4DA1">
        <w:rPr>
          <w:sz w:val="24"/>
          <w:szCs w:val="24"/>
        </w:rPr>
        <w:t>The humeral head was not measured</w:t>
      </w:r>
      <w:r w:rsidR="005858EE" w:rsidRPr="00BA4DA1">
        <w:rPr>
          <w:sz w:val="24"/>
          <w:szCs w:val="24"/>
        </w:rPr>
        <w:t xml:space="preserve"> t</w:t>
      </w:r>
      <w:r w:rsidR="00DE7442" w:rsidRPr="00BA4DA1">
        <w:rPr>
          <w:sz w:val="24"/>
          <w:szCs w:val="24"/>
        </w:rPr>
        <w:t>o avoid the duplicate use of the study focus area</w:t>
      </w:r>
      <w:r w:rsidR="00B52D7B">
        <w:rPr>
          <w:sz w:val="24"/>
          <w:szCs w:val="24"/>
        </w:rPr>
        <w:t>.</w:t>
      </w:r>
      <w:r w:rsidR="00CD52A1" w:rsidRPr="00BA4DA1">
        <w:rPr>
          <w:sz w:val="24"/>
          <w:szCs w:val="24"/>
        </w:rPr>
        <w:t xml:space="preserve"> </w:t>
      </w:r>
      <w:r w:rsidR="00041BCA">
        <w:rPr>
          <w:sz w:val="24"/>
          <w:szCs w:val="24"/>
        </w:rPr>
        <w:t xml:space="preserve">Remains scored as probable using Phenice and Buikstra and Ubelaker methods </w:t>
      </w:r>
      <w:r w:rsidR="00BA4DA1">
        <w:rPr>
          <w:sz w:val="24"/>
          <w:szCs w:val="24"/>
        </w:rPr>
        <w:t xml:space="preserve">were scored as male or female when the measurement from the femoral head </w:t>
      </w:r>
      <w:r w:rsidR="00BA4DA1">
        <w:rPr>
          <w:sz w:val="24"/>
          <w:szCs w:val="24"/>
        </w:rPr>
        <w:lastRenderedPageBreak/>
        <w:t xml:space="preserve">correlated with the probable score, </w:t>
      </w:r>
      <w:r w:rsidR="00041BCA">
        <w:rPr>
          <w:sz w:val="24"/>
          <w:szCs w:val="24"/>
        </w:rPr>
        <w:t>and</w:t>
      </w:r>
      <w:r w:rsidR="00BA4DA1">
        <w:rPr>
          <w:sz w:val="24"/>
          <w:szCs w:val="24"/>
        </w:rPr>
        <w:t xml:space="preserve"> remains were omitted when sex was indeterminable</w:t>
      </w:r>
      <w:r w:rsidR="00B52D7B">
        <w:rPr>
          <w:sz w:val="24"/>
          <w:szCs w:val="24"/>
        </w:rPr>
        <w:t>.</w:t>
      </w:r>
    </w:p>
    <w:p w:rsidR="00E52E97" w:rsidRPr="00BA4DA1" w:rsidRDefault="00073008" w:rsidP="003B5900">
      <w:pPr>
        <w:spacing w:line="360" w:lineRule="auto"/>
        <w:jc w:val="both"/>
        <w:rPr>
          <w:color w:val="000000" w:themeColor="text1"/>
          <w:sz w:val="24"/>
          <w:szCs w:val="24"/>
        </w:rPr>
      </w:pPr>
      <w:r>
        <w:rPr>
          <w:sz w:val="24"/>
          <w:szCs w:val="24"/>
        </w:rPr>
        <w:t xml:space="preserve">The determination of socio-economic status followed site publications on ESC11, outlining </w:t>
      </w:r>
      <w:r w:rsidR="00A96286">
        <w:rPr>
          <w:sz w:val="24"/>
          <w:szCs w:val="24"/>
        </w:rPr>
        <w:t>shroud</w:t>
      </w:r>
      <w:r>
        <w:rPr>
          <w:sz w:val="24"/>
          <w:szCs w:val="24"/>
        </w:rPr>
        <w:t xml:space="preserve"> burials to be of </w:t>
      </w:r>
      <w:r w:rsidR="00A96286">
        <w:rPr>
          <w:sz w:val="24"/>
          <w:szCs w:val="24"/>
        </w:rPr>
        <w:t>lower</w:t>
      </w:r>
      <w:r>
        <w:rPr>
          <w:sz w:val="24"/>
          <w:szCs w:val="24"/>
        </w:rPr>
        <w:t xml:space="preserve"> socio-economic status due to </w:t>
      </w:r>
      <w:r w:rsidR="00A96286">
        <w:rPr>
          <w:sz w:val="24"/>
          <w:szCs w:val="24"/>
        </w:rPr>
        <w:t xml:space="preserve">the cost of a coffin burial at the time (Hart, 2012), which is accepted across literature discussing </w:t>
      </w:r>
      <w:r w:rsidR="00DF50B8">
        <w:rPr>
          <w:sz w:val="24"/>
          <w:szCs w:val="24"/>
        </w:rPr>
        <w:t xml:space="preserve">post-medieval </w:t>
      </w:r>
      <w:r w:rsidR="00A96286">
        <w:rPr>
          <w:sz w:val="24"/>
          <w:szCs w:val="24"/>
        </w:rPr>
        <w:t xml:space="preserve">burial practices </w:t>
      </w:r>
      <w:r w:rsidR="00A40555">
        <w:rPr>
          <w:sz w:val="24"/>
          <w:szCs w:val="24"/>
        </w:rPr>
        <w:t>(</w:t>
      </w:r>
      <w:r w:rsidR="00A40555" w:rsidRPr="00A40555">
        <w:rPr>
          <w:sz w:val="24"/>
          <w:szCs w:val="24"/>
        </w:rPr>
        <w:t>Mytum</w:t>
      </w:r>
      <w:r w:rsidR="00A40555">
        <w:rPr>
          <w:sz w:val="24"/>
          <w:szCs w:val="24"/>
        </w:rPr>
        <w:t xml:space="preserve">, 2004). </w:t>
      </w:r>
      <w:r w:rsidR="00A40555" w:rsidRPr="00A40555">
        <w:rPr>
          <w:sz w:val="24"/>
          <w:szCs w:val="24"/>
        </w:rPr>
        <w:t xml:space="preserve"> </w:t>
      </w:r>
      <w:r w:rsidR="00A96286">
        <w:rPr>
          <w:sz w:val="24"/>
          <w:szCs w:val="24"/>
        </w:rPr>
        <w:t>Laterality was lastly determined visually using osteological ident</w:t>
      </w:r>
      <w:r w:rsidR="00B52D7B">
        <w:rPr>
          <w:sz w:val="24"/>
          <w:szCs w:val="24"/>
        </w:rPr>
        <w:t>ification methods (Gray, 1998).</w:t>
      </w:r>
      <w:r w:rsidR="00A71F0C">
        <w:rPr>
          <w:sz w:val="24"/>
          <w:szCs w:val="24"/>
        </w:rPr>
        <w:t xml:space="preserve"> </w:t>
      </w:r>
      <w:r w:rsidR="005B7A2B" w:rsidRPr="00BA4DA1">
        <w:rPr>
          <w:sz w:val="24"/>
          <w:szCs w:val="24"/>
        </w:rPr>
        <w:t>Analysis of t</w:t>
      </w:r>
      <w:r w:rsidR="008919D5">
        <w:rPr>
          <w:sz w:val="24"/>
          <w:szCs w:val="24"/>
        </w:rPr>
        <w:t>he presence or</w:t>
      </w:r>
      <w:r w:rsidR="005B7A2B" w:rsidRPr="00BA4DA1">
        <w:rPr>
          <w:sz w:val="24"/>
          <w:szCs w:val="24"/>
        </w:rPr>
        <w:t xml:space="preserve"> absence of disease was </w:t>
      </w:r>
      <w:r w:rsidR="002E26EC">
        <w:rPr>
          <w:sz w:val="24"/>
          <w:szCs w:val="24"/>
        </w:rPr>
        <w:t>completed</w:t>
      </w:r>
      <w:r w:rsidR="005B7A2B" w:rsidRPr="00BA4DA1">
        <w:rPr>
          <w:sz w:val="24"/>
          <w:szCs w:val="24"/>
        </w:rPr>
        <w:t xml:space="preserve"> </w:t>
      </w:r>
      <w:r w:rsidR="005B7A2B" w:rsidRPr="00145EF4">
        <w:rPr>
          <w:sz w:val="24"/>
          <w:szCs w:val="24"/>
        </w:rPr>
        <w:t>th</w:t>
      </w:r>
      <w:r w:rsidR="00145EF4" w:rsidRPr="00145EF4">
        <w:rPr>
          <w:sz w:val="24"/>
          <w:szCs w:val="24"/>
        </w:rPr>
        <w:t>r</w:t>
      </w:r>
      <w:r w:rsidR="005B7A2B" w:rsidRPr="00145EF4">
        <w:rPr>
          <w:sz w:val="24"/>
          <w:szCs w:val="24"/>
        </w:rPr>
        <w:t>ough</w:t>
      </w:r>
      <w:r w:rsidR="005B7A2B" w:rsidRPr="00BA4DA1">
        <w:rPr>
          <w:sz w:val="24"/>
          <w:szCs w:val="24"/>
        </w:rPr>
        <w:t xml:space="preserve"> a </w:t>
      </w:r>
      <w:r w:rsidR="00E52E97" w:rsidRPr="00BA4DA1">
        <w:rPr>
          <w:sz w:val="24"/>
          <w:szCs w:val="24"/>
        </w:rPr>
        <w:t>macroscopic visual analysis of the remains</w:t>
      </w:r>
      <w:r w:rsidR="005B7A2B" w:rsidRPr="00BA4DA1">
        <w:rPr>
          <w:sz w:val="24"/>
          <w:szCs w:val="24"/>
        </w:rPr>
        <w:t xml:space="preserve">. </w:t>
      </w:r>
      <w:r w:rsidR="00F60095" w:rsidRPr="00BA4DA1">
        <w:rPr>
          <w:color w:val="000000" w:themeColor="text1"/>
          <w:sz w:val="24"/>
          <w:szCs w:val="24"/>
        </w:rPr>
        <w:t xml:space="preserve">Pathological </w:t>
      </w:r>
      <w:r w:rsidR="00E52E97" w:rsidRPr="00BA4DA1">
        <w:rPr>
          <w:color w:val="000000" w:themeColor="text1"/>
          <w:sz w:val="24"/>
          <w:szCs w:val="24"/>
        </w:rPr>
        <w:t xml:space="preserve">data </w:t>
      </w:r>
      <w:r w:rsidR="002E26EC">
        <w:rPr>
          <w:color w:val="000000" w:themeColor="text1"/>
          <w:sz w:val="24"/>
          <w:szCs w:val="24"/>
        </w:rPr>
        <w:t>were</w:t>
      </w:r>
      <w:r w:rsidR="00E52E97" w:rsidRPr="00BA4DA1">
        <w:rPr>
          <w:color w:val="000000" w:themeColor="text1"/>
          <w:sz w:val="24"/>
          <w:szCs w:val="24"/>
        </w:rPr>
        <w:t xml:space="preserve"> collected </w:t>
      </w:r>
      <w:r w:rsidR="00F60095" w:rsidRPr="00BA4DA1">
        <w:rPr>
          <w:color w:val="000000" w:themeColor="text1"/>
          <w:sz w:val="24"/>
          <w:szCs w:val="24"/>
        </w:rPr>
        <w:t xml:space="preserve">in a nominal form </w:t>
      </w:r>
      <w:r w:rsidR="00E52E97" w:rsidRPr="00BA4DA1">
        <w:rPr>
          <w:color w:val="000000" w:themeColor="text1"/>
          <w:sz w:val="24"/>
          <w:szCs w:val="24"/>
        </w:rPr>
        <w:t xml:space="preserve">from the </w:t>
      </w:r>
      <w:r w:rsidR="005B7A2B" w:rsidRPr="00BA4DA1">
        <w:rPr>
          <w:color w:val="000000" w:themeColor="text1"/>
          <w:sz w:val="24"/>
          <w:szCs w:val="24"/>
        </w:rPr>
        <w:t xml:space="preserve">elements present on both the </w:t>
      </w:r>
      <w:r w:rsidR="00E52E97" w:rsidRPr="00BA4DA1">
        <w:rPr>
          <w:color w:val="000000" w:themeColor="text1"/>
          <w:sz w:val="24"/>
          <w:szCs w:val="24"/>
        </w:rPr>
        <w:t>left and right</w:t>
      </w:r>
      <w:r w:rsidR="005B7A2B" w:rsidRPr="00BA4DA1">
        <w:rPr>
          <w:color w:val="000000" w:themeColor="text1"/>
          <w:sz w:val="24"/>
          <w:szCs w:val="24"/>
        </w:rPr>
        <w:t xml:space="preserve"> sides utilising </w:t>
      </w:r>
      <w:r w:rsidR="00E52E97" w:rsidRPr="00BA4DA1">
        <w:rPr>
          <w:color w:val="000000" w:themeColor="text1"/>
          <w:sz w:val="24"/>
          <w:szCs w:val="24"/>
        </w:rPr>
        <w:t>the detailed definitions following Waldron (</w:t>
      </w:r>
      <w:r w:rsidR="001C4382" w:rsidRPr="00BA4DA1">
        <w:rPr>
          <w:color w:val="000000" w:themeColor="text1"/>
          <w:sz w:val="24"/>
          <w:szCs w:val="24"/>
        </w:rPr>
        <w:t>2009</w:t>
      </w:r>
      <w:r w:rsidR="00141DD5">
        <w:rPr>
          <w:color w:val="000000" w:themeColor="text1"/>
          <w:sz w:val="24"/>
          <w:szCs w:val="24"/>
        </w:rPr>
        <w:t>).</w:t>
      </w:r>
      <w:r w:rsidR="00E52E97" w:rsidRPr="00BA4DA1">
        <w:rPr>
          <w:color w:val="000000" w:themeColor="text1"/>
          <w:sz w:val="24"/>
          <w:szCs w:val="24"/>
        </w:rPr>
        <w:t xml:space="preserve"> </w:t>
      </w:r>
    </w:p>
    <w:p w:rsidR="00E52E97" w:rsidRPr="00540461" w:rsidRDefault="005B7A2B" w:rsidP="003B5900">
      <w:pPr>
        <w:spacing w:before="144" w:line="360" w:lineRule="auto"/>
        <w:jc w:val="both"/>
        <w:rPr>
          <w:rFonts w:cs="Calibri"/>
          <w:color w:val="000000" w:themeColor="text1"/>
          <w:spacing w:val="-1"/>
          <w:sz w:val="24"/>
          <w:szCs w:val="24"/>
        </w:rPr>
      </w:pPr>
      <w:r w:rsidRPr="00540461">
        <w:rPr>
          <w:color w:val="000000" w:themeColor="text1"/>
          <w:sz w:val="24"/>
          <w:szCs w:val="24"/>
        </w:rPr>
        <w:t>Osteoarthritis (OA) was</w:t>
      </w:r>
      <w:r w:rsidR="00E52E97" w:rsidRPr="00540461">
        <w:rPr>
          <w:color w:val="000000" w:themeColor="text1"/>
          <w:sz w:val="24"/>
          <w:szCs w:val="24"/>
        </w:rPr>
        <w:t xml:space="preserve"> identified as present in this study when two </w:t>
      </w:r>
      <w:r w:rsidR="00D341D7">
        <w:rPr>
          <w:color w:val="000000" w:themeColor="text1"/>
          <w:sz w:val="24"/>
          <w:szCs w:val="24"/>
        </w:rPr>
        <w:t xml:space="preserve">or more </w:t>
      </w:r>
      <w:r w:rsidR="00E52E97" w:rsidRPr="00540461">
        <w:rPr>
          <w:color w:val="000000" w:themeColor="text1"/>
          <w:sz w:val="24"/>
          <w:szCs w:val="24"/>
        </w:rPr>
        <w:t>of the following osteological features within or along the ma</w:t>
      </w:r>
      <w:r w:rsidRPr="00540461">
        <w:rPr>
          <w:color w:val="000000" w:themeColor="text1"/>
          <w:sz w:val="24"/>
          <w:szCs w:val="24"/>
        </w:rPr>
        <w:t>rgin of the articular surface on</w:t>
      </w:r>
      <w:r w:rsidR="00E52E97" w:rsidRPr="00540461">
        <w:rPr>
          <w:color w:val="000000" w:themeColor="text1"/>
          <w:sz w:val="24"/>
          <w:szCs w:val="24"/>
        </w:rPr>
        <w:t xml:space="preserve"> the </w:t>
      </w:r>
      <w:r w:rsidRPr="00540461">
        <w:rPr>
          <w:color w:val="000000" w:themeColor="text1"/>
          <w:sz w:val="24"/>
          <w:szCs w:val="24"/>
        </w:rPr>
        <w:t xml:space="preserve">humeral </w:t>
      </w:r>
      <w:r w:rsidRPr="00FB580A">
        <w:rPr>
          <w:color w:val="000000" w:themeColor="text1"/>
          <w:sz w:val="24"/>
          <w:szCs w:val="24"/>
        </w:rPr>
        <w:t>head</w:t>
      </w:r>
      <w:r w:rsidRPr="00540461">
        <w:rPr>
          <w:color w:val="000000" w:themeColor="text1"/>
          <w:sz w:val="24"/>
          <w:szCs w:val="24"/>
        </w:rPr>
        <w:t>, glenoid fossa, acromion process and acromial extremity of the clavicle were</w:t>
      </w:r>
      <w:r w:rsidR="00E52E97" w:rsidRPr="00540461">
        <w:rPr>
          <w:color w:val="000000" w:themeColor="text1"/>
          <w:sz w:val="24"/>
          <w:szCs w:val="24"/>
        </w:rPr>
        <w:t xml:space="preserve"> extant: cortical </w:t>
      </w:r>
      <w:r w:rsidR="00E52E97" w:rsidRPr="00540461">
        <w:rPr>
          <w:rFonts w:cs="Calibri"/>
          <w:color w:val="000000" w:themeColor="text1"/>
          <w:spacing w:val="-1"/>
          <w:sz w:val="24"/>
          <w:szCs w:val="24"/>
        </w:rPr>
        <w:t>pitting, new bone formation, marginal osteophytes or alterations to the joint contour, or by the pre</w:t>
      </w:r>
      <w:r w:rsidR="006279A8">
        <w:rPr>
          <w:rFonts w:cs="Calibri"/>
          <w:color w:val="000000" w:themeColor="text1"/>
          <w:spacing w:val="-1"/>
          <w:sz w:val="24"/>
          <w:szCs w:val="24"/>
        </w:rPr>
        <w:t>sence of the pathognomonic sign</w:t>
      </w:r>
      <w:r w:rsidR="00E52E97" w:rsidRPr="00540461">
        <w:rPr>
          <w:rFonts w:cs="Calibri"/>
          <w:color w:val="000000" w:themeColor="text1"/>
          <w:spacing w:val="-1"/>
          <w:sz w:val="24"/>
          <w:szCs w:val="24"/>
        </w:rPr>
        <w:t xml:space="preserve"> eburnation (Waldron,</w:t>
      </w:r>
      <w:r w:rsidR="001C4382" w:rsidRPr="00540461">
        <w:rPr>
          <w:rFonts w:cs="Calibri"/>
          <w:color w:val="000000" w:themeColor="text1"/>
          <w:spacing w:val="-1"/>
          <w:sz w:val="24"/>
          <w:szCs w:val="24"/>
        </w:rPr>
        <w:t xml:space="preserve"> 2009</w:t>
      </w:r>
      <w:r w:rsidR="00E52E97" w:rsidRPr="00540461">
        <w:rPr>
          <w:rFonts w:cs="Calibri"/>
          <w:color w:val="000000" w:themeColor="text1"/>
          <w:spacing w:val="-1"/>
          <w:sz w:val="24"/>
          <w:szCs w:val="24"/>
        </w:rPr>
        <w:t xml:space="preserve">; Firesten </w:t>
      </w:r>
      <w:r w:rsidR="00E52E97" w:rsidRPr="00540461">
        <w:rPr>
          <w:rFonts w:cs="Calibri"/>
          <w:i/>
          <w:color w:val="000000" w:themeColor="text1"/>
          <w:spacing w:val="-1"/>
          <w:sz w:val="24"/>
          <w:szCs w:val="24"/>
        </w:rPr>
        <w:t>et al</w:t>
      </w:r>
      <w:r w:rsidR="00E52E97" w:rsidRPr="00540461">
        <w:rPr>
          <w:rFonts w:cs="Calibri"/>
          <w:color w:val="000000" w:themeColor="text1"/>
          <w:spacing w:val="-1"/>
          <w:sz w:val="24"/>
          <w:szCs w:val="24"/>
        </w:rPr>
        <w:t xml:space="preserve">., 2012). </w:t>
      </w:r>
    </w:p>
    <w:p w:rsidR="00526956" w:rsidRDefault="00EB0ACF" w:rsidP="003B5900">
      <w:pPr>
        <w:spacing w:before="144" w:line="360" w:lineRule="auto"/>
        <w:jc w:val="both"/>
        <w:rPr>
          <w:rFonts w:cs="Calibri"/>
          <w:color w:val="000000" w:themeColor="text1"/>
          <w:spacing w:val="-1"/>
          <w:sz w:val="24"/>
          <w:szCs w:val="24"/>
        </w:rPr>
      </w:pPr>
      <w:r>
        <w:rPr>
          <w:noProof/>
          <w:lang w:eastAsia="en-GB"/>
        </w:rPr>
        <w:drawing>
          <wp:inline distT="0" distB="0" distL="0" distR="0">
            <wp:extent cx="3190875" cy="2847340"/>
            <wp:effectExtent l="318" t="0" r="0" b="0"/>
            <wp:docPr id="21" name="Picture 21" descr="C:\Users\danni.CINDYCW\AppData\Local\Microsoft\Windows\INetCache\Content.Word\IMG_6563.jpg"/>
            <wp:cNvGraphicFramePr/>
            <a:graphic xmlns:a="http://schemas.openxmlformats.org/drawingml/2006/main">
              <a:graphicData uri="http://schemas.openxmlformats.org/drawingml/2006/picture">
                <pic:pic xmlns:pic="http://schemas.openxmlformats.org/drawingml/2006/picture">
                  <pic:nvPicPr>
                    <pic:cNvPr id="21" name="Picture 21" descr="C:\Users\danni.CINDYCW\AppData\Local\Microsoft\Windows\INetCache\Content.Word\IMG_6563.jpg"/>
                    <pic:cNvPicPr/>
                  </pic:nvPicPr>
                  <pic:blipFill rotWithShape="1">
                    <a:blip r:embed="rId9" cstate="print">
                      <a:extLst>
                        <a:ext uri="{28A0092B-C50C-407E-A947-70E740481C1C}">
                          <a14:useLocalDpi xmlns:a14="http://schemas.microsoft.com/office/drawing/2010/main" val="0"/>
                        </a:ext>
                      </a:extLst>
                    </a:blip>
                    <a:srcRect l="17056" r="8068" b="10979"/>
                    <a:stretch/>
                  </pic:blipFill>
                  <pic:spPr bwMode="auto">
                    <a:xfrm rot="5400000">
                      <a:off x="0" y="0"/>
                      <a:ext cx="3190875" cy="2847340"/>
                    </a:xfrm>
                    <a:prstGeom prst="rect">
                      <a:avLst/>
                    </a:prstGeom>
                    <a:noFill/>
                    <a:ln>
                      <a:noFill/>
                    </a:ln>
                    <a:extLst>
                      <a:ext uri="{53640926-AAD7-44D8-BBD7-CCE9431645EC}">
                        <a14:shadowObscured xmlns:a14="http://schemas.microsoft.com/office/drawing/2010/main"/>
                      </a:ext>
                    </a:extLst>
                  </pic:spPr>
                </pic:pic>
              </a:graphicData>
            </a:graphic>
          </wp:inline>
        </w:drawing>
      </w:r>
    </w:p>
    <w:p w:rsidR="00D341D7" w:rsidRPr="00A10618" w:rsidRDefault="004173DA" w:rsidP="003B5900">
      <w:pPr>
        <w:spacing w:before="144" w:line="240" w:lineRule="auto"/>
        <w:jc w:val="both"/>
        <w:rPr>
          <w:rFonts w:cs="Calibri"/>
          <w:color w:val="000000" w:themeColor="text1"/>
          <w:spacing w:val="-1"/>
          <w:sz w:val="18"/>
          <w:szCs w:val="18"/>
        </w:rPr>
      </w:pPr>
      <w:r>
        <w:rPr>
          <w:rFonts w:cs="Calibri"/>
          <w:color w:val="000000" w:themeColor="text1"/>
          <w:spacing w:val="-1"/>
          <w:sz w:val="18"/>
          <w:szCs w:val="18"/>
        </w:rPr>
        <w:t>Figure</w:t>
      </w:r>
      <w:r w:rsidR="00A10618">
        <w:rPr>
          <w:rFonts w:cs="Calibri"/>
          <w:color w:val="000000" w:themeColor="text1"/>
          <w:spacing w:val="-1"/>
          <w:sz w:val="18"/>
          <w:szCs w:val="18"/>
        </w:rPr>
        <w:t xml:space="preserve"> </w:t>
      </w:r>
      <w:r w:rsidR="006A3133">
        <w:rPr>
          <w:rFonts w:cs="Calibri"/>
          <w:color w:val="000000" w:themeColor="text1"/>
          <w:spacing w:val="-1"/>
          <w:sz w:val="18"/>
          <w:szCs w:val="18"/>
        </w:rPr>
        <w:t>1</w:t>
      </w:r>
      <w:r w:rsidR="00D341D7" w:rsidRPr="00A10618">
        <w:rPr>
          <w:rFonts w:cs="Calibri"/>
          <w:color w:val="000000" w:themeColor="text1"/>
          <w:spacing w:val="-1"/>
          <w:sz w:val="18"/>
          <w:szCs w:val="18"/>
        </w:rPr>
        <w:t>.</w:t>
      </w:r>
      <w:r w:rsidR="00A10618">
        <w:rPr>
          <w:rFonts w:cs="Calibri"/>
          <w:color w:val="000000" w:themeColor="text1"/>
          <w:spacing w:val="-1"/>
          <w:sz w:val="18"/>
          <w:szCs w:val="18"/>
        </w:rPr>
        <w:t xml:space="preserve">  Authors Own (2017</w:t>
      </w:r>
      <w:r w:rsidR="00A10618" w:rsidRPr="00A10618">
        <w:rPr>
          <w:rFonts w:cs="Calibri"/>
          <w:color w:val="000000" w:themeColor="text1"/>
          <w:spacing w:val="-1"/>
          <w:sz w:val="18"/>
          <w:szCs w:val="18"/>
        </w:rPr>
        <w:t xml:space="preserve">).  Left scapula and clavicle displaying osteoarthritis at the ACJ, with signs of cortical pitting and lipping around the articular surface, new </w:t>
      </w:r>
      <w:r w:rsidR="006279A8">
        <w:rPr>
          <w:rFonts w:cs="Calibri"/>
          <w:color w:val="000000" w:themeColor="text1"/>
          <w:spacing w:val="-1"/>
          <w:sz w:val="18"/>
          <w:szCs w:val="18"/>
        </w:rPr>
        <w:t xml:space="preserve">bone formation at the rim and </w:t>
      </w:r>
      <w:r w:rsidR="00A10618" w:rsidRPr="00A10618">
        <w:rPr>
          <w:rFonts w:cs="Calibri"/>
          <w:color w:val="000000" w:themeColor="text1"/>
          <w:spacing w:val="-1"/>
          <w:sz w:val="18"/>
          <w:szCs w:val="18"/>
        </w:rPr>
        <w:t xml:space="preserve">resultant </w:t>
      </w:r>
      <w:r w:rsidR="006279A8">
        <w:rPr>
          <w:rFonts w:cs="Calibri"/>
          <w:color w:val="000000" w:themeColor="text1"/>
          <w:spacing w:val="-1"/>
          <w:sz w:val="18"/>
          <w:szCs w:val="18"/>
        </w:rPr>
        <w:t xml:space="preserve">joint contour </w:t>
      </w:r>
      <w:r w:rsidR="00A10618" w:rsidRPr="00A10618">
        <w:rPr>
          <w:rFonts w:cs="Calibri"/>
          <w:color w:val="000000" w:themeColor="text1"/>
          <w:spacing w:val="-1"/>
          <w:sz w:val="18"/>
          <w:szCs w:val="18"/>
        </w:rPr>
        <w:t>alter</w:t>
      </w:r>
      <w:r w:rsidR="006279A8">
        <w:rPr>
          <w:rFonts w:cs="Calibri"/>
          <w:color w:val="000000" w:themeColor="text1"/>
          <w:spacing w:val="-1"/>
          <w:sz w:val="18"/>
          <w:szCs w:val="18"/>
        </w:rPr>
        <w:t xml:space="preserve">ation </w:t>
      </w:r>
      <w:r w:rsidR="00A10618" w:rsidRPr="00A10618">
        <w:rPr>
          <w:rFonts w:cs="Calibri"/>
          <w:color w:val="000000" w:themeColor="text1"/>
          <w:spacing w:val="-1"/>
          <w:sz w:val="18"/>
          <w:szCs w:val="18"/>
        </w:rPr>
        <w:t xml:space="preserve">and eburnation. </w:t>
      </w:r>
    </w:p>
    <w:p w:rsidR="00E52E97" w:rsidRPr="00540461" w:rsidRDefault="005B7A2B" w:rsidP="003B5900">
      <w:pPr>
        <w:spacing w:line="360" w:lineRule="auto"/>
        <w:jc w:val="both"/>
        <w:rPr>
          <w:color w:val="000000" w:themeColor="text1"/>
          <w:sz w:val="24"/>
          <w:szCs w:val="24"/>
        </w:rPr>
      </w:pPr>
      <w:r w:rsidRPr="00540461">
        <w:rPr>
          <w:color w:val="000000" w:themeColor="text1"/>
          <w:sz w:val="24"/>
          <w:szCs w:val="24"/>
        </w:rPr>
        <w:lastRenderedPageBreak/>
        <w:t>Rotator cuff disease (RCD) was</w:t>
      </w:r>
      <w:r w:rsidR="00E52E97" w:rsidRPr="00540461">
        <w:rPr>
          <w:color w:val="000000" w:themeColor="text1"/>
          <w:sz w:val="24"/>
          <w:szCs w:val="24"/>
        </w:rPr>
        <w:t xml:space="preserve"> determined as present in this study when new bone growth on or around the entheses of the rotator cuff muscle tendons was identified</w:t>
      </w:r>
      <w:r w:rsidR="009E7A5E">
        <w:rPr>
          <w:color w:val="000000" w:themeColor="text1"/>
          <w:sz w:val="24"/>
          <w:szCs w:val="24"/>
        </w:rPr>
        <w:t xml:space="preserve"> (Waldron, 2009)</w:t>
      </w:r>
      <w:r w:rsidR="00E52E97" w:rsidRPr="00540461">
        <w:rPr>
          <w:color w:val="000000" w:themeColor="text1"/>
          <w:sz w:val="24"/>
          <w:szCs w:val="24"/>
        </w:rPr>
        <w:t>.  This was diagnosed by the presence of periosteal new bone, pitting on the cortical surface at the</w:t>
      </w:r>
      <w:r w:rsidR="00A10618">
        <w:rPr>
          <w:color w:val="000000" w:themeColor="text1"/>
          <w:sz w:val="24"/>
          <w:szCs w:val="24"/>
        </w:rPr>
        <w:t xml:space="preserve"> tendon</w:t>
      </w:r>
      <w:r w:rsidR="00E52E97" w:rsidRPr="00540461">
        <w:rPr>
          <w:color w:val="000000" w:themeColor="text1"/>
          <w:sz w:val="24"/>
          <w:szCs w:val="24"/>
        </w:rPr>
        <w:t xml:space="preserve"> insertion point</w:t>
      </w:r>
      <w:r w:rsidR="00A10618">
        <w:rPr>
          <w:color w:val="000000" w:themeColor="text1"/>
          <w:sz w:val="24"/>
          <w:szCs w:val="24"/>
        </w:rPr>
        <w:t>s</w:t>
      </w:r>
      <w:r w:rsidR="00E52E97" w:rsidRPr="00540461">
        <w:rPr>
          <w:color w:val="000000" w:themeColor="text1"/>
          <w:sz w:val="24"/>
          <w:szCs w:val="24"/>
        </w:rPr>
        <w:t xml:space="preserve"> and alteration o</w:t>
      </w:r>
      <w:r w:rsidR="009F78FA">
        <w:rPr>
          <w:color w:val="000000" w:themeColor="text1"/>
          <w:sz w:val="24"/>
          <w:szCs w:val="24"/>
        </w:rPr>
        <w:t xml:space="preserve">f the insertion point contour. </w:t>
      </w:r>
      <w:r w:rsidR="00E52E97" w:rsidRPr="00540461">
        <w:rPr>
          <w:color w:val="000000" w:themeColor="text1"/>
          <w:sz w:val="24"/>
          <w:szCs w:val="24"/>
        </w:rPr>
        <w:t>The coracoid and acromion processes can also be osteologically involved with RCD, and when the defined osteological markers were identified on these, the</w:t>
      </w:r>
      <w:r w:rsidR="009F78FA">
        <w:rPr>
          <w:color w:val="000000" w:themeColor="text1"/>
          <w:sz w:val="24"/>
          <w:szCs w:val="24"/>
        </w:rPr>
        <w:t xml:space="preserve"> disease was marked as present.</w:t>
      </w:r>
      <w:r w:rsidR="00E52E97" w:rsidRPr="00540461">
        <w:rPr>
          <w:color w:val="000000" w:themeColor="text1"/>
          <w:sz w:val="24"/>
          <w:szCs w:val="24"/>
        </w:rPr>
        <w:t xml:space="preserve"> In the bicipital groove, RCD was identified as present if new bone formation was identified, or if a bar of bone </w:t>
      </w:r>
      <w:r w:rsidR="00A10618">
        <w:rPr>
          <w:color w:val="000000" w:themeColor="text1"/>
          <w:sz w:val="24"/>
          <w:szCs w:val="24"/>
        </w:rPr>
        <w:t>was</w:t>
      </w:r>
      <w:r w:rsidR="00E52E97" w:rsidRPr="00540461">
        <w:rPr>
          <w:color w:val="000000" w:themeColor="text1"/>
          <w:sz w:val="24"/>
          <w:szCs w:val="24"/>
        </w:rPr>
        <w:t xml:space="preserve"> present, indicative of bicipital rupture. When one of these osteological signs </w:t>
      </w:r>
      <w:r w:rsidR="009F78FA">
        <w:rPr>
          <w:color w:val="000000" w:themeColor="text1"/>
          <w:sz w:val="24"/>
          <w:szCs w:val="24"/>
        </w:rPr>
        <w:t>was</w:t>
      </w:r>
      <w:r w:rsidR="00E52E97" w:rsidRPr="00540461">
        <w:rPr>
          <w:color w:val="000000" w:themeColor="text1"/>
          <w:sz w:val="24"/>
          <w:szCs w:val="24"/>
        </w:rPr>
        <w:t xml:space="preserve"> identified at any of the insertion points or locations detailed, RCD was identified as pr</w:t>
      </w:r>
      <w:r w:rsidR="009F78FA">
        <w:rPr>
          <w:color w:val="000000" w:themeColor="text1"/>
          <w:sz w:val="24"/>
          <w:szCs w:val="24"/>
        </w:rPr>
        <w:t>esent.</w:t>
      </w:r>
      <w:r w:rsidR="00A10618">
        <w:rPr>
          <w:color w:val="000000" w:themeColor="text1"/>
          <w:sz w:val="24"/>
          <w:szCs w:val="24"/>
        </w:rPr>
        <w:t xml:space="preserve"> </w:t>
      </w:r>
      <w:r w:rsidR="00E52E97" w:rsidRPr="00540461">
        <w:rPr>
          <w:color w:val="000000" w:themeColor="text1"/>
          <w:sz w:val="24"/>
          <w:szCs w:val="24"/>
        </w:rPr>
        <w:t xml:space="preserve">ACJ </w:t>
      </w:r>
      <w:r w:rsidR="00A10618">
        <w:rPr>
          <w:color w:val="000000" w:themeColor="text1"/>
          <w:sz w:val="24"/>
          <w:szCs w:val="24"/>
        </w:rPr>
        <w:t>OA</w:t>
      </w:r>
      <w:r w:rsidR="00A10618" w:rsidRPr="00540461">
        <w:rPr>
          <w:color w:val="000000" w:themeColor="text1"/>
          <w:sz w:val="24"/>
          <w:szCs w:val="24"/>
        </w:rPr>
        <w:t xml:space="preserve"> </w:t>
      </w:r>
      <w:r w:rsidR="00E52E97" w:rsidRPr="00540461">
        <w:rPr>
          <w:color w:val="000000" w:themeColor="text1"/>
          <w:sz w:val="24"/>
          <w:szCs w:val="24"/>
        </w:rPr>
        <w:t>is equally associated with RCD</w:t>
      </w:r>
      <w:r w:rsidR="002E26EC" w:rsidRPr="00540461">
        <w:rPr>
          <w:color w:val="000000" w:themeColor="text1"/>
          <w:sz w:val="24"/>
          <w:szCs w:val="24"/>
        </w:rPr>
        <w:t>,</w:t>
      </w:r>
      <w:r w:rsidR="00FA3322" w:rsidRPr="00540461">
        <w:rPr>
          <w:color w:val="000000" w:themeColor="text1"/>
          <w:sz w:val="24"/>
          <w:szCs w:val="24"/>
        </w:rPr>
        <w:t xml:space="preserve"> however t</w:t>
      </w:r>
      <w:r w:rsidR="00E52E97" w:rsidRPr="00540461">
        <w:rPr>
          <w:color w:val="000000" w:themeColor="text1"/>
          <w:sz w:val="24"/>
          <w:szCs w:val="24"/>
        </w:rPr>
        <w:t>his was not used as an indicative marker of RCD when no other osteological sign</w:t>
      </w:r>
      <w:r w:rsidR="00FA3322" w:rsidRPr="00540461">
        <w:rPr>
          <w:color w:val="000000" w:themeColor="text1"/>
          <w:sz w:val="24"/>
          <w:szCs w:val="24"/>
        </w:rPr>
        <w:t>s</w:t>
      </w:r>
      <w:r w:rsidR="00E52E97" w:rsidRPr="00540461">
        <w:rPr>
          <w:color w:val="000000" w:themeColor="text1"/>
          <w:sz w:val="24"/>
          <w:szCs w:val="24"/>
        </w:rPr>
        <w:t xml:space="preserve"> of the disease we</w:t>
      </w:r>
      <w:r w:rsidR="00FA3322" w:rsidRPr="00540461">
        <w:rPr>
          <w:color w:val="000000" w:themeColor="text1"/>
          <w:sz w:val="24"/>
          <w:szCs w:val="24"/>
        </w:rPr>
        <w:t>re identified</w:t>
      </w:r>
      <w:r w:rsidR="00E52E97" w:rsidRPr="00540461">
        <w:rPr>
          <w:color w:val="000000" w:themeColor="text1"/>
          <w:sz w:val="24"/>
          <w:szCs w:val="24"/>
        </w:rPr>
        <w:t>, in which cas</w:t>
      </w:r>
      <w:r w:rsidR="009F78FA">
        <w:rPr>
          <w:color w:val="000000" w:themeColor="text1"/>
          <w:sz w:val="24"/>
          <w:szCs w:val="24"/>
        </w:rPr>
        <w:t xml:space="preserve">e it was classified as ACJ OA. </w:t>
      </w:r>
      <w:r w:rsidR="00E52E97" w:rsidRPr="00540461">
        <w:rPr>
          <w:color w:val="000000" w:themeColor="text1"/>
          <w:sz w:val="24"/>
          <w:szCs w:val="24"/>
        </w:rPr>
        <w:t xml:space="preserve">When </w:t>
      </w:r>
      <w:r w:rsidR="00A71F0C">
        <w:rPr>
          <w:color w:val="000000" w:themeColor="text1"/>
          <w:sz w:val="24"/>
          <w:szCs w:val="24"/>
        </w:rPr>
        <w:t>ACJ OA</w:t>
      </w:r>
      <w:r w:rsidR="00E52E97" w:rsidRPr="00540461">
        <w:rPr>
          <w:color w:val="000000" w:themeColor="text1"/>
          <w:sz w:val="24"/>
          <w:szCs w:val="24"/>
        </w:rPr>
        <w:t xml:space="preserve"> was accompanied with </w:t>
      </w:r>
      <w:r w:rsidR="00A10618">
        <w:rPr>
          <w:color w:val="000000" w:themeColor="text1"/>
          <w:sz w:val="24"/>
          <w:szCs w:val="24"/>
        </w:rPr>
        <w:t xml:space="preserve">signs of </w:t>
      </w:r>
      <w:r w:rsidR="00E52E97" w:rsidRPr="00540461">
        <w:rPr>
          <w:color w:val="000000" w:themeColor="text1"/>
          <w:sz w:val="24"/>
          <w:szCs w:val="24"/>
        </w:rPr>
        <w:t>RCD on other ele</w:t>
      </w:r>
      <w:r w:rsidR="002E26EC" w:rsidRPr="00540461">
        <w:rPr>
          <w:color w:val="000000" w:themeColor="text1"/>
          <w:sz w:val="24"/>
          <w:szCs w:val="24"/>
        </w:rPr>
        <w:t xml:space="preserve">ments, </w:t>
      </w:r>
      <w:r w:rsidR="00E52E97" w:rsidRPr="00540461">
        <w:rPr>
          <w:color w:val="000000" w:themeColor="text1"/>
          <w:sz w:val="24"/>
          <w:szCs w:val="24"/>
        </w:rPr>
        <w:t>t</w:t>
      </w:r>
      <w:r w:rsidR="002E26EC" w:rsidRPr="00540461">
        <w:rPr>
          <w:color w:val="000000" w:themeColor="text1"/>
          <w:sz w:val="24"/>
          <w:szCs w:val="24"/>
        </w:rPr>
        <w:t xml:space="preserve">he skeleton </w:t>
      </w:r>
      <w:r w:rsidR="00E52E97" w:rsidRPr="00540461">
        <w:rPr>
          <w:color w:val="000000" w:themeColor="text1"/>
          <w:sz w:val="24"/>
          <w:szCs w:val="24"/>
        </w:rPr>
        <w:t>was classified as</w:t>
      </w:r>
      <w:r w:rsidR="00FA3322" w:rsidRPr="00540461">
        <w:rPr>
          <w:color w:val="000000" w:themeColor="text1"/>
          <w:sz w:val="24"/>
          <w:szCs w:val="24"/>
        </w:rPr>
        <w:t xml:space="preserve"> exhibiting both</w:t>
      </w:r>
      <w:r w:rsidR="00E52E97" w:rsidRPr="00540461">
        <w:rPr>
          <w:color w:val="000000" w:themeColor="text1"/>
          <w:sz w:val="24"/>
          <w:szCs w:val="24"/>
        </w:rPr>
        <w:t xml:space="preserve"> RCD and </w:t>
      </w:r>
      <w:r w:rsidR="00A10618">
        <w:rPr>
          <w:color w:val="000000" w:themeColor="text1"/>
          <w:sz w:val="24"/>
          <w:szCs w:val="24"/>
        </w:rPr>
        <w:t xml:space="preserve">ACJ </w:t>
      </w:r>
      <w:r w:rsidR="00E52E97" w:rsidRPr="00540461">
        <w:rPr>
          <w:color w:val="000000" w:themeColor="text1"/>
          <w:sz w:val="24"/>
          <w:szCs w:val="24"/>
        </w:rPr>
        <w:t>OA</w:t>
      </w:r>
      <w:r w:rsidR="009E7A5E">
        <w:rPr>
          <w:color w:val="000000" w:themeColor="text1"/>
          <w:sz w:val="24"/>
          <w:szCs w:val="24"/>
        </w:rPr>
        <w:t xml:space="preserve"> (Waldron, 2009)</w:t>
      </w:r>
      <w:r w:rsidR="009E7A5E" w:rsidRPr="00540461">
        <w:rPr>
          <w:color w:val="000000" w:themeColor="text1"/>
          <w:sz w:val="24"/>
          <w:szCs w:val="24"/>
        </w:rPr>
        <w:t>.</w:t>
      </w:r>
    </w:p>
    <w:p w:rsidR="00C01CA1" w:rsidRDefault="005A5498" w:rsidP="003B5900">
      <w:pPr>
        <w:spacing w:line="240" w:lineRule="auto"/>
        <w:ind w:left="360"/>
        <w:jc w:val="both"/>
        <w:rPr>
          <w:color w:val="000000" w:themeColor="text1"/>
          <w:sz w:val="24"/>
          <w:szCs w:val="24"/>
        </w:rPr>
      </w:pPr>
      <w:r>
        <w:rPr>
          <w:noProof/>
          <w:lang w:eastAsia="en-GB"/>
        </w:rPr>
        <w:drawing>
          <wp:inline distT="0" distB="0" distL="0" distR="0">
            <wp:extent cx="2642870" cy="2462530"/>
            <wp:effectExtent l="0" t="5080" r="0" b="0"/>
            <wp:docPr id="20" name="Picture 20" descr="C:\Users\danni.CINDYCW\AppData\Local\Microsoft\Windows\INetCache\Content.Word\IMG_6530.jpg"/>
            <wp:cNvGraphicFramePr/>
            <a:graphic xmlns:a="http://schemas.openxmlformats.org/drawingml/2006/main">
              <a:graphicData uri="http://schemas.openxmlformats.org/drawingml/2006/picture">
                <pic:pic xmlns:pic="http://schemas.openxmlformats.org/drawingml/2006/picture">
                  <pic:nvPicPr>
                    <pic:cNvPr id="20" name="Picture 20" descr="C:\Users\danni.CINDYCW\AppData\Local\Microsoft\Windows\INetCache\Content.Word\IMG_6530.jpg"/>
                    <pic:cNvPicPr/>
                  </pic:nvPicPr>
                  <pic:blipFill rotWithShape="1">
                    <a:blip r:embed="rId10" cstate="print">
                      <a:extLst>
                        <a:ext uri="{28A0092B-C50C-407E-A947-70E740481C1C}">
                          <a14:useLocalDpi xmlns:a14="http://schemas.microsoft.com/office/drawing/2010/main" val="0"/>
                        </a:ext>
                      </a:extLst>
                    </a:blip>
                    <a:srcRect l="13205" r="4948"/>
                    <a:stretch/>
                  </pic:blipFill>
                  <pic:spPr bwMode="auto">
                    <a:xfrm rot="5400000">
                      <a:off x="0" y="0"/>
                      <a:ext cx="2642870" cy="2462530"/>
                    </a:xfrm>
                    <a:prstGeom prst="rect">
                      <a:avLst/>
                    </a:prstGeom>
                    <a:noFill/>
                    <a:ln>
                      <a:noFill/>
                    </a:ln>
                    <a:extLst>
                      <a:ext uri="{53640926-AAD7-44D8-BBD7-CCE9431645EC}">
                        <a14:shadowObscured xmlns:a14="http://schemas.microsoft.com/office/drawing/2010/main"/>
                      </a:ext>
                    </a:extLst>
                  </pic:spPr>
                </pic:pic>
              </a:graphicData>
            </a:graphic>
          </wp:inline>
        </w:drawing>
      </w:r>
    </w:p>
    <w:p w:rsidR="00A10618" w:rsidRPr="00C01CA1" w:rsidRDefault="004173DA" w:rsidP="003B5900">
      <w:pPr>
        <w:spacing w:line="240" w:lineRule="auto"/>
        <w:ind w:left="357"/>
        <w:jc w:val="both"/>
        <w:rPr>
          <w:color w:val="000000" w:themeColor="text1"/>
          <w:sz w:val="24"/>
          <w:szCs w:val="24"/>
        </w:rPr>
      </w:pPr>
      <w:r>
        <w:rPr>
          <w:color w:val="000000" w:themeColor="text1"/>
          <w:sz w:val="18"/>
          <w:szCs w:val="18"/>
        </w:rPr>
        <w:t>Figure</w:t>
      </w:r>
      <w:r w:rsidR="006A3133">
        <w:rPr>
          <w:color w:val="000000" w:themeColor="text1"/>
          <w:sz w:val="18"/>
          <w:szCs w:val="18"/>
        </w:rPr>
        <w:t xml:space="preserve"> 2</w:t>
      </w:r>
      <w:r w:rsidR="00F8662E">
        <w:rPr>
          <w:color w:val="000000" w:themeColor="text1"/>
          <w:sz w:val="18"/>
          <w:szCs w:val="18"/>
        </w:rPr>
        <w:t xml:space="preserve">. </w:t>
      </w:r>
      <w:r w:rsidR="00A10618">
        <w:rPr>
          <w:color w:val="000000" w:themeColor="text1"/>
          <w:sz w:val="18"/>
          <w:szCs w:val="18"/>
        </w:rPr>
        <w:t xml:space="preserve"> Authors Own (2017).  Right humerus, clavicle and scapula showing RCD on the humerus due to the presence of new bone growth.  ACJ OA is visible on the cl</w:t>
      </w:r>
      <w:r w:rsidR="002D4873">
        <w:rPr>
          <w:color w:val="000000" w:themeColor="text1"/>
          <w:sz w:val="18"/>
          <w:szCs w:val="18"/>
        </w:rPr>
        <w:t xml:space="preserve">avicle and acromion process.  Impingement was further present due </w:t>
      </w:r>
      <w:r w:rsidR="00D53314">
        <w:rPr>
          <w:color w:val="000000" w:themeColor="text1"/>
          <w:sz w:val="18"/>
          <w:szCs w:val="18"/>
        </w:rPr>
        <w:t>to the presence of eburnation on</w:t>
      </w:r>
      <w:r w:rsidR="002D4873">
        <w:rPr>
          <w:color w:val="000000" w:themeColor="text1"/>
          <w:sz w:val="18"/>
          <w:szCs w:val="18"/>
        </w:rPr>
        <w:t xml:space="preserve"> the superior pole of the humeral head and inferior acromion process. </w:t>
      </w:r>
    </w:p>
    <w:p w:rsidR="00E52E97" w:rsidRDefault="00FA3322" w:rsidP="003B5900">
      <w:pPr>
        <w:spacing w:line="360" w:lineRule="auto"/>
        <w:jc w:val="both"/>
        <w:rPr>
          <w:color w:val="000000" w:themeColor="text1"/>
          <w:sz w:val="24"/>
          <w:szCs w:val="24"/>
        </w:rPr>
      </w:pPr>
      <w:r w:rsidRPr="00540461">
        <w:rPr>
          <w:color w:val="000000" w:themeColor="text1"/>
          <w:sz w:val="24"/>
          <w:szCs w:val="24"/>
        </w:rPr>
        <w:t>Impingement was</w:t>
      </w:r>
      <w:r w:rsidR="00E52E97" w:rsidRPr="00540461">
        <w:rPr>
          <w:color w:val="000000" w:themeColor="text1"/>
          <w:sz w:val="24"/>
          <w:szCs w:val="24"/>
        </w:rPr>
        <w:t xml:space="preserve"> determ</w:t>
      </w:r>
      <w:r w:rsidRPr="00540461">
        <w:rPr>
          <w:color w:val="000000" w:themeColor="text1"/>
          <w:sz w:val="24"/>
          <w:szCs w:val="24"/>
        </w:rPr>
        <w:t xml:space="preserve">ined as present in this study when eburnation was </w:t>
      </w:r>
      <w:r w:rsidR="006279A8">
        <w:rPr>
          <w:color w:val="000000" w:themeColor="text1"/>
          <w:sz w:val="24"/>
          <w:szCs w:val="24"/>
        </w:rPr>
        <w:t>identified as present</w:t>
      </w:r>
      <w:r w:rsidR="00E52E97" w:rsidRPr="00540461">
        <w:rPr>
          <w:color w:val="000000" w:themeColor="text1"/>
          <w:sz w:val="24"/>
          <w:szCs w:val="24"/>
        </w:rPr>
        <w:t xml:space="preserve"> on the superior pole of the humeral head or </w:t>
      </w:r>
      <w:r w:rsidR="006279A8">
        <w:rPr>
          <w:color w:val="000000" w:themeColor="text1"/>
          <w:sz w:val="24"/>
          <w:szCs w:val="24"/>
        </w:rPr>
        <w:t xml:space="preserve">on </w:t>
      </w:r>
      <w:r w:rsidR="00E52E97" w:rsidRPr="00540461">
        <w:rPr>
          <w:color w:val="000000" w:themeColor="text1"/>
          <w:sz w:val="24"/>
          <w:szCs w:val="24"/>
        </w:rPr>
        <w:t xml:space="preserve">the inferior surface of the acromion process, or </w:t>
      </w:r>
      <w:r w:rsidR="00A10618">
        <w:rPr>
          <w:color w:val="000000" w:themeColor="text1"/>
          <w:sz w:val="24"/>
          <w:szCs w:val="24"/>
        </w:rPr>
        <w:t xml:space="preserve">when </w:t>
      </w:r>
      <w:r w:rsidR="00E52E97" w:rsidRPr="00540461">
        <w:rPr>
          <w:color w:val="000000" w:themeColor="text1"/>
          <w:sz w:val="24"/>
          <w:szCs w:val="24"/>
        </w:rPr>
        <w:t>localised new bone grow</w:t>
      </w:r>
      <w:r w:rsidR="002E26EC" w:rsidRPr="00540461">
        <w:rPr>
          <w:color w:val="000000" w:themeColor="text1"/>
          <w:sz w:val="24"/>
          <w:szCs w:val="24"/>
        </w:rPr>
        <w:t>th was</w:t>
      </w:r>
      <w:r w:rsidR="00E52E97" w:rsidRPr="00540461">
        <w:rPr>
          <w:color w:val="000000" w:themeColor="text1"/>
          <w:sz w:val="24"/>
          <w:szCs w:val="24"/>
        </w:rPr>
        <w:t xml:space="preserve"> present in these areas</w:t>
      </w:r>
      <w:r w:rsidR="009E7A5E">
        <w:rPr>
          <w:color w:val="000000" w:themeColor="text1"/>
          <w:sz w:val="24"/>
          <w:szCs w:val="24"/>
        </w:rPr>
        <w:t xml:space="preserve"> (Waldron, 2009)</w:t>
      </w:r>
      <w:r w:rsidR="009F78FA">
        <w:rPr>
          <w:color w:val="000000" w:themeColor="text1"/>
          <w:sz w:val="24"/>
          <w:szCs w:val="24"/>
        </w:rPr>
        <w:t>.</w:t>
      </w:r>
    </w:p>
    <w:p w:rsidR="00E52E97" w:rsidRDefault="002D4873" w:rsidP="003B5900">
      <w:pPr>
        <w:spacing w:line="360" w:lineRule="auto"/>
        <w:jc w:val="both"/>
        <w:rPr>
          <w:color w:val="000000" w:themeColor="text1"/>
          <w:sz w:val="24"/>
          <w:szCs w:val="24"/>
        </w:rPr>
      </w:pPr>
      <w:r>
        <w:rPr>
          <w:color w:val="000000" w:themeColor="text1"/>
          <w:sz w:val="24"/>
          <w:szCs w:val="24"/>
        </w:rPr>
        <w:lastRenderedPageBreak/>
        <w:t>F</w:t>
      </w:r>
      <w:r w:rsidR="00145EF4">
        <w:rPr>
          <w:color w:val="000000" w:themeColor="text1"/>
          <w:sz w:val="24"/>
          <w:szCs w:val="24"/>
        </w:rPr>
        <w:t>ractures were treated as separate cases based on the skeletal element they were presented on</w:t>
      </w:r>
      <w:r w:rsidR="00FD2448">
        <w:rPr>
          <w:color w:val="000000" w:themeColor="text1"/>
          <w:sz w:val="24"/>
          <w:szCs w:val="24"/>
        </w:rPr>
        <w:t xml:space="preserve">.  These </w:t>
      </w:r>
      <w:r w:rsidR="00A10618">
        <w:rPr>
          <w:color w:val="000000" w:themeColor="text1"/>
          <w:sz w:val="24"/>
          <w:szCs w:val="24"/>
        </w:rPr>
        <w:t>were</w:t>
      </w:r>
      <w:r w:rsidR="00E52E97" w:rsidRPr="00540461">
        <w:rPr>
          <w:color w:val="000000" w:themeColor="text1"/>
          <w:sz w:val="24"/>
          <w:szCs w:val="24"/>
        </w:rPr>
        <w:t xml:space="preserve"> determined as present in this study if discontinuation in the natural contour of</w:t>
      </w:r>
      <w:r w:rsidR="00FA3322" w:rsidRPr="00540461">
        <w:rPr>
          <w:color w:val="000000" w:themeColor="text1"/>
          <w:sz w:val="24"/>
          <w:szCs w:val="24"/>
        </w:rPr>
        <w:t xml:space="preserve"> the bone was</w:t>
      </w:r>
      <w:r w:rsidR="00E52E97" w:rsidRPr="00540461">
        <w:rPr>
          <w:color w:val="000000" w:themeColor="text1"/>
          <w:sz w:val="24"/>
          <w:szCs w:val="24"/>
        </w:rPr>
        <w:t xml:space="preserve"> identified, caused </w:t>
      </w:r>
      <w:r w:rsidR="00E52E97" w:rsidRPr="00145EF4">
        <w:rPr>
          <w:color w:val="000000" w:themeColor="text1"/>
          <w:sz w:val="24"/>
          <w:szCs w:val="24"/>
        </w:rPr>
        <w:t>th</w:t>
      </w:r>
      <w:r w:rsidR="00145EF4" w:rsidRPr="00145EF4">
        <w:rPr>
          <w:color w:val="000000" w:themeColor="text1"/>
          <w:sz w:val="24"/>
          <w:szCs w:val="24"/>
        </w:rPr>
        <w:t>r</w:t>
      </w:r>
      <w:r w:rsidR="00E52E97" w:rsidRPr="00145EF4">
        <w:rPr>
          <w:color w:val="000000" w:themeColor="text1"/>
          <w:sz w:val="24"/>
          <w:szCs w:val="24"/>
        </w:rPr>
        <w:t>ough</w:t>
      </w:r>
      <w:r w:rsidR="00E52E97" w:rsidRPr="00540461">
        <w:rPr>
          <w:color w:val="000000" w:themeColor="text1"/>
          <w:sz w:val="24"/>
          <w:szCs w:val="24"/>
        </w:rPr>
        <w:t xml:space="preserve"> ante-mortem breaking of</w:t>
      </w:r>
      <w:r w:rsidR="002E26EC" w:rsidRPr="00540461">
        <w:rPr>
          <w:color w:val="000000" w:themeColor="text1"/>
          <w:sz w:val="24"/>
          <w:szCs w:val="24"/>
        </w:rPr>
        <w:t xml:space="preserve"> the element, or if a healing lin</w:t>
      </w:r>
      <w:r w:rsidR="00E52E97" w:rsidRPr="00540461">
        <w:rPr>
          <w:color w:val="000000" w:themeColor="text1"/>
          <w:sz w:val="24"/>
          <w:szCs w:val="24"/>
        </w:rPr>
        <w:t>e or callus</w:t>
      </w:r>
      <w:r w:rsidR="002E26EC" w:rsidRPr="00540461">
        <w:rPr>
          <w:color w:val="000000" w:themeColor="text1"/>
          <w:sz w:val="24"/>
          <w:szCs w:val="24"/>
        </w:rPr>
        <w:t xml:space="preserve"> was</w:t>
      </w:r>
      <w:r w:rsidR="009E7A5E">
        <w:rPr>
          <w:color w:val="000000" w:themeColor="text1"/>
          <w:sz w:val="24"/>
          <w:szCs w:val="24"/>
        </w:rPr>
        <w:t xml:space="preserve"> identified (Waldron, 2009)</w:t>
      </w:r>
      <w:r w:rsidR="009E7A5E" w:rsidRPr="00540461">
        <w:rPr>
          <w:color w:val="000000" w:themeColor="text1"/>
          <w:sz w:val="24"/>
          <w:szCs w:val="24"/>
        </w:rPr>
        <w:t xml:space="preserve">.  </w:t>
      </w:r>
    </w:p>
    <w:p w:rsidR="00526956" w:rsidRDefault="005A5498" w:rsidP="003B5900">
      <w:pPr>
        <w:pStyle w:val="ListParagraph"/>
        <w:spacing w:line="360" w:lineRule="auto"/>
        <w:jc w:val="both"/>
        <w:rPr>
          <w:color w:val="000000" w:themeColor="text1"/>
          <w:sz w:val="24"/>
          <w:szCs w:val="24"/>
        </w:rPr>
      </w:pPr>
      <w:r>
        <w:rPr>
          <w:noProof/>
          <w:lang w:eastAsia="en-GB"/>
        </w:rPr>
        <w:drawing>
          <wp:inline distT="0" distB="0" distL="0" distR="0">
            <wp:extent cx="2553500" cy="2446990"/>
            <wp:effectExtent l="0" t="3810" r="0" b="0"/>
            <wp:docPr id="18" name="Picture 18" descr="C:\Users\danni.CINDYCW\AppData\Local\Microsoft\Windows\INetCache\Content.Word\IMG_6479.jpg"/>
            <wp:cNvGraphicFramePr/>
            <a:graphic xmlns:a="http://schemas.openxmlformats.org/drawingml/2006/main">
              <a:graphicData uri="http://schemas.openxmlformats.org/drawingml/2006/picture">
                <pic:pic xmlns:pic="http://schemas.openxmlformats.org/drawingml/2006/picture">
                  <pic:nvPicPr>
                    <pic:cNvPr id="18" name="Picture 18" descr="C:\Users\danni.CINDYCW\AppData\Local\Microsoft\Windows\INetCache\Content.Word\IMG_6479.jpg"/>
                    <pic:cNvPicPr/>
                  </pic:nvPicPr>
                  <pic:blipFill rotWithShape="1">
                    <a:blip r:embed="rId11" cstate="print">
                      <a:extLst>
                        <a:ext uri="{28A0092B-C50C-407E-A947-70E740481C1C}">
                          <a14:useLocalDpi xmlns:a14="http://schemas.microsoft.com/office/drawing/2010/main" val="0"/>
                        </a:ext>
                      </a:extLst>
                    </a:blip>
                    <a:srcRect l="19238" t="16027" r="21849" b="6939"/>
                    <a:stretch/>
                  </pic:blipFill>
                  <pic:spPr bwMode="auto">
                    <a:xfrm rot="5400000">
                      <a:off x="0" y="0"/>
                      <a:ext cx="2553813" cy="2447290"/>
                    </a:xfrm>
                    <a:prstGeom prst="rect">
                      <a:avLst/>
                    </a:prstGeom>
                    <a:noFill/>
                    <a:ln>
                      <a:noFill/>
                    </a:ln>
                    <a:extLst>
                      <a:ext uri="{53640926-AAD7-44D8-BBD7-CCE9431645EC}">
                        <a14:shadowObscured xmlns:a14="http://schemas.microsoft.com/office/drawing/2010/main"/>
                      </a:ext>
                    </a:extLst>
                  </pic:spPr>
                </pic:pic>
              </a:graphicData>
            </a:graphic>
          </wp:inline>
        </w:drawing>
      </w:r>
    </w:p>
    <w:p w:rsidR="00205A92" w:rsidRDefault="004173DA" w:rsidP="003B5900">
      <w:pPr>
        <w:pStyle w:val="ListParagraph"/>
        <w:spacing w:line="240" w:lineRule="auto"/>
        <w:jc w:val="both"/>
        <w:rPr>
          <w:color w:val="000000" w:themeColor="text1"/>
          <w:sz w:val="18"/>
          <w:szCs w:val="18"/>
        </w:rPr>
      </w:pPr>
      <w:r>
        <w:rPr>
          <w:color w:val="000000" w:themeColor="text1"/>
          <w:sz w:val="18"/>
          <w:szCs w:val="18"/>
        </w:rPr>
        <w:t xml:space="preserve">Figure </w:t>
      </w:r>
      <w:r w:rsidR="006A3133">
        <w:rPr>
          <w:color w:val="000000" w:themeColor="text1"/>
          <w:sz w:val="18"/>
          <w:szCs w:val="18"/>
        </w:rPr>
        <w:t>3</w:t>
      </w:r>
      <w:r w:rsidR="00A10618">
        <w:rPr>
          <w:color w:val="000000" w:themeColor="text1"/>
          <w:sz w:val="18"/>
          <w:szCs w:val="18"/>
        </w:rPr>
        <w:t>.  Authors Own (2017).  Right clavicle with a healed fracture that was not reduced and is consequently misaligned.  No fracture line or callus is present, suggesting the break was fully healed at</w:t>
      </w:r>
      <w:r w:rsidR="006279A8">
        <w:rPr>
          <w:color w:val="000000" w:themeColor="text1"/>
          <w:sz w:val="18"/>
          <w:szCs w:val="18"/>
        </w:rPr>
        <w:t xml:space="preserve"> the</w:t>
      </w:r>
      <w:r w:rsidR="00A10618">
        <w:rPr>
          <w:color w:val="000000" w:themeColor="text1"/>
          <w:sz w:val="18"/>
          <w:szCs w:val="18"/>
        </w:rPr>
        <w:t xml:space="preserve"> time of death. </w:t>
      </w:r>
    </w:p>
    <w:p w:rsidR="00F15E0A" w:rsidRDefault="00F15E0A" w:rsidP="00F15E0A">
      <w:pPr>
        <w:spacing w:line="240" w:lineRule="auto"/>
        <w:jc w:val="both"/>
        <w:rPr>
          <w:color w:val="000000" w:themeColor="text1"/>
          <w:sz w:val="18"/>
          <w:szCs w:val="18"/>
        </w:rPr>
      </w:pPr>
    </w:p>
    <w:p w:rsidR="00F15E0A" w:rsidRDefault="00F15E0A" w:rsidP="00F15E0A">
      <w:pPr>
        <w:spacing w:line="360" w:lineRule="auto"/>
        <w:jc w:val="both"/>
        <w:rPr>
          <w:rFonts w:cs="Calibri"/>
          <w:spacing w:val="-1"/>
          <w:sz w:val="24"/>
          <w:szCs w:val="24"/>
        </w:rPr>
      </w:pPr>
      <w:r>
        <w:rPr>
          <w:sz w:val="24"/>
          <w:szCs w:val="24"/>
        </w:rPr>
        <w:t>The identification of an occupation is inarguably unachievable in a population without documentation, however the prevalence of pathological lesions can be used to identify demographic patterns and trends, mapping diseases between socio-economic status, sex, age, ancestral or religious groups through use of skeletal morphology and funerary contexts.</w:t>
      </w:r>
      <w:r>
        <w:rPr>
          <w:rFonts w:cs="Calibri"/>
          <w:spacing w:val="-1"/>
          <w:sz w:val="24"/>
          <w:szCs w:val="24"/>
        </w:rPr>
        <w:t xml:space="preserve">  The link between pathology and lifestyle is also obscured by intrins</w:t>
      </w:r>
      <w:r w:rsidR="009F78FA">
        <w:rPr>
          <w:rFonts w:cs="Calibri"/>
          <w:spacing w:val="-1"/>
          <w:sz w:val="24"/>
          <w:szCs w:val="24"/>
        </w:rPr>
        <w:t>ic factors influencing disease.</w:t>
      </w:r>
      <w:r>
        <w:rPr>
          <w:rFonts w:cs="Calibri"/>
          <w:spacing w:val="-1"/>
          <w:sz w:val="24"/>
          <w:szCs w:val="24"/>
        </w:rPr>
        <w:t xml:space="preserve"> Many diseases occur due to natural degeneration, seen by the common finding of increased rates of joint disease and fractures in elderly populations due to decreased bone density (Nordqvist and Petersson, 1995; Waldron, 2009).  The independent proposition that pathology is related to repetitive motions and wear and tear is flawed by these biological factors, including ancestry, body weig</w:t>
      </w:r>
      <w:r w:rsidR="009F78FA">
        <w:rPr>
          <w:rFonts w:cs="Calibri"/>
          <w:spacing w:val="-1"/>
          <w:sz w:val="24"/>
          <w:szCs w:val="24"/>
        </w:rPr>
        <w:t xml:space="preserve">ht and genetic predisposition. </w:t>
      </w:r>
      <w:r>
        <w:rPr>
          <w:rFonts w:cs="Calibri"/>
          <w:spacing w:val="-1"/>
          <w:sz w:val="24"/>
          <w:szCs w:val="24"/>
        </w:rPr>
        <w:t xml:space="preserve">Consequently, this research assesses the prevalence of shoulder pathology between the demographic groups of sex, age and socio-economic status groups to determine if disease occurs at different rates between the groups, of which the cause will be not assumed or inferred. </w:t>
      </w:r>
    </w:p>
    <w:p w:rsidR="00F15E0A" w:rsidRPr="00F15E0A" w:rsidRDefault="00F15E0A" w:rsidP="00F15E0A">
      <w:pPr>
        <w:spacing w:line="240" w:lineRule="auto"/>
        <w:jc w:val="both"/>
        <w:rPr>
          <w:b/>
          <w:color w:val="000000" w:themeColor="text1"/>
          <w:sz w:val="18"/>
          <w:szCs w:val="18"/>
        </w:rPr>
      </w:pPr>
    </w:p>
    <w:p w:rsidR="00AE12BC" w:rsidRPr="00170174" w:rsidRDefault="00AE12BC" w:rsidP="003B5900">
      <w:pPr>
        <w:pStyle w:val="Heading3"/>
        <w:spacing w:line="360" w:lineRule="auto"/>
        <w:ind w:left="1080"/>
        <w:jc w:val="both"/>
        <w:rPr>
          <w:rFonts w:asciiTheme="minorHAnsi" w:hAnsiTheme="minorHAnsi" w:cstheme="minorHAnsi"/>
          <w:b w:val="0"/>
          <w:sz w:val="24"/>
          <w:szCs w:val="24"/>
        </w:rPr>
      </w:pPr>
      <w:bookmarkStart w:id="2" w:name="_Toc499046285"/>
      <w:bookmarkEnd w:id="1"/>
      <w:r w:rsidRPr="00170174">
        <w:rPr>
          <w:rFonts w:asciiTheme="minorHAnsi" w:hAnsiTheme="minorHAnsi" w:cstheme="minorHAnsi"/>
          <w:b w:val="0"/>
          <w:sz w:val="24"/>
          <w:szCs w:val="24"/>
        </w:rPr>
        <w:lastRenderedPageBreak/>
        <w:t>Statistical Analysis</w:t>
      </w:r>
      <w:bookmarkEnd w:id="2"/>
      <w:r w:rsidRPr="00170174">
        <w:rPr>
          <w:rFonts w:asciiTheme="minorHAnsi" w:hAnsiTheme="minorHAnsi" w:cstheme="minorHAnsi"/>
          <w:b w:val="0"/>
          <w:sz w:val="24"/>
          <w:szCs w:val="24"/>
        </w:rPr>
        <w:t xml:space="preserve"> </w:t>
      </w:r>
    </w:p>
    <w:p w:rsidR="009E5357" w:rsidRDefault="00042EFC" w:rsidP="003B5900">
      <w:pPr>
        <w:spacing w:line="360" w:lineRule="auto"/>
        <w:jc w:val="both"/>
        <w:rPr>
          <w:sz w:val="24"/>
          <w:szCs w:val="24"/>
        </w:rPr>
      </w:pPr>
      <w:r>
        <w:rPr>
          <w:sz w:val="24"/>
          <w:szCs w:val="24"/>
        </w:rPr>
        <w:t>After</w:t>
      </w:r>
      <w:r w:rsidR="0070311C">
        <w:rPr>
          <w:sz w:val="24"/>
          <w:szCs w:val="24"/>
        </w:rPr>
        <w:t xml:space="preserve"> successful completion </w:t>
      </w:r>
      <w:r w:rsidR="0070311C" w:rsidRPr="00E0467F">
        <w:rPr>
          <w:sz w:val="24"/>
          <w:szCs w:val="24"/>
        </w:rPr>
        <w:t xml:space="preserve">of </w:t>
      </w:r>
      <w:r w:rsidR="009E7A5E">
        <w:rPr>
          <w:sz w:val="24"/>
          <w:szCs w:val="24"/>
        </w:rPr>
        <w:t xml:space="preserve">a repeatability </w:t>
      </w:r>
      <w:r w:rsidR="0070311C" w:rsidRPr="00E0467F">
        <w:rPr>
          <w:sz w:val="24"/>
          <w:szCs w:val="24"/>
        </w:rPr>
        <w:t>intra- and inter-observer error test,</w:t>
      </w:r>
      <w:r w:rsidR="0070311C">
        <w:rPr>
          <w:sz w:val="24"/>
          <w:szCs w:val="24"/>
        </w:rPr>
        <w:t xml:space="preserve"> </w:t>
      </w:r>
      <w:r w:rsidR="00B36FF5">
        <w:rPr>
          <w:sz w:val="24"/>
          <w:szCs w:val="24"/>
        </w:rPr>
        <w:t>93</w:t>
      </w:r>
      <w:r w:rsidR="00170174">
        <w:rPr>
          <w:sz w:val="24"/>
          <w:szCs w:val="24"/>
        </w:rPr>
        <w:t xml:space="preserve"> skeletons were scored</w:t>
      </w:r>
      <w:r w:rsidR="005322F3">
        <w:rPr>
          <w:sz w:val="24"/>
          <w:szCs w:val="24"/>
        </w:rPr>
        <w:t xml:space="preserve"> using the outlined method.  </w:t>
      </w:r>
      <w:r w:rsidR="0070311C">
        <w:rPr>
          <w:sz w:val="24"/>
          <w:szCs w:val="24"/>
        </w:rPr>
        <w:t>Data recorded was analysed using a</w:t>
      </w:r>
      <w:r w:rsidR="00170174">
        <w:rPr>
          <w:sz w:val="24"/>
          <w:szCs w:val="24"/>
        </w:rPr>
        <w:t xml:space="preserve"> Chi-</w:t>
      </w:r>
      <w:r w:rsidR="000024DB">
        <w:rPr>
          <w:sz w:val="24"/>
          <w:szCs w:val="24"/>
        </w:rPr>
        <w:t>S</w:t>
      </w:r>
      <w:r w:rsidR="00170174">
        <w:rPr>
          <w:sz w:val="24"/>
          <w:szCs w:val="24"/>
        </w:rPr>
        <w:t xml:space="preserve">quared </w:t>
      </w:r>
      <w:r w:rsidR="000024DB">
        <w:rPr>
          <w:sz w:val="24"/>
          <w:szCs w:val="24"/>
        </w:rPr>
        <w:t>T</w:t>
      </w:r>
      <w:r w:rsidR="00170174">
        <w:rPr>
          <w:sz w:val="24"/>
          <w:szCs w:val="24"/>
        </w:rPr>
        <w:t>est</w:t>
      </w:r>
      <w:r w:rsidR="00E571A2">
        <w:rPr>
          <w:sz w:val="24"/>
          <w:szCs w:val="24"/>
        </w:rPr>
        <w:t xml:space="preserve"> on </w:t>
      </w:r>
      <w:r w:rsidR="00871B7F">
        <w:rPr>
          <w:sz w:val="24"/>
          <w:szCs w:val="24"/>
        </w:rPr>
        <w:t xml:space="preserve">IBM </w:t>
      </w:r>
      <w:r w:rsidR="00E571A2">
        <w:rPr>
          <w:sz w:val="24"/>
          <w:szCs w:val="24"/>
        </w:rPr>
        <w:t xml:space="preserve">SPSS </w:t>
      </w:r>
      <w:r w:rsidR="00871B7F">
        <w:rPr>
          <w:sz w:val="24"/>
          <w:szCs w:val="24"/>
        </w:rPr>
        <w:t xml:space="preserve">Statistics </w:t>
      </w:r>
      <w:r w:rsidR="00E571A2">
        <w:rPr>
          <w:sz w:val="24"/>
          <w:szCs w:val="24"/>
        </w:rPr>
        <w:t>21 software</w:t>
      </w:r>
      <w:r w:rsidR="00170174">
        <w:rPr>
          <w:sz w:val="24"/>
          <w:szCs w:val="24"/>
        </w:rPr>
        <w:t xml:space="preserve">.  </w:t>
      </w:r>
      <w:r w:rsidR="000024DB">
        <w:rPr>
          <w:sz w:val="24"/>
          <w:szCs w:val="24"/>
        </w:rPr>
        <w:t xml:space="preserve">When the data groups were too small to produce an accurate expected count in the test, a Fisher’s Exact Test was completed </w:t>
      </w:r>
      <w:r w:rsidR="00E571A2">
        <w:rPr>
          <w:sz w:val="24"/>
          <w:szCs w:val="24"/>
        </w:rPr>
        <w:t xml:space="preserve">on SPSS </w:t>
      </w:r>
      <w:r w:rsidR="000024DB">
        <w:rPr>
          <w:sz w:val="24"/>
          <w:szCs w:val="24"/>
        </w:rPr>
        <w:t xml:space="preserve">to outline the significance and </w:t>
      </w:r>
      <w:r w:rsidR="000024DB">
        <w:rPr>
          <w:i/>
          <w:sz w:val="24"/>
          <w:szCs w:val="24"/>
        </w:rPr>
        <w:t>p-</w:t>
      </w:r>
      <w:r w:rsidR="000024DB">
        <w:rPr>
          <w:sz w:val="24"/>
          <w:szCs w:val="24"/>
        </w:rPr>
        <w:t xml:space="preserve">values within the data. </w:t>
      </w:r>
      <w:r w:rsidR="007E0850">
        <w:rPr>
          <w:sz w:val="24"/>
          <w:szCs w:val="24"/>
        </w:rPr>
        <w:t xml:space="preserve"> When statistically sign</w:t>
      </w:r>
      <w:r w:rsidR="003D5999">
        <w:rPr>
          <w:sz w:val="24"/>
          <w:szCs w:val="24"/>
        </w:rPr>
        <w:t>ificant results were identified</w:t>
      </w:r>
      <w:r w:rsidR="00E571A2">
        <w:rPr>
          <w:sz w:val="24"/>
          <w:szCs w:val="24"/>
        </w:rPr>
        <w:t>,</w:t>
      </w:r>
      <w:r w:rsidR="003D5999">
        <w:rPr>
          <w:sz w:val="24"/>
          <w:szCs w:val="24"/>
        </w:rPr>
        <w:t xml:space="preserve"> O</w:t>
      </w:r>
      <w:r w:rsidR="007E0850">
        <w:rPr>
          <w:sz w:val="24"/>
          <w:szCs w:val="24"/>
        </w:rPr>
        <w:t>dds Ratios (OR</w:t>
      </w:r>
      <w:r w:rsidR="009A176B">
        <w:rPr>
          <w:sz w:val="24"/>
          <w:szCs w:val="24"/>
        </w:rPr>
        <w:t>s</w:t>
      </w:r>
      <w:r w:rsidR="007E0850">
        <w:rPr>
          <w:sz w:val="24"/>
          <w:szCs w:val="24"/>
        </w:rPr>
        <w:t>) were completed</w:t>
      </w:r>
      <w:r w:rsidR="00E571A2">
        <w:rPr>
          <w:sz w:val="24"/>
          <w:szCs w:val="24"/>
        </w:rPr>
        <w:t xml:space="preserve"> using SPSS software</w:t>
      </w:r>
      <w:r w:rsidR="007E0850">
        <w:rPr>
          <w:sz w:val="24"/>
          <w:szCs w:val="24"/>
        </w:rPr>
        <w:t xml:space="preserve"> to determine the </w:t>
      </w:r>
      <w:r w:rsidR="003D5999">
        <w:rPr>
          <w:sz w:val="24"/>
          <w:szCs w:val="24"/>
        </w:rPr>
        <w:t xml:space="preserve">odds of </w:t>
      </w:r>
      <w:r w:rsidR="007E0850">
        <w:rPr>
          <w:sz w:val="24"/>
          <w:szCs w:val="24"/>
        </w:rPr>
        <w:t>demographic groups</w:t>
      </w:r>
      <w:r w:rsidR="003D5999">
        <w:rPr>
          <w:sz w:val="24"/>
          <w:szCs w:val="24"/>
        </w:rPr>
        <w:t xml:space="preserve"> having diseases, and to compare the odds </w:t>
      </w:r>
      <w:r w:rsidR="00B82A47">
        <w:rPr>
          <w:sz w:val="24"/>
          <w:szCs w:val="24"/>
        </w:rPr>
        <w:t xml:space="preserve">of disease occurring </w:t>
      </w:r>
      <w:r w:rsidR="003D5999">
        <w:rPr>
          <w:sz w:val="24"/>
          <w:szCs w:val="24"/>
        </w:rPr>
        <w:t>between groups</w:t>
      </w:r>
      <w:r w:rsidR="00FA21B9">
        <w:rPr>
          <w:sz w:val="24"/>
          <w:szCs w:val="24"/>
        </w:rPr>
        <w:t>.  Alongside this,</w:t>
      </w:r>
      <w:r w:rsidR="007E0850">
        <w:rPr>
          <w:sz w:val="24"/>
          <w:szCs w:val="24"/>
        </w:rPr>
        <w:t xml:space="preserve"> 95% Confidence Interval</w:t>
      </w:r>
      <w:r w:rsidR="00FA21B9">
        <w:rPr>
          <w:sz w:val="24"/>
          <w:szCs w:val="24"/>
        </w:rPr>
        <w:t>s (CI) were</w:t>
      </w:r>
      <w:r w:rsidR="007E0850">
        <w:rPr>
          <w:sz w:val="24"/>
          <w:szCs w:val="24"/>
        </w:rPr>
        <w:t xml:space="preserve"> determined</w:t>
      </w:r>
      <w:r w:rsidR="00E571A2">
        <w:rPr>
          <w:sz w:val="24"/>
          <w:szCs w:val="24"/>
        </w:rPr>
        <w:t xml:space="preserve"> on SPSS and Excel</w:t>
      </w:r>
      <w:r w:rsidR="007E0850">
        <w:rPr>
          <w:sz w:val="24"/>
          <w:szCs w:val="24"/>
        </w:rPr>
        <w:t>, as w</w:t>
      </w:r>
      <w:r w:rsidR="00FA21B9">
        <w:rPr>
          <w:sz w:val="24"/>
          <w:szCs w:val="24"/>
        </w:rPr>
        <w:t xml:space="preserve">ell as </w:t>
      </w:r>
      <w:r w:rsidR="00A96286">
        <w:rPr>
          <w:sz w:val="24"/>
          <w:szCs w:val="24"/>
        </w:rPr>
        <w:t>z score</w:t>
      </w:r>
      <w:r w:rsidR="00FA21B9">
        <w:rPr>
          <w:sz w:val="24"/>
          <w:szCs w:val="24"/>
        </w:rPr>
        <w:t>s</w:t>
      </w:r>
      <w:r w:rsidR="00A96286">
        <w:rPr>
          <w:sz w:val="24"/>
          <w:szCs w:val="24"/>
        </w:rPr>
        <w:t xml:space="preserve">, to assess how the </w:t>
      </w:r>
      <w:r w:rsidR="00442E6A">
        <w:rPr>
          <w:sz w:val="24"/>
          <w:szCs w:val="24"/>
        </w:rPr>
        <w:t>disease</w:t>
      </w:r>
      <w:r w:rsidR="00FA21B9">
        <w:rPr>
          <w:sz w:val="24"/>
          <w:szCs w:val="24"/>
        </w:rPr>
        <w:t>s</w:t>
      </w:r>
      <w:r w:rsidR="00442E6A">
        <w:rPr>
          <w:sz w:val="24"/>
          <w:szCs w:val="24"/>
        </w:rPr>
        <w:t xml:space="preserve"> </w:t>
      </w:r>
      <w:r w:rsidR="00FA21B9">
        <w:rPr>
          <w:sz w:val="24"/>
          <w:szCs w:val="24"/>
        </w:rPr>
        <w:t>were</w:t>
      </w:r>
      <w:r w:rsidR="00170FF6">
        <w:rPr>
          <w:sz w:val="24"/>
          <w:szCs w:val="24"/>
        </w:rPr>
        <w:t xml:space="preserve"> </w:t>
      </w:r>
      <w:r w:rsidR="00442E6A">
        <w:rPr>
          <w:sz w:val="24"/>
          <w:szCs w:val="24"/>
        </w:rPr>
        <w:t>related between demographic groups</w:t>
      </w:r>
      <w:r w:rsidR="007E0850">
        <w:rPr>
          <w:sz w:val="24"/>
          <w:szCs w:val="24"/>
        </w:rPr>
        <w:t xml:space="preserve">. </w:t>
      </w:r>
    </w:p>
    <w:p w:rsidR="00E85222" w:rsidRPr="00565352" w:rsidRDefault="000024DB" w:rsidP="003B5900">
      <w:pPr>
        <w:pStyle w:val="Heading1"/>
        <w:spacing w:line="360" w:lineRule="auto"/>
        <w:ind w:left="720"/>
        <w:jc w:val="both"/>
        <w:rPr>
          <w:rFonts w:asciiTheme="minorHAnsi" w:hAnsiTheme="minorHAnsi" w:cstheme="minorHAnsi"/>
          <w:b w:val="0"/>
        </w:rPr>
      </w:pPr>
      <w:bookmarkStart w:id="3" w:name="_Toc475038775"/>
      <w:bookmarkStart w:id="4" w:name="_Toc499046286"/>
      <w:bookmarkStart w:id="5" w:name="_Hlk489523903"/>
      <w:r>
        <w:rPr>
          <w:rFonts w:asciiTheme="minorHAnsi" w:hAnsiTheme="minorHAnsi" w:cstheme="minorHAnsi"/>
          <w:b w:val="0"/>
        </w:rPr>
        <w:t>Res</w:t>
      </w:r>
      <w:r w:rsidR="00E85222" w:rsidRPr="00565352">
        <w:rPr>
          <w:rFonts w:asciiTheme="minorHAnsi" w:hAnsiTheme="minorHAnsi" w:cstheme="minorHAnsi"/>
          <w:b w:val="0"/>
        </w:rPr>
        <w:t>ults</w:t>
      </w:r>
      <w:bookmarkEnd w:id="3"/>
      <w:bookmarkEnd w:id="4"/>
      <w:r w:rsidR="00E85222" w:rsidRPr="00565352">
        <w:rPr>
          <w:rFonts w:asciiTheme="minorHAnsi" w:hAnsiTheme="minorHAnsi" w:cstheme="minorHAnsi"/>
          <w:b w:val="0"/>
        </w:rPr>
        <w:t xml:space="preserve"> </w:t>
      </w:r>
    </w:p>
    <w:p w:rsidR="00E5558E" w:rsidRPr="00E5558E" w:rsidRDefault="00E5558E" w:rsidP="003B5900">
      <w:pPr>
        <w:pStyle w:val="Heading2"/>
        <w:spacing w:line="360" w:lineRule="auto"/>
        <w:ind w:left="1080"/>
        <w:jc w:val="both"/>
        <w:rPr>
          <w:rFonts w:asciiTheme="minorHAnsi" w:hAnsiTheme="minorHAnsi"/>
          <w:b w:val="0"/>
        </w:rPr>
      </w:pPr>
      <w:bookmarkStart w:id="6" w:name="_Toc499046287"/>
      <w:r>
        <w:rPr>
          <w:rFonts w:asciiTheme="minorHAnsi" w:hAnsiTheme="minorHAnsi"/>
          <w:b w:val="0"/>
        </w:rPr>
        <w:t>Biological Sex</w:t>
      </w:r>
      <w:bookmarkEnd w:id="6"/>
    </w:p>
    <w:p w:rsidR="006A3133" w:rsidRDefault="00993817" w:rsidP="003B5900">
      <w:pPr>
        <w:spacing w:line="240" w:lineRule="auto"/>
        <w:jc w:val="both"/>
        <w:rPr>
          <w:sz w:val="18"/>
          <w:szCs w:val="18"/>
        </w:rPr>
      </w:pPr>
      <w:r>
        <w:rPr>
          <w:noProof/>
          <w:lang w:eastAsia="en-GB"/>
        </w:rPr>
        <w:drawing>
          <wp:inline distT="0" distB="0" distL="0" distR="0">
            <wp:extent cx="5372100" cy="3175000"/>
            <wp:effectExtent l="0" t="0" r="0" b="6350"/>
            <wp:docPr id="40" name="Chart 40">
              <a:extLst xmlns:a="http://schemas.openxmlformats.org/drawingml/2006/main">
                <a:ext uri="{FF2B5EF4-FFF2-40B4-BE49-F238E27FC236}">
                  <a16:creationId xmlns:ve="http://schemas.openxmlformats.org/markup-compatibility/2006"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902B659-3BC7-4F58-A64B-ABB2A36D10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3055BA" w:rsidRPr="00D02B70" w:rsidRDefault="00F41F71" w:rsidP="003B5900">
      <w:pPr>
        <w:spacing w:line="240" w:lineRule="auto"/>
        <w:jc w:val="both"/>
        <w:rPr>
          <w:b/>
          <w:sz w:val="24"/>
          <w:szCs w:val="24"/>
          <w:u w:val="single"/>
        </w:rPr>
      </w:pPr>
      <w:r>
        <w:rPr>
          <w:sz w:val="18"/>
          <w:szCs w:val="18"/>
        </w:rPr>
        <w:t>Figure 4</w:t>
      </w:r>
      <w:r w:rsidR="006A3133">
        <w:rPr>
          <w:sz w:val="18"/>
          <w:szCs w:val="18"/>
        </w:rPr>
        <w:t>.</w:t>
      </w:r>
      <w:r w:rsidR="007D1AA3">
        <w:rPr>
          <w:sz w:val="18"/>
          <w:szCs w:val="18"/>
        </w:rPr>
        <w:t xml:space="preserve"> </w:t>
      </w:r>
      <w:r w:rsidR="007D1AA3" w:rsidRPr="007D1AA3">
        <w:rPr>
          <w:sz w:val="18"/>
          <w:szCs w:val="18"/>
        </w:rPr>
        <w:t>Compariso</w:t>
      </w:r>
      <w:r w:rsidR="007D1AA3">
        <w:rPr>
          <w:sz w:val="18"/>
          <w:szCs w:val="18"/>
        </w:rPr>
        <w:t>n of the prevalence (%) of the i</w:t>
      </w:r>
      <w:r w:rsidR="007D1AA3" w:rsidRPr="007D1AA3">
        <w:rPr>
          <w:sz w:val="18"/>
          <w:szCs w:val="18"/>
        </w:rPr>
        <w:t xml:space="preserve">dentified </w:t>
      </w:r>
      <w:r w:rsidR="007D1AA3">
        <w:rPr>
          <w:sz w:val="18"/>
          <w:szCs w:val="18"/>
        </w:rPr>
        <w:t>d</w:t>
      </w:r>
      <w:r w:rsidR="007D1AA3" w:rsidRPr="007D1AA3">
        <w:rPr>
          <w:sz w:val="18"/>
          <w:szCs w:val="18"/>
        </w:rPr>
        <w:t xml:space="preserve">iseases </w:t>
      </w:r>
      <w:r w:rsidR="007D1AA3">
        <w:rPr>
          <w:sz w:val="18"/>
          <w:szCs w:val="18"/>
        </w:rPr>
        <w:t>s</w:t>
      </w:r>
      <w:r w:rsidR="007D1AA3" w:rsidRPr="007D1AA3">
        <w:rPr>
          <w:sz w:val="18"/>
          <w:szCs w:val="18"/>
        </w:rPr>
        <w:t xml:space="preserve">eparated by </w:t>
      </w:r>
      <w:r w:rsidR="007D1AA3">
        <w:rPr>
          <w:sz w:val="18"/>
          <w:szCs w:val="18"/>
        </w:rPr>
        <w:t>s</w:t>
      </w:r>
      <w:r w:rsidR="007D1AA3" w:rsidRPr="007D1AA3">
        <w:rPr>
          <w:sz w:val="18"/>
          <w:szCs w:val="18"/>
        </w:rPr>
        <w:t xml:space="preserve">ex between the </w:t>
      </w:r>
      <w:r w:rsidR="007D1AA3">
        <w:rPr>
          <w:sz w:val="18"/>
          <w:szCs w:val="18"/>
        </w:rPr>
        <w:t>m</w:t>
      </w:r>
      <w:r w:rsidR="007D1AA3" w:rsidRPr="007D1AA3">
        <w:rPr>
          <w:sz w:val="18"/>
          <w:szCs w:val="18"/>
        </w:rPr>
        <w:t xml:space="preserve">ale and </w:t>
      </w:r>
      <w:r w:rsidR="007D1AA3">
        <w:rPr>
          <w:sz w:val="18"/>
          <w:szCs w:val="18"/>
        </w:rPr>
        <w:t xml:space="preserve">female </w:t>
      </w:r>
      <w:r w:rsidR="00B82A47">
        <w:rPr>
          <w:sz w:val="18"/>
          <w:szCs w:val="18"/>
        </w:rPr>
        <w:t>coffin sample</w:t>
      </w:r>
      <w:r w:rsidR="007D1AA3" w:rsidRPr="00D02B70">
        <w:rPr>
          <w:sz w:val="18"/>
          <w:szCs w:val="18"/>
        </w:rPr>
        <w:t xml:space="preserve">.  Authors Own (2017). </w:t>
      </w:r>
      <w:r w:rsidR="00D02B70">
        <w:rPr>
          <w:sz w:val="18"/>
          <w:szCs w:val="18"/>
        </w:rPr>
        <w:t xml:space="preserve"> </w:t>
      </w:r>
      <w:r w:rsidR="00FA2CA1" w:rsidRPr="00D02B70">
        <w:rPr>
          <w:sz w:val="18"/>
          <w:szCs w:val="18"/>
        </w:rPr>
        <w:t>Males exhibited double the number of diseases tha</w:t>
      </w:r>
      <w:r w:rsidR="003D5999">
        <w:rPr>
          <w:sz w:val="18"/>
          <w:szCs w:val="18"/>
        </w:rPr>
        <w:t>t</w:t>
      </w:r>
      <w:r w:rsidR="00FA2CA1" w:rsidRPr="00D02B70">
        <w:rPr>
          <w:sz w:val="18"/>
          <w:szCs w:val="18"/>
        </w:rPr>
        <w:t xml:space="preserve"> females </w:t>
      </w:r>
      <w:r w:rsidR="003D5999">
        <w:rPr>
          <w:sz w:val="18"/>
          <w:szCs w:val="18"/>
        </w:rPr>
        <w:t xml:space="preserve">displayed, </w:t>
      </w:r>
      <w:r w:rsidR="00FA2CA1" w:rsidRPr="00D02B70">
        <w:rPr>
          <w:sz w:val="18"/>
          <w:szCs w:val="18"/>
        </w:rPr>
        <w:t>and e</w:t>
      </w:r>
      <w:r w:rsidR="002A19B0" w:rsidRPr="00D02B70">
        <w:rPr>
          <w:sz w:val="18"/>
          <w:szCs w:val="18"/>
        </w:rPr>
        <w:t>ach</w:t>
      </w:r>
      <w:r w:rsidR="003055BA" w:rsidRPr="00D02B70">
        <w:rPr>
          <w:sz w:val="18"/>
          <w:szCs w:val="18"/>
        </w:rPr>
        <w:t xml:space="preserve"> </w:t>
      </w:r>
      <w:r w:rsidR="002A19B0" w:rsidRPr="00D02B70">
        <w:rPr>
          <w:sz w:val="18"/>
          <w:szCs w:val="18"/>
        </w:rPr>
        <w:t xml:space="preserve">disease had a prevalence </w:t>
      </w:r>
      <w:r w:rsidR="00FA2CA1" w:rsidRPr="00D02B70">
        <w:rPr>
          <w:sz w:val="18"/>
          <w:szCs w:val="18"/>
        </w:rPr>
        <w:t xml:space="preserve">greater than that in the </w:t>
      </w:r>
      <w:r w:rsidR="002A19B0" w:rsidRPr="00D02B70">
        <w:rPr>
          <w:sz w:val="18"/>
          <w:szCs w:val="18"/>
        </w:rPr>
        <w:t>females by over 50%</w:t>
      </w:r>
      <w:r w:rsidR="003055BA" w:rsidRPr="00D02B70">
        <w:rPr>
          <w:sz w:val="18"/>
          <w:szCs w:val="18"/>
        </w:rPr>
        <w:t xml:space="preserve">. </w:t>
      </w:r>
      <w:r w:rsidR="00FA2CA1" w:rsidRPr="00D02B70">
        <w:rPr>
          <w:sz w:val="18"/>
          <w:szCs w:val="18"/>
        </w:rPr>
        <w:t xml:space="preserve"> </w:t>
      </w:r>
      <w:r w:rsidR="003055BA" w:rsidRPr="00D02B70">
        <w:rPr>
          <w:sz w:val="18"/>
          <w:szCs w:val="18"/>
        </w:rPr>
        <w:t>ACJ OA was the most prevalent lesion across the sample, occurring in 59% of</w:t>
      </w:r>
      <w:r w:rsidR="001E0F46" w:rsidRPr="00D02B70">
        <w:rPr>
          <w:sz w:val="18"/>
          <w:szCs w:val="18"/>
        </w:rPr>
        <w:t xml:space="preserve"> all males and 24% of females.  </w:t>
      </w:r>
      <w:r w:rsidR="003D5999">
        <w:rPr>
          <w:sz w:val="18"/>
          <w:szCs w:val="18"/>
        </w:rPr>
        <w:t>A</w:t>
      </w:r>
      <w:r w:rsidR="00120902" w:rsidRPr="00D02B70">
        <w:rPr>
          <w:sz w:val="18"/>
          <w:szCs w:val="18"/>
        </w:rPr>
        <w:t>s a crude rate</w:t>
      </w:r>
      <w:r w:rsidR="00D0414F" w:rsidRPr="00D02B70">
        <w:rPr>
          <w:sz w:val="18"/>
          <w:szCs w:val="18"/>
        </w:rPr>
        <w:t xml:space="preserve"> </w:t>
      </w:r>
      <w:r w:rsidR="003055BA" w:rsidRPr="00D02B70">
        <w:rPr>
          <w:sz w:val="18"/>
          <w:szCs w:val="18"/>
        </w:rPr>
        <w:t>GH</w:t>
      </w:r>
      <w:r w:rsidR="00CB2812">
        <w:rPr>
          <w:sz w:val="18"/>
          <w:szCs w:val="18"/>
        </w:rPr>
        <w:t>J</w:t>
      </w:r>
      <w:r w:rsidR="00D0414F" w:rsidRPr="00D02B70">
        <w:rPr>
          <w:sz w:val="18"/>
          <w:szCs w:val="18"/>
        </w:rPr>
        <w:t xml:space="preserve"> OA </w:t>
      </w:r>
      <w:r w:rsidR="00120902" w:rsidRPr="00D02B70">
        <w:rPr>
          <w:sz w:val="18"/>
          <w:szCs w:val="18"/>
        </w:rPr>
        <w:t>occurred</w:t>
      </w:r>
      <w:r w:rsidR="00E5090A" w:rsidRPr="00D02B70">
        <w:rPr>
          <w:sz w:val="18"/>
          <w:szCs w:val="18"/>
        </w:rPr>
        <w:t xml:space="preserve"> at a</w:t>
      </w:r>
      <w:r w:rsidR="00D0414F" w:rsidRPr="00D02B70">
        <w:rPr>
          <w:sz w:val="18"/>
          <w:szCs w:val="18"/>
        </w:rPr>
        <w:t xml:space="preserve"> 45% </w:t>
      </w:r>
      <w:r w:rsidR="00E5090A" w:rsidRPr="00D02B70">
        <w:rPr>
          <w:sz w:val="18"/>
          <w:szCs w:val="18"/>
        </w:rPr>
        <w:t xml:space="preserve">prevalence </w:t>
      </w:r>
      <w:r w:rsidR="00D0414F" w:rsidRPr="00D02B70">
        <w:rPr>
          <w:sz w:val="18"/>
          <w:szCs w:val="18"/>
        </w:rPr>
        <w:t xml:space="preserve">in the male coffin sample and at 19% in the female coffin sample.  </w:t>
      </w:r>
      <w:r w:rsidR="003055BA" w:rsidRPr="00D02B70">
        <w:rPr>
          <w:sz w:val="18"/>
          <w:szCs w:val="18"/>
        </w:rPr>
        <w:t xml:space="preserve">The </w:t>
      </w:r>
      <w:r w:rsidR="00120902" w:rsidRPr="00D02B70">
        <w:rPr>
          <w:sz w:val="18"/>
          <w:szCs w:val="18"/>
        </w:rPr>
        <w:t>prevalence</w:t>
      </w:r>
      <w:r w:rsidR="003055BA" w:rsidRPr="00D02B70">
        <w:rPr>
          <w:sz w:val="18"/>
          <w:szCs w:val="18"/>
        </w:rPr>
        <w:t xml:space="preserve"> of RCD</w:t>
      </w:r>
      <w:r w:rsidR="001E0F46" w:rsidRPr="00D02B70">
        <w:rPr>
          <w:sz w:val="18"/>
          <w:szCs w:val="18"/>
        </w:rPr>
        <w:t xml:space="preserve"> was </w:t>
      </w:r>
      <w:r w:rsidR="00120902" w:rsidRPr="00D02B70">
        <w:rPr>
          <w:sz w:val="18"/>
          <w:szCs w:val="18"/>
        </w:rPr>
        <w:t>lower</w:t>
      </w:r>
      <w:r w:rsidR="001E0F46" w:rsidRPr="00D02B70">
        <w:rPr>
          <w:sz w:val="18"/>
          <w:szCs w:val="18"/>
        </w:rPr>
        <w:t xml:space="preserve"> in the sample, occurring at 2</w:t>
      </w:r>
      <w:r w:rsidR="00D0414F" w:rsidRPr="00D02B70">
        <w:rPr>
          <w:sz w:val="18"/>
          <w:szCs w:val="18"/>
        </w:rPr>
        <w:t>4%</w:t>
      </w:r>
      <w:r w:rsidR="001E0F46" w:rsidRPr="00D02B70">
        <w:rPr>
          <w:sz w:val="18"/>
          <w:szCs w:val="18"/>
        </w:rPr>
        <w:t xml:space="preserve"> in the male sample</w:t>
      </w:r>
      <w:r w:rsidR="00120902" w:rsidRPr="00D02B70">
        <w:rPr>
          <w:sz w:val="18"/>
          <w:szCs w:val="18"/>
        </w:rPr>
        <w:t xml:space="preserve"> and</w:t>
      </w:r>
      <w:r w:rsidR="003055BA" w:rsidRPr="00D02B70">
        <w:rPr>
          <w:sz w:val="18"/>
          <w:szCs w:val="18"/>
        </w:rPr>
        <w:t xml:space="preserve"> </w:t>
      </w:r>
      <w:r w:rsidR="00D0414F" w:rsidRPr="00D02B70">
        <w:rPr>
          <w:sz w:val="18"/>
          <w:szCs w:val="18"/>
        </w:rPr>
        <w:t>10%</w:t>
      </w:r>
      <w:r w:rsidR="00120902" w:rsidRPr="00D02B70">
        <w:rPr>
          <w:sz w:val="18"/>
          <w:szCs w:val="18"/>
        </w:rPr>
        <w:t xml:space="preserve"> in the female sample, and the </w:t>
      </w:r>
      <w:r w:rsidR="003055BA" w:rsidRPr="00D02B70">
        <w:rPr>
          <w:sz w:val="18"/>
          <w:szCs w:val="18"/>
        </w:rPr>
        <w:t>c</w:t>
      </w:r>
      <w:r w:rsidR="00D0414F" w:rsidRPr="00D02B70">
        <w:rPr>
          <w:sz w:val="18"/>
          <w:szCs w:val="18"/>
        </w:rPr>
        <w:t>rud</w:t>
      </w:r>
      <w:r w:rsidR="003055BA" w:rsidRPr="00D02B70">
        <w:rPr>
          <w:sz w:val="18"/>
          <w:szCs w:val="18"/>
        </w:rPr>
        <w:t>e prevalence of impingement was</w:t>
      </w:r>
      <w:r w:rsidR="00D0414F" w:rsidRPr="00D02B70">
        <w:rPr>
          <w:sz w:val="18"/>
          <w:szCs w:val="18"/>
        </w:rPr>
        <w:t xml:space="preserve"> </w:t>
      </w:r>
      <w:r w:rsidR="001E0F46" w:rsidRPr="00D02B70">
        <w:rPr>
          <w:sz w:val="18"/>
          <w:szCs w:val="18"/>
        </w:rPr>
        <w:t xml:space="preserve">just </w:t>
      </w:r>
      <w:r w:rsidR="00D0414F" w:rsidRPr="00D02B70">
        <w:rPr>
          <w:sz w:val="18"/>
          <w:szCs w:val="18"/>
        </w:rPr>
        <w:t xml:space="preserve">8% in males, </w:t>
      </w:r>
      <w:r w:rsidR="003055BA" w:rsidRPr="00D02B70">
        <w:rPr>
          <w:sz w:val="18"/>
          <w:szCs w:val="18"/>
        </w:rPr>
        <w:t xml:space="preserve">whilst no impingement was recorded in </w:t>
      </w:r>
      <w:r w:rsidR="00D0414F" w:rsidRPr="00D02B70">
        <w:rPr>
          <w:sz w:val="18"/>
          <w:szCs w:val="18"/>
        </w:rPr>
        <w:t xml:space="preserve">females. </w:t>
      </w:r>
      <w:r w:rsidR="00E5090A" w:rsidRPr="00D02B70">
        <w:rPr>
          <w:sz w:val="18"/>
          <w:szCs w:val="18"/>
        </w:rPr>
        <w:t xml:space="preserve"> </w:t>
      </w:r>
      <w:r w:rsidR="00120902" w:rsidRPr="00D02B70">
        <w:rPr>
          <w:sz w:val="18"/>
          <w:szCs w:val="18"/>
        </w:rPr>
        <w:t xml:space="preserve">The crude prevalence of humeral and clavicle fractures was 3% in the male sample, whilst no fractures were identified in females.  </w:t>
      </w:r>
      <w:r w:rsidR="003055BA" w:rsidRPr="00D02B70">
        <w:rPr>
          <w:sz w:val="18"/>
          <w:szCs w:val="18"/>
        </w:rPr>
        <w:t>No scapula fractures were identified in the analysis</w:t>
      </w:r>
      <w:r w:rsidR="003D5999">
        <w:rPr>
          <w:sz w:val="18"/>
          <w:szCs w:val="18"/>
        </w:rPr>
        <w:t>.</w:t>
      </w:r>
      <w:r w:rsidR="003055BA">
        <w:rPr>
          <w:sz w:val="24"/>
          <w:szCs w:val="24"/>
        </w:rPr>
        <w:t xml:space="preserve"> </w:t>
      </w:r>
    </w:p>
    <w:p w:rsidR="0016567B" w:rsidRPr="0016567B" w:rsidRDefault="0016567B" w:rsidP="003B5900">
      <w:pPr>
        <w:spacing w:line="360" w:lineRule="auto"/>
        <w:jc w:val="both"/>
        <w:rPr>
          <w:sz w:val="24"/>
          <w:szCs w:val="24"/>
        </w:rPr>
      </w:pPr>
      <w:r w:rsidRPr="0016567B">
        <w:rPr>
          <w:sz w:val="24"/>
          <w:szCs w:val="24"/>
        </w:rPr>
        <w:lastRenderedPageBreak/>
        <w:t>The Pearson Chi-Squared test identified sex as a significant factor in the presence of GH</w:t>
      </w:r>
      <w:r w:rsidR="00CB2812">
        <w:rPr>
          <w:sz w:val="24"/>
          <w:szCs w:val="24"/>
        </w:rPr>
        <w:t>J</w:t>
      </w:r>
      <w:r w:rsidRPr="0016567B">
        <w:rPr>
          <w:sz w:val="24"/>
          <w:szCs w:val="24"/>
        </w:rPr>
        <w:t xml:space="preserve"> OA (</w:t>
      </w:r>
      <w:r w:rsidRPr="0016567B">
        <w:rPr>
          <w:i/>
          <w:sz w:val="24"/>
          <w:szCs w:val="24"/>
        </w:rPr>
        <w:t>X</w:t>
      </w:r>
      <w:r w:rsidRPr="0016567B">
        <w:rPr>
          <w:sz w:val="24"/>
          <w:szCs w:val="24"/>
          <w:vertAlign w:val="superscript"/>
        </w:rPr>
        <w:t>2</w:t>
      </w:r>
      <w:r w:rsidRPr="0016567B">
        <w:rPr>
          <w:sz w:val="24"/>
          <w:szCs w:val="24"/>
        </w:rPr>
        <w:t xml:space="preserve">= 4.94, df=1, N=69, </w:t>
      </w:r>
      <w:r w:rsidRPr="0016567B">
        <w:rPr>
          <w:i/>
          <w:sz w:val="24"/>
          <w:szCs w:val="24"/>
        </w:rPr>
        <w:t>p</w:t>
      </w:r>
      <w:r w:rsidRPr="0016567B">
        <w:rPr>
          <w:sz w:val="24"/>
          <w:szCs w:val="24"/>
        </w:rPr>
        <w:t>=0.026) and ACJ OA (</w:t>
      </w:r>
      <w:r w:rsidRPr="0016567B">
        <w:rPr>
          <w:i/>
          <w:sz w:val="24"/>
          <w:szCs w:val="24"/>
        </w:rPr>
        <w:t>X</w:t>
      </w:r>
      <w:r w:rsidRPr="0016567B">
        <w:rPr>
          <w:sz w:val="24"/>
          <w:szCs w:val="24"/>
          <w:vertAlign w:val="superscript"/>
        </w:rPr>
        <w:t>2</w:t>
      </w:r>
      <w:r w:rsidRPr="0016567B">
        <w:rPr>
          <w:sz w:val="24"/>
          <w:szCs w:val="24"/>
        </w:rPr>
        <w:t xml:space="preserve">=8.23, df=1, N=66, </w:t>
      </w:r>
      <w:r w:rsidRPr="0016567B">
        <w:rPr>
          <w:i/>
          <w:sz w:val="24"/>
          <w:szCs w:val="24"/>
        </w:rPr>
        <w:t>p</w:t>
      </w:r>
      <w:r w:rsidRPr="0016567B">
        <w:rPr>
          <w:sz w:val="24"/>
          <w:szCs w:val="24"/>
        </w:rPr>
        <w:t>=0.004).  GH</w:t>
      </w:r>
      <w:r w:rsidR="00CB2812">
        <w:rPr>
          <w:sz w:val="24"/>
          <w:szCs w:val="24"/>
        </w:rPr>
        <w:t>J</w:t>
      </w:r>
      <w:r w:rsidRPr="0016567B">
        <w:rPr>
          <w:sz w:val="24"/>
          <w:szCs w:val="24"/>
        </w:rPr>
        <w:t xml:space="preserve"> OA produced an OR of 3.4, indicating higher odds of the disease occurring in males, than females (95% CI 1.1 to 10.1, z=2.173, </w:t>
      </w:r>
      <w:r w:rsidRPr="0016567B">
        <w:rPr>
          <w:i/>
          <w:sz w:val="24"/>
          <w:szCs w:val="24"/>
        </w:rPr>
        <w:t>p</w:t>
      </w:r>
      <w:r w:rsidRPr="0016567B">
        <w:rPr>
          <w:sz w:val="24"/>
          <w:szCs w:val="24"/>
        </w:rPr>
        <w:t xml:space="preserve">=0.029).  Similarly, the OR was 4.6 in ACJ OA, showing higher odds in males than females (95% CI 1.6 to 13.5, z=2.788, </w:t>
      </w:r>
      <w:r w:rsidRPr="0016567B">
        <w:rPr>
          <w:i/>
          <w:sz w:val="24"/>
          <w:szCs w:val="24"/>
        </w:rPr>
        <w:t>p</w:t>
      </w:r>
      <w:r w:rsidRPr="0016567B">
        <w:rPr>
          <w:sz w:val="24"/>
          <w:szCs w:val="24"/>
        </w:rPr>
        <w:t xml:space="preserve">=0.005).  RCD </w:t>
      </w:r>
      <w:r w:rsidR="00442E6A">
        <w:rPr>
          <w:sz w:val="24"/>
          <w:szCs w:val="24"/>
        </w:rPr>
        <w:t xml:space="preserve">was not </w:t>
      </w:r>
      <w:r w:rsidRPr="0016567B">
        <w:rPr>
          <w:sz w:val="24"/>
          <w:szCs w:val="24"/>
        </w:rPr>
        <w:t>s</w:t>
      </w:r>
      <w:r w:rsidR="00303920">
        <w:rPr>
          <w:sz w:val="24"/>
          <w:szCs w:val="24"/>
        </w:rPr>
        <w:t>tatistically significant in the</w:t>
      </w:r>
      <w:r w:rsidRPr="0016567B">
        <w:rPr>
          <w:sz w:val="24"/>
          <w:szCs w:val="24"/>
        </w:rPr>
        <w:t xml:space="preserve"> analysis, (</w:t>
      </w:r>
      <w:r w:rsidRPr="0016567B">
        <w:rPr>
          <w:i/>
          <w:sz w:val="24"/>
          <w:szCs w:val="24"/>
        </w:rPr>
        <w:t>X</w:t>
      </w:r>
      <w:r w:rsidRPr="0016567B">
        <w:rPr>
          <w:sz w:val="24"/>
          <w:szCs w:val="24"/>
          <w:vertAlign w:val="superscript"/>
        </w:rPr>
        <w:t>2</w:t>
      </w:r>
      <w:r w:rsidRPr="0016567B">
        <w:rPr>
          <w:sz w:val="24"/>
          <w:szCs w:val="24"/>
        </w:rPr>
        <w:t xml:space="preserve">=2.33, df=1, N=69, </w:t>
      </w:r>
      <w:r w:rsidRPr="0016567B">
        <w:rPr>
          <w:i/>
          <w:sz w:val="24"/>
          <w:szCs w:val="24"/>
        </w:rPr>
        <w:t>p</w:t>
      </w:r>
      <w:r w:rsidRPr="0016567B">
        <w:rPr>
          <w:sz w:val="24"/>
          <w:szCs w:val="24"/>
        </w:rPr>
        <w:t>=0.127).  A Fisher’s Exact Test showed impingement (</w:t>
      </w:r>
      <w:r w:rsidRPr="0016567B">
        <w:rPr>
          <w:i/>
          <w:sz w:val="24"/>
          <w:szCs w:val="24"/>
        </w:rPr>
        <w:t>p</w:t>
      </w:r>
      <w:r w:rsidR="00D9177D">
        <w:rPr>
          <w:sz w:val="24"/>
          <w:szCs w:val="24"/>
        </w:rPr>
        <w:t xml:space="preserve">=0.166) and </w:t>
      </w:r>
      <w:r w:rsidRPr="0016567B">
        <w:rPr>
          <w:sz w:val="24"/>
          <w:szCs w:val="24"/>
        </w:rPr>
        <w:t xml:space="preserve">humeral and clavicular </w:t>
      </w:r>
      <w:r w:rsidR="00D9177D">
        <w:rPr>
          <w:sz w:val="24"/>
          <w:szCs w:val="24"/>
        </w:rPr>
        <w:t xml:space="preserve">fracture </w:t>
      </w:r>
      <w:r w:rsidRPr="0016567B">
        <w:rPr>
          <w:sz w:val="24"/>
          <w:szCs w:val="24"/>
        </w:rPr>
        <w:t>analyses</w:t>
      </w:r>
      <w:r w:rsidRPr="0016567B">
        <w:rPr>
          <w:i/>
          <w:sz w:val="24"/>
          <w:szCs w:val="24"/>
        </w:rPr>
        <w:t xml:space="preserve"> </w:t>
      </w:r>
      <w:r w:rsidRPr="0016567B">
        <w:rPr>
          <w:sz w:val="24"/>
          <w:szCs w:val="24"/>
        </w:rPr>
        <w:t>(</w:t>
      </w:r>
      <w:r w:rsidRPr="0016567B">
        <w:rPr>
          <w:i/>
          <w:sz w:val="24"/>
          <w:szCs w:val="24"/>
        </w:rPr>
        <w:t>p</w:t>
      </w:r>
      <w:r w:rsidRPr="0016567B">
        <w:rPr>
          <w:sz w:val="24"/>
          <w:szCs w:val="24"/>
        </w:rPr>
        <w:t xml:space="preserve">=1.00) </w:t>
      </w:r>
      <w:r w:rsidRPr="00E0467F">
        <w:rPr>
          <w:sz w:val="24"/>
          <w:szCs w:val="24"/>
        </w:rPr>
        <w:t>to</w:t>
      </w:r>
      <w:r w:rsidR="00442E6A" w:rsidRPr="00E0467F">
        <w:rPr>
          <w:sz w:val="24"/>
          <w:szCs w:val="24"/>
        </w:rPr>
        <w:t xml:space="preserve"> not</w:t>
      </w:r>
      <w:r w:rsidRPr="00E0467F">
        <w:rPr>
          <w:sz w:val="24"/>
          <w:szCs w:val="24"/>
        </w:rPr>
        <w:t xml:space="preserve"> be statistically</w:t>
      </w:r>
      <w:r w:rsidRPr="0016567B">
        <w:rPr>
          <w:sz w:val="24"/>
          <w:szCs w:val="24"/>
        </w:rPr>
        <w:t xml:space="preserve"> </w:t>
      </w:r>
      <w:r w:rsidR="00442E6A">
        <w:rPr>
          <w:sz w:val="24"/>
          <w:szCs w:val="24"/>
        </w:rPr>
        <w:t>s</w:t>
      </w:r>
      <w:r w:rsidRPr="0016567B">
        <w:rPr>
          <w:sz w:val="24"/>
          <w:szCs w:val="24"/>
        </w:rPr>
        <w:t xml:space="preserve">ignificant.  </w:t>
      </w:r>
    </w:p>
    <w:p w:rsidR="00B67EA1" w:rsidRDefault="002E4622" w:rsidP="003B5900">
      <w:pPr>
        <w:pStyle w:val="Heading2"/>
        <w:spacing w:line="360" w:lineRule="auto"/>
        <w:ind w:left="1077"/>
        <w:jc w:val="both"/>
        <w:rPr>
          <w:rFonts w:asciiTheme="minorHAnsi" w:hAnsiTheme="minorHAnsi"/>
          <w:b w:val="0"/>
        </w:rPr>
      </w:pPr>
      <w:bookmarkStart w:id="7" w:name="_Toc499046288"/>
      <w:r>
        <w:rPr>
          <w:rFonts w:asciiTheme="minorHAnsi" w:hAnsiTheme="minorHAnsi"/>
          <w:b w:val="0"/>
        </w:rPr>
        <w:t>B</w:t>
      </w:r>
      <w:r w:rsidR="00E5558E">
        <w:rPr>
          <w:rFonts w:asciiTheme="minorHAnsi" w:hAnsiTheme="minorHAnsi"/>
          <w:b w:val="0"/>
        </w:rPr>
        <w:t>iological Age</w:t>
      </w:r>
      <w:bookmarkEnd w:id="7"/>
    </w:p>
    <w:p w:rsidR="006A3133" w:rsidRDefault="003A4689" w:rsidP="003B5900">
      <w:pPr>
        <w:jc w:val="both"/>
        <w:rPr>
          <w:sz w:val="18"/>
          <w:szCs w:val="18"/>
        </w:rPr>
      </w:pPr>
      <w:r w:rsidRPr="0028136D">
        <w:rPr>
          <w:noProof/>
          <w:highlight w:val="yellow"/>
          <w:lang w:eastAsia="en-GB"/>
        </w:rPr>
        <w:drawing>
          <wp:inline distT="0" distB="0" distL="0" distR="0">
            <wp:extent cx="5302250" cy="3276600"/>
            <wp:effectExtent l="0" t="0" r="12700" b="0"/>
            <wp:docPr id="24" name="Chart 24">
              <a:extLst xmlns:a="http://schemas.openxmlformats.org/drawingml/2006/main">
                <a:ext uri="{FF2B5EF4-FFF2-40B4-BE49-F238E27FC236}">
                  <a16:creationId xmlns:ve="http://schemas.openxmlformats.org/markup-compatibility/2006"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CA2E0DC-AB99-44C8-9357-B2DDDB9B5B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3A4689" w:rsidRPr="003A4689" w:rsidRDefault="00F41F71" w:rsidP="003B5900">
      <w:pPr>
        <w:jc w:val="both"/>
      </w:pPr>
      <w:r>
        <w:rPr>
          <w:sz w:val="18"/>
          <w:szCs w:val="18"/>
        </w:rPr>
        <w:t>Figure 5</w:t>
      </w:r>
      <w:r w:rsidR="006A3133">
        <w:rPr>
          <w:sz w:val="18"/>
          <w:szCs w:val="18"/>
        </w:rPr>
        <w:t>.</w:t>
      </w:r>
      <w:r w:rsidR="003A4689">
        <w:rPr>
          <w:sz w:val="18"/>
          <w:szCs w:val="18"/>
        </w:rPr>
        <w:t xml:space="preserve"> </w:t>
      </w:r>
      <w:r w:rsidR="003A4689" w:rsidRPr="007D1AA3">
        <w:rPr>
          <w:sz w:val="18"/>
          <w:szCs w:val="18"/>
        </w:rPr>
        <w:t>Compariso</w:t>
      </w:r>
      <w:r w:rsidR="003A4689">
        <w:rPr>
          <w:sz w:val="18"/>
          <w:szCs w:val="18"/>
        </w:rPr>
        <w:t>n of the prevalence (%) of the i</w:t>
      </w:r>
      <w:r w:rsidR="003A4689" w:rsidRPr="007D1AA3">
        <w:rPr>
          <w:sz w:val="18"/>
          <w:szCs w:val="18"/>
        </w:rPr>
        <w:t xml:space="preserve">dentified </w:t>
      </w:r>
      <w:r w:rsidR="003A4689">
        <w:rPr>
          <w:sz w:val="18"/>
          <w:szCs w:val="18"/>
        </w:rPr>
        <w:t>d</w:t>
      </w:r>
      <w:r w:rsidR="003A4689" w:rsidRPr="007D1AA3">
        <w:rPr>
          <w:sz w:val="18"/>
          <w:szCs w:val="18"/>
        </w:rPr>
        <w:t xml:space="preserve">iseases </w:t>
      </w:r>
      <w:r w:rsidR="003A4689">
        <w:rPr>
          <w:sz w:val="18"/>
          <w:szCs w:val="18"/>
        </w:rPr>
        <w:t>s</w:t>
      </w:r>
      <w:r w:rsidR="003A4689" w:rsidRPr="007D1AA3">
        <w:rPr>
          <w:sz w:val="18"/>
          <w:szCs w:val="18"/>
        </w:rPr>
        <w:t xml:space="preserve">eparated by </w:t>
      </w:r>
      <w:r w:rsidR="003A4689">
        <w:rPr>
          <w:sz w:val="18"/>
          <w:szCs w:val="18"/>
        </w:rPr>
        <w:t>age</w:t>
      </w:r>
      <w:r w:rsidR="003A4689" w:rsidRPr="007D1AA3">
        <w:rPr>
          <w:sz w:val="18"/>
          <w:szCs w:val="18"/>
        </w:rPr>
        <w:t xml:space="preserve"> </w:t>
      </w:r>
      <w:r w:rsidR="003A4689">
        <w:rPr>
          <w:sz w:val="18"/>
          <w:szCs w:val="18"/>
        </w:rPr>
        <w:t>in the coffin sample</w:t>
      </w:r>
      <w:r w:rsidR="003A4689" w:rsidRPr="00D02B70">
        <w:rPr>
          <w:sz w:val="18"/>
          <w:szCs w:val="18"/>
        </w:rPr>
        <w:t xml:space="preserve">.  Authors Own (2017). </w:t>
      </w:r>
      <w:r w:rsidR="003A4689">
        <w:rPr>
          <w:sz w:val="18"/>
          <w:szCs w:val="18"/>
        </w:rPr>
        <w:t xml:space="preserve"> </w:t>
      </w:r>
      <w:r w:rsidR="00496A71">
        <w:rPr>
          <w:sz w:val="18"/>
          <w:szCs w:val="18"/>
        </w:rPr>
        <w:t>At a crude rate, b</w:t>
      </w:r>
      <w:r w:rsidR="003A4689">
        <w:rPr>
          <w:sz w:val="18"/>
          <w:szCs w:val="18"/>
        </w:rPr>
        <w:t xml:space="preserve">oth forms of </w:t>
      </w:r>
      <w:r w:rsidR="00303920">
        <w:rPr>
          <w:sz w:val="18"/>
          <w:szCs w:val="18"/>
        </w:rPr>
        <w:t>OA</w:t>
      </w:r>
      <w:r w:rsidR="003A4689">
        <w:rPr>
          <w:sz w:val="18"/>
          <w:szCs w:val="18"/>
        </w:rPr>
        <w:t xml:space="preserve"> and RCD occurred at a higher prevalence in older individuals than individuals aged 20-39, by 152% in GH</w:t>
      </w:r>
      <w:r w:rsidR="00CB2812">
        <w:rPr>
          <w:sz w:val="18"/>
          <w:szCs w:val="18"/>
        </w:rPr>
        <w:t>J</w:t>
      </w:r>
      <w:r w:rsidR="003A4689">
        <w:rPr>
          <w:sz w:val="18"/>
          <w:szCs w:val="18"/>
        </w:rPr>
        <w:t xml:space="preserve"> OA, 93% in ACJ OA and 118% in RCD.  Individuals aged 40+ had a lower prevalence of impingement by 50%, from 6% in the younger age group to 3% in the older age group.  Fractures occurred at 3% in the 20-39 age group, and did not occur in the 40+ age group. </w:t>
      </w:r>
    </w:p>
    <w:p w:rsidR="00DA4A5A" w:rsidRDefault="0016567B" w:rsidP="003B5900">
      <w:pPr>
        <w:spacing w:line="360" w:lineRule="auto"/>
        <w:jc w:val="both"/>
        <w:rPr>
          <w:sz w:val="24"/>
          <w:szCs w:val="24"/>
        </w:rPr>
      </w:pPr>
      <w:r>
        <w:rPr>
          <w:sz w:val="24"/>
          <w:szCs w:val="24"/>
        </w:rPr>
        <w:t>A significant difference was displayed between the age groups and the prevalence of GH</w:t>
      </w:r>
      <w:r w:rsidR="00CB2812">
        <w:rPr>
          <w:sz w:val="24"/>
          <w:szCs w:val="24"/>
        </w:rPr>
        <w:t>J</w:t>
      </w:r>
      <w:r>
        <w:rPr>
          <w:sz w:val="24"/>
          <w:szCs w:val="24"/>
        </w:rPr>
        <w:t xml:space="preserve"> OA (</w:t>
      </w:r>
      <w:r>
        <w:rPr>
          <w:i/>
          <w:sz w:val="24"/>
          <w:szCs w:val="24"/>
        </w:rPr>
        <w:t>X</w:t>
      </w:r>
      <w:r>
        <w:rPr>
          <w:sz w:val="24"/>
          <w:szCs w:val="24"/>
          <w:vertAlign w:val="superscript"/>
        </w:rPr>
        <w:t>2</w:t>
      </w:r>
      <w:r>
        <w:rPr>
          <w:sz w:val="24"/>
          <w:szCs w:val="24"/>
        </w:rPr>
        <w:t xml:space="preserve">=6.53, df=1, N=69, </w:t>
      </w:r>
      <w:r w:rsidRPr="00C670FD">
        <w:rPr>
          <w:i/>
          <w:sz w:val="24"/>
          <w:szCs w:val="24"/>
        </w:rPr>
        <w:t>p</w:t>
      </w:r>
      <w:r>
        <w:rPr>
          <w:sz w:val="24"/>
          <w:szCs w:val="24"/>
        </w:rPr>
        <w:t>=0.011) and ACJ OA (</w:t>
      </w:r>
      <w:r>
        <w:rPr>
          <w:i/>
          <w:sz w:val="24"/>
          <w:szCs w:val="24"/>
        </w:rPr>
        <w:t>X</w:t>
      </w:r>
      <w:r>
        <w:rPr>
          <w:sz w:val="24"/>
          <w:szCs w:val="24"/>
          <w:vertAlign w:val="superscript"/>
        </w:rPr>
        <w:t>2</w:t>
      </w:r>
      <w:r w:rsidRPr="00C670FD">
        <w:rPr>
          <w:sz w:val="24"/>
          <w:szCs w:val="24"/>
        </w:rPr>
        <w:t>=</w:t>
      </w:r>
      <w:r>
        <w:rPr>
          <w:sz w:val="24"/>
          <w:szCs w:val="24"/>
        </w:rPr>
        <w:t>4</w:t>
      </w:r>
      <w:r w:rsidRPr="00C670FD">
        <w:rPr>
          <w:sz w:val="24"/>
          <w:szCs w:val="24"/>
        </w:rPr>
        <w:t>.</w:t>
      </w:r>
      <w:r>
        <w:rPr>
          <w:sz w:val="24"/>
          <w:szCs w:val="24"/>
        </w:rPr>
        <w:t>98</w:t>
      </w:r>
      <w:r w:rsidRPr="00C670FD">
        <w:rPr>
          <w:sz w:val="24"/>
          <w:szCs w:val="24"/>
        </w:rPr>
        <w:t>,</w:t>
      </w:r>
      <w:r>
        <w:rPr>
          <w:sz w:val="24"/>
          <w:szCs w:val="24"/>
        </w:rPr>
        <w:t xml:space="preserve"> df=1, N=</w:t>
      </w:r>
      <w:r w:rsidRPr="00C670FD">
        <w:rPr>
          <w:sz w:val="24"/>
          <w:szCs w:val="24"/>
        </w:rPr>
        <w:t>6</w:t>
      </w:r>
      <w:r>
        <w:rPr>
          <w:sz w:val="24"/>
          <w:szCs w:val="24"/>
        </w:rPr>
        <w:t>6,</w:t>
      </w:r>
      <w:r w:rsidRPr="00C670FD">
        <w:rPr>
          <w:sz w:val="24"/>
          <w:szCs w:val="24"/>
        </w:rPr>
        <w:t xml:space="preserve"> </w:t>
      </w:r>
      <w:r w:rsidRPr="00C670FD">
        <w:rPr>
          <w:i/>
          <w:sz w:val="24"/>
          <w:szCs w:val="24"/>
        </w:rPr>
        <w:t>p</w:t>
      </w:r>
      <w:r>
        <w:rPr>
          <w:sz w:val="24"/>
          <w:szCs w:val="24"/>
        </w:rPr>
        <w:t>=0.026).  GH</w:t>
      </w:r>
      <w:r w:rsidR="00CB2812">
        <w:rPr>
          <w:sz w:val="24"/>
          <w:szCs w:val="24"/>
        </w:rPr>
        <w:t>J</w:t>
      </w:r>
      <w:r>
        <w:rPr>
          <w:sz w:val="24"/>
          <w:szCs w:val="24"/>
        </w:rPr>
        <w:t xml:space="preserve"> OA (OR=3.9) showed higher odds of the disease </w:t>
      </w:r>
      <w:r w:rsidR="00802494">
        <w:rPr>
          <w:sz w:val="24"/>
          <w:szCs w:val="24"/>
        </w:rPr>
        <w:t xml:space="preserve">occurring </w:t>
      </w:r>
      <w:r w:rsidR="005A5498">
        <w:rPr>
          <w:sz w:val="24"/>
          <w:szCs w:val="24"/>
        </w:rPr>
        <w:t>in individuals aged 40+ compared to those aged 20-39</w:t>
      </w:r>
      <w:r>
        <w:rPr>
          <w:sz w:val="24"/>
          <w:szCs w:val="24"/>
        </w:rPr>
        <w:t xml:space="preserve"> (95% CI 1.3 to 11.4, z= 2.49, </w:t>
      </w:r>
      <w:r w:rsidRPr="008B358A">
        <w:rPr>
          <w:i/>
          <w:sz w:val="24"/>
          <w:szCs w:val="24"/>
        </w:rPr>
        <w:t>p</w:t>
      </w:r>
      <w:r>
        <w:rPr>
          <w:sz w:val="24"/>
          <w:szCs w:val="24"/>
        </w:rPr>
        <w:t>=0.0128</w:t>
      </w:r>
      <w:r w:rsidRPr="00E0467F">
        <w:rPr>
          <w:sz w:val="24"/>
          <w:szCs w:val="24"/>
        </w:rPr>
        <w:t>).</w:t>
      </w:r>
      <w:r w:rsidR="00303920" w:rsidRPr="00E0467F">
        <w:rPr>
          <w:sz w:val="24"/>
          <w:szCs w:val="24"/>
        </w:rPr>
        <w:t xml:space="preserve">  This is similar in ACJ OA (OR</w:t>
      </w:r>
      <w:r w:rsidRPr="00E0467F">
        <w:rPr>
          <w:sz w:val="24"/>
          <w:szCs w:val="24"/>
        </w:rPr>
        <w:t>=3.12) showing higher odds i</w:t>
      </w:r>
      <w:r w:rsidR="005A5498" w:rsidRPr="00E0467F">
        <w:rPr>
          <w:sz w:val="24"/>
          <w:szCs w:val="24"/>
        </w:rPr>
        <w:t>n individuals aged 40+</w:t>
      </w:r>
      <w:r w:rsidR="00802494" w:rsidRPr="00E0467F">
        <w:rPr>
          <w:sz w:val="24"/>
          <w:szCs w:val="24"/>
        </w:rPr>
        <w:t xml:space="preserve"> having disease</w:t>
      </w:r>
      <w:r w:rsidR="00442E6A" w:rsidRPr="00E0467F">
        <w:rPr>
          <w:sz w:val="24"/>
          <w:szCs w:val="24"/>
        </w:rPr>
        <w:t>, 1.36,</w:t>
      </w:r>
      <w:r w:rsidR="005A5498" w:rsidRPr="00E0467F">
        <w:rPr>
          <w:sz w:val="24"/>
          <w:szCs w:val="24"/>
        </w:rPr>
        <w:t xml:space="preserve"> than those </w:t>
      </w:r>
      <w:r w:rsidR="005A5498" w:rsidRPr="00E0467F">
        <w:rPr>
          <w:sz w:val="24"/>
          <w:szCs w:val="24"/>
        </w:rPr>
        <w:lastRenderedPageBreak/>
        <w:t>aged 20-39</w:t>
      </w:r>
      <w:r w:rsidRPr="00E0467F">
        <w:rPr>
          <w:sz w:val="24"/>
          <w:szCs w:val="24"/>
        </w:rPr>
        <w:t xml:space="preserve"> (95% CI 1.1 to 8.6, z=2.2, </w:t>
      </w:r>
      <w:r w:rsidRPr="00E0467F">
        <w:rPr>
          <w:i/>
          <w:sz w:val="24"/>
          <w:szCs w:val="24"/>
        </w:rPr>
        <w:t>p</w:t>
      </w:r>
      <w:r w:rsidRPr="00E0467F">
        <w:rPr>
          <w:sz w:val="24"/>
          <w:szCs w:val="24"/>
        </w:rPr>
        <w:t>=0.0278).  No other disease associations were statistically significant.</w:t>
      </w:r>
      <w:r>
        <w:rPr>
          <w:sz w:val="24"/>
          <w:szCs w:val="24"/>
        </w:rPr>
        <w:t xml:space="preserve"> </w:t>
      </w:r>
    </w:p>
    <w:p w:rsidR="0018403D" w:rsidRPr="00E5558E" w:rsidRDefault="0018403D" w:rsidP="003B5900">
      <w:pPr>
        <w:pStyle w:val="Heading2"/>
        <w:spacing w:line="360" w:lineRule="auto"/>
        <w:ind w:left="1080"/>
        <w:jc w:val="both"/>
        <w:rPr>
          <w:rFonts w:asciiTheme="minorHAnsi" w:hAnsiTheme="minorHAnsi"/>
          <w:b w:val="0"/>
        </w:rPr>
      </w:pPr>
      <w:bookmarkStart w:id="8" w:name="_Toc499046289"/>
      <w:r>
        <w:rPr>
          <w:rFonts w:asciiTheme="minorHAnsi" w:hAnsiTheme="minorHAnsi"/>
          <w:b w:val="0"/>
        </w:rPr>
        <w:t>Biological Age and Sex</w:t>
      </w:r>
      <w:bookmarkEnd w:id="8"/>
      <w:r>
        <w:rPr>
          <w:rFonts w:asciiTheme="minorHAnsi" w:hAnsiTheme="minorHAnsi"/>
          <w:b w:val="0"/>
        </w:rPr>
        <w:t xml:space="preserve"> </w:t>
      </w:r>
    </w:p>
    <w:p w:rsidR="0096165D" w:rsidRPr="0096165D" w:rsidRDefault="0096165D" w:rsidP="003B5900">
      <w:pPr>
        <w:spacing w:line="240" w:lineRule="auto"/>
        <w:jc w:val="both"/>
        <w:rPr>
          <w:sz w:val="24"/>
          <w:szCs w:val="24"/>
        </w:rPr>
      </w:pPr>
      <w:r>
        <w:rPr>
          <w:noProof/>
          <w:lang w:eastAsia="en-GB"/>
        </w:rPr>
        <w:drawing>
          <wp:inline distT="0" distB="0" distL="0" distR="0">
            <wp:extent cx="5462016" cy="3312922"/>
            <wp:effectExtent l="0" t="0" r="5715" b="190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F41F71" w:rsidRPr="00F41F71">
        <w:rPr>
          <w:sz w:val="18"/>
          <w:szCs w:val="18"/>
        </w:rPr>
        <w:t xml:space="preserve"> </w:t>
      </w:r>
      <w:r w:rsidR="00F41F71">
        <w:rPr>
          <w:sz w:val="18"/>
          <w:szCs w:val="18"/>
        </w:rPr>
        <w:t xml:space="preserve">Figure </w:t>
      </w:r>
      <w:r w:rsidR="00F41F71">
        <w:rPr>
          <w:sz w:val="18"/>
          <w:szCs w:val="18"/>
        </w:rPr>
        <w:t>6</w:t>
      </w:r>
      <w:r w:rsidR="006A3133">
        <w:rPr>
          <w:sz w:val="18"/>
          <w:szCs w:val="18"/>
        </w:rPr>
        <w:t>.</w:t>
      </w:r>
      <w:r w:rsidRPr="0096165D">
        <w:rPr>
          <w:sz w:val="18"/>
          <w:szCs w:val="18"/>
        </w:rPr>
        <w:t xml:space="preserve"> Comparison of the prevalence (%) of the identified diseases separated by age </w:t>
      </w:r>
      <w:r>
        <w:rPr>
          <w:sz w:val="18"/>
          <w:szCs w:val="18"/>
        </w:rPr>
        <w:t>and sex in the</w:t>
      </w:r>
      <w:r w:rsidR="00B82A47">
        <w:rPr>
          <w:sz w:val="18"/>
          <w:szCs w:val="18"/>
        </w:rPr>
        <w:t xml:space="preserve"> coffin sample</w:t>
      </w:r>
      <w:r w:rsidRPr="0096165D">
        <w:rPr>
          <w:sz w:val="18"/>
          <w:szCs w:val="18"/>
        </w:rPr>
        <w:t>.  Authors Own (2017).  When split by age, GH</w:t>
      </w:r>
      <w:r w:rsidR="00CB2812">
        <w:rPr>
          <w:sz w:val="18"/>
          <w:szCs w:val="18"/>
        </w:rPr>
        <w:t>J</w:t>
      </w:r>
      <w:r w:rsidRPr="0096165D">
        <w:rPr>
          <w:sz w:val="18"/>
          <w:szCs w:val="18"/>
        </w:rPr>
        <w:t xml:space="preserve"> OA increased in males by 142%, from 26% in skeletons aged 29-30 to 63% in skeletons aged 40+.  Similarly, the prevalence increased in females by 141%, from 12% in young age to 29%.  ACJ OA also largely increased with age in males by 102%, from 39% to 79%, and in the female sample from 20% to 29%, a 40% rise.  This is again seen in RCD, with a prevalence of 16% in males aged 20-39 and </w:t>
      </w:r>
      <w:r w:rsidR="00303920">
        <w:rPr>
          <w:sz w:val="18"/>
          <w:szCs w:val="18"/>
        </w:rPr>
        <w:t xml:space="preserve">a </w:t>
      </w:r>
      <w:r w:rsidRPr="0096165D">
        <w:rPr>
          <w:sz w:val="18"/>
          <w:szCs w:val="18"/>
        </w:rPr>
        <w:t xml:space="preserve">rate of 32% in males over the age of 40, a 100% rise.  In </w:t>
      </w:r>
      <w:r w:rsidR="00496A71" w:rsidRPr="0096165D">
        <w:rPr>
          <w:sz w:val="18"/>
          <w:szCs w:val="18"/>
        </w:rPr>
        <w:t>females,</w:t>
      </w:r>
      <w:r w:rsidRPr="0096165D">
        <w:rPr>
          <w:sz w:val="18"/>
          <w:szCs w:val="18"/>
        </w:rPr>
        <w:t xml:space="preserve"> the rate of RCD increased from 6% to 14%, a 133% rise.  Conversely, in males aged 20-39 the rate of impingement was 11% which decreased by 54% to 5% in the older sample.  Similarly, no fractures were recorded in the 40+ age group, however humeral fractures occurred at a prevalence of 5% and clavicle fractures had a 6% prevalence in males aged 20-39.</w:t>
      </w:r>
      <w:r w:rsidRPr="0096165D">
        <w:rPr>
          <w:sz w:val="24"/>
          <w:szCs w:val="24"/>
        </w:rPr>
        <w:t xml:space="preserve">  </w:t>
      </w:r>
    </w:p>
    <w:p w:rsidR="0016567B" w:rsidRPr="0016567B" w:rsidRDefault="00844E9D" w:rsidP="003B5900">
      <w:pPr>
        <w:spacing w:line="360" w:lineRule="auto"/>
        <w:jc w:val="both"/>
        <w:rPr>
          <w:sz w:val="24"/>
          <w:szCs w:val="24"/>
        </w:rPr>
      </w:pPr>
      <w:r>
        <w:rPr>
          <w:sz w:val="24"/>
          <w:szCs w:val="24"/>
        </w:rPr>
        <w:t>When the</w:t>
      </w:r>
      <w:r w:rsidR="0016567B" w:rsidRPr="0016567B">
        <w:rPr>
          <w:sz w:val="24"/>
          <w:szCs w:val="24"/>
        </w:rPr>
        <w:t xml:space="preserve"> relationship between both age and</w:t>
      </w:r>
      <w:r>
        <w:rPr>
          <w:sz w:val="24"/>
          <w:szCs w:val="24"/>
        </w:rPr>
        <w:t xml:space="preserve"> sex with disease was assessed,</w:t>
      </w:r>
      <w:r w:rsidR="0016567B" w:rsidRPr="0016567B">
        <w:rPr>
          <w:sz w:val="24"/>
          <w:szCs w:val="24"/>
        </w:rPr>
        <w:t xml:space="preserve"> GH</w:t>
      </w:r>
      <w:r w:rsidR="00CB2812">
        <w:rPr>
          <w:sz w:val="24"/>
          <w:szCs w:val="24"/>
        </w:rPr>
        <w:t>J</w:t>
      </w:r>
      <w:r w:rsidR="0016567B" w:rsidRPr="0016567B">
        <w:rPr>
          <w:sz w:val="24"/>
          <w:szCs w:val="24"/>
        </w:rPr>
        <w:t xml:space="preserve"> OA (</w:t>
      </w:r>
      <w:r w:rsidR="0016567B" w:rsidRPr="0016567B">
        <w:rPr>
          <w:i/>
          <w:sz w:val="24"/>
          <w:szCs w:val="24"/>
        </w:rPr>
        <w:t>X</w:t>
      </w:r>
      <w:r w:rsidR="0016567B" w:rsidRPr="0016567B">
        <w:rPr>
          <w:sz w:val="24"/>
          <w:szCs w:val="24"/>
          <w:vertAlign w:val="superscript"/>
        </w:rPr>
        <w:t>2</w:t>
      </w:r>
      <w:r w:rsidR="0016567B" w:rsidRPr="0016567B">
        <w:rPr>
          <w:sz w:val="24"/>
          <w:szCs w:val="24"/>
        </w:rPr>
        <w:t xml:space="preserve">=11.72, df=3, N=69, </w:t>
      </w:r>
      <w:r w:rsidR="0016567B" w:rsidRPr="0016567B">
        <w:rPr>
          <w:i/>
          <w:sz w:val="24"/>
          <w:szCs w:val="24"/>
        </w:rPr>
        <w:t>p</w:t>
      </w:r>
      <w:r w:rsidR="0016567B" w:rsidRPr="0016567B">
        <w:rPr>
          <w:sz w:val="24"/>
          <w:szCs w:val="24"/>
        </w:rPr>
        <w:t>=0.008) and ACJ OA (</w:t>
      </w:r>
      <w:r w:rsidR="0016567B" w:rsidRPr="0016567B">
        <w:rPr>
          <w:i/>
          <w:sz w:val="24"/>
          <w:szCs w:val="24"/>
        </w:rPr>
        <w:t>X</w:t>
      </w:r>
      <w:r w:rsidR="0016567B" w:rsidRPr="0016567B">
        <w:rPr>
          <w:sz w:val="24"/>
          <w:szCs w:val="24"/>
          <w:vertAlign w:val="superscript"/>
        </w:rPr>
        <w:t>2</w:t>
      </w:r>
      <w:r w:rsidR="0016567B" w:rsidRPr="0016567B">
        <w:rPr>
          <w:sz w:val="24"/>
          <w:szCs w:val="24"/>
        </w:rPr>
        <w:t xml:space="preserve">=14.47, df=3, N=66, </w:t>
      </w:r>
      <w:r w:rsidR="0016567B" w:rsidRPr="0016567B">
        <w:rPr>
          <w:i/>
          <w:sz w:val="24"/>
          <w:szCs w:val="24"/>
        </w:rPr>
        <w:t>p</w:t>
      </w:r>
      <w:r w:rsidR="0016567B" w:rsidRPr="0016567B">
        <w:rPr>
          <w:sz w:val="24"/>
          <w:szCs w:val="24"/>
        </w:rPr>
        <w:t>=0.002) displayed statistically significant association</w:t>
      </w:r>
      <w:r w:rsidR="005A5498">
        <w:rPr>
          <w:sz w:val="24"/>
          <w:szCs w:val="24"/>
        </w:rPr>
        <w:t>s</w:t>
      </w:r>
      <w:r w:rsidR="0016567B" w:rsidRPr="0016567B">
        <w:rPr>
          <w:sz w:val="24"/>
          <w:szCs w:val="24"/>
        </w:rPr>
        <w:t xml:space="preserve"> with the factors.  RCD (</w:t>
      </w:r>
      <w:r w:rsidR="0016567B" w:rsidRPr="0016567B">
        <w:rPr>
          <w:i/>
          <w:sz w:val="24"/>
          <w:szCs w:val="24"/>
        </w:rPr>
        <w:t>X</w:t>
      </w:r>
      <w:r w:rsidR="0016567B" w:rsidRPr="0016567B">
        <w:rPr>
          <w:sz w:val="24"/>
          <w:szCs w:val="24"/>
          <w:vertAlign w:val="superscript"/>
        </w:rPr>
        <w:t>2</w:t>
      </w:r>
      <w:r w:rsidR="0016567B" w:rsidRPr="0016567B">
        <w:rPr>
          <w:sz w:val="24"/>
          <w:szCs w:val="24"/>
        </w:rPr>
        <w:t xml:space="preserve">=2.79, df=3, N=69, </w:t>
      </w:r>
      <w:r w:rsidR="0016567B" w:rsidRPr="0016567B">
        <w:rPr>
          <w:i/>
          <w:sz w:val="24"/>
          <w:szCs w:val="24"/>
        </w:rPr>
        <w:t>p</w:t>
      </w:r>
      <w:r w:rsidR="0016567B" w:rsidRPr="0016567B">
        <w:rPr>
          <w:sz w:val="24"/>
          <w:szCs w:val="24"/>
        </w:rPr>
        <w:t>=0.424) and impingement (</w:t>
      </w:r>
      <w:r w:rsidR="0016567B" w:rsidRPr="0016567B">
        <w:rPr>
          <w:i/>
          <w:sz w:val="24"/>
          <w:szCs w:val="24"/>
        </w:rPr>
        <w:t>X</w:t>
      </w:r>
      <w:r w:rsidR="0016567B" w:rsidRPr="0016567B">
        <w:rPr>
          <w:sz w:val="24"/>
          <w:szCs w:val="24"/>
          <w:vertAlign w:val="superscript"/>
        </w:rPr>
        <w:t>2</w:t>
      </w:r>
      <w:r w:rsidR="0016567B" w:rsidRPr="0016567B">
        <w:rPr>
          <w:sz w:val="24"/>
          <w:szCs w:val="24"/>
        </w:rPr>
        <w:t xml:space="preserve">=3.300, df=3, N=69, </w:t>
      </w:r>
      <w:r w:rsidR="0016567B" w:rsidRPr="0016567B">
        <w:rPr>
          <w:i/>
          <w:sz w:val="24"/>
          <w:szCs w:val="24"/>
        </w:rPr>
        <w:t>p</w:t>
      </w:r>
      <w:r w:rsidR="0016567B" w:rsidRPr="0016567B">
        <w:rPr>
          <w:sz w:val="24"/>
          <w:szCs w:val="24"/>
        </w:rPr>
        <w:t xml:space="preserve">=0.348) </w:t>
      </w:r>
      <w:r w:rsidR="0016567B">
        <w:rPr>
          <w:sz w:val="24"/>
          <w:szCs w:val="24"/>
        </w:rPr>
        <w:t>were</w:t>
      </w:r>
      <w:r w:rsidR="0016567B" w:rsidRPr="0016567B">
        <w:rPr>
          <w:sz w:val="24"/>
          <w:szCs w:val="24"/>
        </w:rPr>
        <w:t xml:space="preserve"> </w:t>
      </w:r>
      <w:r w:rsidR="00442E6A">
        <w:rPr>
          <w:sz w:val="24"/>
          <w:szCs w:val="24"/>
        </w:rPr>
        <w:t>not significant</w:t>
      </w:r>
      <w:r>
        <w:rPr>
          <w:sz w:val="24"/>
          <w:szCs w:val="24"/>
        </w:rPr>
        <w:t xml:space="preserve"> associations, and Fisher’s Exact Tests found both </w:t>
      </w:r>
      <w:r w:rsidR="0016567B" w:rsidRPr="0016567B">
        <w:rPr>
          <w:sz w:val="24"/>
          <w:szCs w:val="24"/>
        </w:rPr>
        <w:t xml:space="preserve">RCD </w:t>
      </w:r>
      <w:r w:rsidR="005A5498">
        <w:rPr>
          <w:sz w:val="24"/>
          <w:szCs w:val="24"/>
        </w:rPr>
        <w:t xml:space="preserve">and the fractures </w:t>
      </w:r>
      <w:r>
        <w:rPr>
          <w:sz w:val="24"/>
          <w:szCs w:val="24"/>
        </w:rPr>
        <w:t>to be</w:t>
      </w:r>
      <w:r w:rsidR="0016567B" w:rsidRPr="0016567B">
        <w:rPr>
          <w:sz w:val="24"/>
          <w:szCs w:val="24"/>
        </w:rPr>
        <w:t xml:space="preserve"> </w:t>
      </w:r>
      <w:r>
        <w:rPr>
          <w:sz w:val="24"/>
          <w:szCs w:val="24"/>
        </w:rPr>
        <w:t xml:space="preserve">statically insignificant.  </w:t>
      </w:r>
      <w:r w:rsidR="0016567B" w:rsidRPr="0016567B">
        <w:rPr>
          <w:sz w:val="24"/>
          <w:szCs w:val="24"/>
        </w:rPr>
        <w:t>When separated by sex, GH</w:t>
      </w:r>
      <w:r w:rsidR="00CB2812">
        <w:rPr>
          <w:sz w:val="24"/>
          <w:szCs w:val="24"/>
        </w:rPr>
        <w:t>J</w:t>
      </w:r>
      <w:r w:rsidR="0016567B" w:rsidRPr="0016567B">
        <w:rPr>
          <w:sz w:val="24"/>
          <w:szCs w:val="24"/>
        </w:rPr>
        <w:t xml:space="preserve"> OA was statistically significant in males (95% CI 1.2 to 19.1, z=2.224, </w:t>
      </w:r>
      <w:r w:rsidR="0016567B" w:rsidRPr="0016567B">
        <w:rPr>
          <w:i/>
          <w:sz w:val="24"/>
          <w:szCs w:val="24"/>
        </w:rPr>
        <w:t>p</w:t>
      </w:r>
      <w:r w:rsidR="0016567B" w:rsidRPr="0016567B">
        <w:rPr>
          <w:sz w:val="24"/>
          <w:szCs w:val="24"/>
        </w:rPr>
        <w:t>=0.026).  The OR produced 4.8 and greater odd</w:t>
      </w:r>
      <w:r w:rsidR="005A5498">
        <w:rPr>
          <w:sz w:val="24"/>
          <w:szCs w:val="24"/>
        </w:rPr>
        <w:t>s were seen in males aged 40+, 1.71, than males aged 20-39</w:t>
      </w:r>
      <w:r w:rsidR="0016567B" w:rsidRPr="0016567B">
        <w:rPr>
          <w:sz w:val="24"/>
          <w:szCs w:val="24"/>
        </w:rPr>
        <w:t xml:space="preserve">, 0.36.  This </w:t>
      </w:r>
      <w:r>
        <w:rPr>
          <w:sz w:val="24"/>
          <w:szCs w:val="24"/>
        </w:rPr>
        <w:t>is similar</w:t>
      </w:r>
      <w:r w:rsidR="0016567B" w:rsidRPr="0016567B">
        <w:rPr>
          <w:sz w:val="24"/>
          <w:szCs w:val="24"/>
        </w:rPr>
        <w:t xml:space="preserve"> in ACJ OA (95% CI 1.4 to 25.2, z=2.391, </w:t>
      </w:r>
      <w:r w:rsidR="0016567B" w:rsidRPr="0016567B">
        <w:rPr>
          <w:i/>
          <w:sz w:val="24"/>
          <w:szCs w:val="24"/>
        </w:rPr>
        <w:t>p</w:t>
      </w:r>
      <w:r w:rsidR="00871B7F">
        <w:rPr>
          <w:sz w:val="24"/>
          <w:szCs w:val="24"/>
        </w:rPr>
        <w:t>=0.016</w:t>
      </w:r>
      <w:r w:rsidR="0016567B" w:rsidRPr="0016567B">
        <w:rPr>
          <w:sz w:val="24"/>
          <w:szCs w:val="24"/>
        </w:rPr>
        <w:t>)</w:t>
      </w:r>
      <w:r>
        <w:rPr>
          <w:sz w:val="24"/>
          <w:szCs w:val="24"/>
        </w:rPr>
        <w:t>,</w:t>
      </w:r>
      <w:r w:rsidR="0016567B" w:rsidRPr="0016567B">
        <w:rPr>
          <w:sz w:val="24"/>
          <w:szCs w:val="24"/>
        </w:rPr>
        <w:t xml:space="preserve"> yielding an OR of 5.9 </w:t>
      </w:r>
      <w:r>
        <w:rPr>
          <w:sz w:val="24"/>
          <w:szCs w:val="24"/>
        </w:rPr>
        <w:t xml:space="preserve">and </w:t>
      </w:r>
      <w:r w:rsidR="0016567B" w:rsidRPr="0016567B">
        <w:rPr>
          <w:sz w:val="24"/>
          <w:szCs w:val="24"/>
        </w:rPr>
        <w:t xml:space="preserve">with the older group having odds </w:t>
      </w:r>
      <w:r>
        <w:rPr>
          <w:sz w:val="24"/>
          <w:szCs w:val="24"/>
        </w:rPr>
        <w:t xml:space="preserve">of </w:t>
      </w:r>
      <w:r w:rsidR="0016567B" w:rsidRPr="0016567B">
        <w:rPr>
          <w:sz w:val="24"/>
          <w:szCs w:val="24"/>
        </w:rPr>
        <w:t xml:space="preserve">3.75, in comparison to </w:t>
      </w:r>
      <w:r>
        <w:rPr>
          <w:sz w:val="24"/>
          <w:szCs w:val="24"/>
        </w:rPr>
        <w:t xml:space="preserve">odds of 0.64 in </w:t>
      </w:r>
      <w:r w:rsidR="0016567B" w:rsidRPr="0016567B">
        <w:rPr>
          <w:sz w:val="24"/>
          <w:szCs w:val="24"/>
        </w:rPr>
        <w:t xml:space="preserve">the younger group.  RCD was </w:t>
      </w:r>
      <w:r w:rsidR="00442E6A">
        <w:rPr>
          <w:sz w:val="24"/>
          <w:szCs w:val="24"/>
        </w:rPr>
        <w:t xml:space="preserve">not </w:t>
      </w:r>
      <w:r>
        <w:rPr>
          <w:sz w:val="24"/>
          <w:szCs w:val="24"/>
        </w:rPr>
        <w:t xml:space="preserve">a </w:t>
      </w:r>
      <w:r w:rsidR="0016567B" w:rsidRPr="0016567B">
        <w:rPr>
          <w:sz w:val="24"/>
          <w:szCs w:val="24"/>
        </w:rPr>
        <w:t xml:space="preserve">statistically </w:t>
      </w:r>
      <w:r w:rsidR="00442E6A">
        <w:rPr>
          <w:sz w:val="24"/>
          <w:szCs w:val="24"/>
        </w:rPr>
        <w:t xml:space="preserve">significant </w:t>
      </w:r>
      <w:r w:rsidR="005A5498">
        <w:rPr>
          <w:sz w:val="24"/>
          <w:szCs w:val="24"/>
        </w:rPr>
        <w:t>factor</w:t>
      </w:r>
      <w:r w:rsidR="0016567B" w:rsidRPr="0016567B">
        <w:rPr>
          <w:sz w:val="24"/>
          <w:szCs w:val="24"/>
        </w:rPr>
        <w:t xml:space="preserve"> altering disease, (</w:t>
      </w:r>
      <w:r w:rsidR="0016567B" w:rsidRPr="0016567B">
        <w:rPr>
          <w:i/>
          <w:sz w:val="24"/>
          <w:szCs w:val="24"/>
        </w:rPr>
        <w:t>X</w:t>
      </w:r>
      <w:r w:rsidR="0016567B" w:rsidRPr="0016567B">
        <w:rPr>
          <w:sz w:val="24"/>
          <w:szCs w:val="24"/>
          <w:vertAlign w:val="superscript"/>
        </w:rPr>
        <w:t>2</w:t>
      </w:r>
      <w:r w:rsidR="0016567B" w:rsidRPr="0016567B">
        <w:rPr>
          <w:sz w:val="24"/>
          <w:szCs w:val="24"/>
        </w:rPr>
        <w:t>=2.06,</w:t>
      </w:r>
      <w:r w:rsidR="0016567B" w:rsidRPr="0016567B">
        <w:rPr>
          <w:i/>
          <w:sz w:val="24"/>
          <w:szCs w:val="24"/>
        </w:rPr>
        <w:t xml:space="preserve"> </w:t>
      </w:r>
      <w:r w:rsidR="0016567B" w:rsidRPr="0016567B">
        <w:rPr>
          <w:sz w:val="24"/>
          <w:szCs w:val="24"/>
        </w:rPr>
        <w:t>df</w:t>
      </w:r>
      <w:r w:rsidR="0016567B" w:rsidRPr="0016567B">
        <w:rPr>
          <w:i/>
          <w:sz w:val="24"/>
          <w:szCs w:val="24"/>
        </w:rPr>
        <w:t>=</w:t>
      </w:r>
      <w:r w:rsidR="0016567B" w:rsidRPr="0016567B">
        <w:rPr>
          <w:sz w:val="24"/>
          <w:szCs w:val="24"/>
        </w:rPr>
        <w:t xml:space="preserve">1, N=69, </w:t>
      </w:r>
      <w:r w:rsidR="0016567B" w:rsidRPr="0016567B">
        <w:rPr>
          <w:i/>
          <w:sz w:val="24"/>
          <w:szCs w:val="24"/>
        </w:rPr>
        <w:t>p</w:t>
      </w:r>
      <w:r w:rsidR="0016567B" w:rsidRPr="0016567B">
        <w:rPr>
          <w:sz w:val="24"/>
          <w:szCs w:val="24"/>
        </w:rPr>
        <w:t xml:space="preserve">=0.151), and the Fisher’s Exact Test found </w:t>
      </w:r>
      <w:r w:rsidR="0016567B" w:rsidRPr="0016567B">
        <w:rPr>
          <w:sz w:val="24"/>
          <w:szCs w:val="24"/>
        </w:rPr>
        <w:lastRenderedPageBreak/>
        <w:t>impingement (</w:t>
      </w:r>
      <w:r w:rsidR="0016567B" w:rsidRPr="0016567B">
        <w:rPr>
          <w:i/>
          <w:sz w:val="24"/>
          <w:szCs w:val="24"/>
        </w:rPr>
        <w:t>p</w:t>
      </w:r>
      <w:r w:rsidR="0016567B" w:rsidRPr="0016567B">
        <w:rPr>
          <w:sz w:val="24"/>
          <w:szCs w:val="24"/>
        </w:rPr>
        <w:t>=0</w:t>
      </w:r>
      <w:r w:rsidR="00871B7F">
        <w:rPr>
          <w:sz w:val="24"/>
          <w:szCs w:val="24"/>
        </w:rPr>
        <w:t>.</w:t>
      </w:r>
      <w:r w:rsidR="0016567B" w:rsidRPr="0016567B">
        <w:rPr>
          <w:sz w:val="24"/>
          <w:szCs w:val="24"/>
        </w:rPr>
        <w:t>294) and the fractures (</w:t>
      </w:r>
      <w:r w:rsidR="0016567B" w:rsidRPr="0016567B">
        <w:rPr>
          <w:i/>
          <w:sz w:val="24"/>
          <w:szCs w:val="24"/>
        </w:rPr>
        <w:t>p</w:t>
      </w:r>
      <w:r w:rsidR="0016567B" w:rsidRPr="0016567B">
        <w:rPr>
          <w:sz w:val="24"/>
          <w:szCs w:val="24"/>
        </w:rPr>
        <w:t xml:space="preserve">=1.00) to </w:t>
      </w:r>
      <w:r w:rsidR="00442E6A">
        <w:rPr>
          <w:sz w:val="24"/>
          <w:szCs w:val="24"/>
        </w:rPr>
        <w:t xml:space="preserve">not be </w:t>
      </w:r>
      <w:r w:rsidR="0016567B" w:rsidRPr="0016567B">
        <w:rPr>
          <w:sz w:val="24"/>
          <w:szCs w:val="24"/>
        </w:rPr>
        <w:t>significant.  No factors were significant when separated by age in the female sample (GH</w:t>
      </w:r>
      <w:r w:rsidR="00CB2812">
        <w:rPr>
          <w:sz w:val="24"/>
          <w:szCs w:val="24"/>
        </w:rPr>
        <w:t>J</w:t>
      </w:r>
      <w:r w:rsidR="0016567B" w:rsidRPr="0016567B">
        <w:rPr>
          <w:sz w:val="24"/>
          <w:szCs w:val="24"/>
        </w:rPr>
        <w:t xml:space="preserve"> OA </w:t>
      </w:r>
      <w:r w:rsidR="0016567B" w:rsidRPr="00871B7F">
        <w:rPr>
          <w:i/>
          <w:sz w:val="24"/>
          <w:szCs w:val="24"/>
        </w:rPr>
        <w:t>p</w:t>
      </w:r>
      <w:r w:rsidR="0016567B" w:rsidRPr="0016567B">
        <w:rPr>
          <w:sz w:val="24"/>
          <w:szCs w:val="24"/>
        </w:rPr>
        <w:t xml:space="preserve">=0.251, ACJ OA </w:t>
      </w:r>
      <w:r w:rsidR="0016567B" w:rsidRPr="00871B7F">
        <w:rPr>
          <w:i/>
          <w:sz w:val="24"/>
          <w:szCs w:val="24"/>
        </w:rPr>
        <w:t>p</w:t>
      </w:r>
      <w:r w:rsidR="0016567B" w:rsidRPr="0016567B">
        <w:rPr>
          <w:sz w:val="24"/>
          <w:szCs w:val="24"/>
        </w:rPr>
        <w:t>=0.591).</w:t>
      </w:r>
    </w:p>
    <w:p w:rsidR="0065087C" w:rsidRPr="00CF72E2" w:rsidRDefault="00EC01F8" w:rsidP="003B5900">
      <w:pPr>
        <w:pStyle w:val="Heading2"/>
        <w:spacing w:line="360" w:lineRule="auto"/>
        <w:ind w:left="1080"/>
        <w:jc w:val="both"/>
        <w:rPr>
          <w:rFonts w:asciiTheme="minorHAnsi" w:hAnsiTheme="minorHAnsi"/>
          <w:b w:val="0"/>
        </w:rPr>
      </w:pPr>
      <w:bookmarkStart w:id="9" w:name="_Toc499046290"/>
      <w:r>
        <w:rPr>
          <w:rFonts w:asciiTheme="minorHAnsi" w:hAnsiTheme="minorHAnsi"/>
          <w:b w:val="0"/>
        </w:rPr>
        <w:t>Laterality</w:t>
      </w:r>
      <w:bookmarkEnd w:id="9"/>
      <w:r>
        <w:rPr>
          <w:rFonts w:asciiTheme="minorHAnsi" w:hAnsiTheme="minorHAnsi"/>
          <w:b w:val="0"/>
        </w:rPr>
        <w:t xml:space="preserve"> </w:t>
      </w:r>
    </w:p>
    <w:p w:rsidR="0038000C" w:rsidRPr="006602BA" w:rsidRDefault="0038000C" w:rsidP="003B5900">
      <w:pPr>
        <w:spacing w:line="240" w:lineRule="auto"/>
        <w:jc w:val="both"/>
        <w:rPr>
          <w:sz w:val="24"/>
          <w:szCs w:val="24"/>
        </w:rPr>
      </w:pPr>
      <w:r>
        <w:rPr>
          <w:noProof/>
          <w:lang w:eastAsia="en-GB"/>
        </w:rPr>
        <w:drawing>
          <wp:inline distT="0" distB="0" distL="0" distR="0">
            <wp:extent cx="5579745" cy="3333750"/>
            <wp:effectExtent l="0" t="0" r="1905" b="0"/>
            <wp:docPr id="25" name="Chart 25">
              <a:extLst xmlns:a="http://schemas.openxmlformats.org/drawingml/2006/main">
                <a:ext uri="{FF2B5EF4-FFF2-40B4-BE49-F238E27FC236}">
                  <a16:creationId xmlns:ve="http://schemas.openxmlformats.org/markup-compatibility/2006"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2E53336-8403-44D0-8BDB-C2B2197C70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F41F71">
        <w:rPr>
          <w:sz w:val="18"/>
          <w:szCs w:val="18"/>
        </w:rPr>
        <w:t xml:space="preserve">Figure </w:t>
      </w:r>
      <w:r w:rsidR="00F41F71">
        <w:rPr>
          <w:sz w:val="18"/>
          <w:szCs w:val="18"/>
        </w:rPr>
        <w:t>7</w:t>
      </w:r>
      <w:r w:rsidR="006A3133">
        <w:rPr>
          <w:sz w:val="18"/>
          <w:szCs w:val="18"/>
        </w:rPr>
        <w:t>.</w:t>
      </w:r>
      <w:r w:rsidRPr="0096165D">
        <w:rPr>
          <w:sz w:val="18"/>
          <w:szCs w:val="18"/>
        </w:rPr>
        <w:t xml:space="preserve"> Comparison of the prevalence (%) of the identified diseases separated by </w:t>
      </w:r>
      <w:r>
        <w:rPr>
          <w:sz w:val="18"/>
          <w:szCs w:val="18"/>
        </w:rPr>
        <w:t>side in the coffin sample</w:t>
      </w:r>
      <w:r w:rsidRPr="0096165D">
        <w:rPr>
          <w:sz w:val="18"/>
          <w:szCs w:val="18"/>
        </w:rPr>
        <w:t xml:space="preserve">.  Authors Own (2017).  </w:t>
      </w:r>
      <w:r w:rsidR="00166CDD">
        <w:rPr>
          <w:sz w:val="18"/>
          <w:szCs w:val="18"/>
        </w:rPr>
        <w:t>Both the humeral and clavicular fractures only occurred on</w:t>
      </w:r>
      <w:r w:rsidR="00E748BB">
        <w:rPr>
          <w:sz w:val="18"/>
          <w:szCs w:val="18"/>
        </w:rPr>
        <w:t xml:space="preserve"> the left side, whilst GH</w:t>
      </w:r>
      <w:r w:rsidR="00CB2812">
        <w:rPr>
          <w:sz w:val="18"/>
          <w:szCs w:val="18"/>
        </w:rPr>
        <w:t>J</w:t>
      </w:r>
      <w:r w:rsidR="00E748BB">
        <w:rPr>
          <w:sz w:val="18"/>
          <w:szCs w:val="18"/>
        </w:rPr>
        <w:t xml:space="preserve"> OA had</w:t>
      </w:r>
      <w:r w:rsidR="00166CDD">
        <w:rPr>
          <w:sz w:val="18"/>
          <w:szCs w:val="18"/>
        </w:rPr>
        <w:t xml:space="preserve"> a hig</w:t>
      </w:r>
      <w:r w:rsidR="002D1D15">
        <w:rPr>
          <w:sz w:val="18"/>
          <w:szCs w:val="18"/>
        </w:rPr>
        <w:t>h</w:t>
      </w:r>
      <w:r w:rsidR="00166CDD">
        <w:rPr>
          <w:sz w:val="18"/>
          <w:szCs w:val="18"/>
        </w:rPr>
        <w:t xml:space="preserve">er </w:t>
      </w:r>
      <w:r w:rsidR="002D1D15">
        <w:rPr>
          <w:sz w:val="18"/>
          <w:szCs w:val="18"/>
        </w:rPr>
        <w:t>prevalence</w:t>
      </w:r>
      <w:r w:rsidR="00166CDD">
        <w:rPr>
          <w:sz w:val="18"/>
          <w:szCs w:val="18"/>
        </w:rPr>
        <w:t xml:space="preserve"> on the left side by 7%.  </w:t>
      </w:r>
      <w:r w:rsidR="002D1D15">
        <w:rPr>
          <w:sz w:val="18"/>
          <w:szCs w:val="18"/>
        </w:rPr>
        <w:t xml:space="preserve">Conversely, ACJ OA </w:t>
      </w:r>
      <w:r w:rsidR="00E748BB">
        <w:rPr>
          <w:sz w:val="18"/>
          <w:szCs w:val="18"/>
        </w:rPr>
        <w:t>was</w:t>
      </w:r>
      <w:r w:rsidR="002D1D15">
        <w:rPr>
          <w:sz w:val="18"/>
          <w:szCs w:val="18"/>
        </w:rPr>
        <w:t xml:space="preserve"> more prevalent on </w:t>
      </w:r>
      <w:r w:rsidR="00303920">
        <w:rPr>
          <w:sz w:val="18"/>
          <w:szCs w:val="18"/>
        </w:rPr>
        <w:t>the right side by 11% and RCD was</w:t>
      </w:r>
      <w:r w:rsidR="002D1D15">
        <w:rPr>
          <w:sz w:val="18"/>
          <w:szCs w:val="18"/>
        </w:rPr>
        <w:t xml:space="preserve"> more </w:t>
      </w:r>
      <w:r w:rsidR="00145EF4" w:rsidRPr="00145EF4">
        <w:rPr>
          <w:sz w:val="18"/>
          <w:szCs w:val="18"/>
        </w:rPr>
        <w:t>prevalent</w:t>
      </w:r>
      <w:r w:rsidR="002D1D15">
        <w:rPr>
          <w:sz w:val="18"/>
          <w:szCs w:val="18"/>
        </w:rPr>
        <w:t xml:space="preserve"> on the right by 13%.  Impingement was equal laterally, with a prevalence of 3% on both sides. </w:t>
      </w:r>
    </w:p>
    <w:p w:rsidR="0016567B" w:rsidRPr="0016567B" w:rsidRDefault="0016567B" w:rsidP="003B5900">
      <w:pPr>
        <w:spacing w:line="360" w:lineRule="auto"/>
        <w:jc w:val="both"/>
        <w:rPr>
          <w:sz w:val="24"/>
          <w:szCs w:val="24"/>
        </w:rPr>
      </w:pPr>
      <w:r w:rsidRPr="0016567B">
        <w:rPr>
          <w:sz w:val="24"/>
          <w:szCs w:val="24"/>
        </w:rPr>
        <w:t>Left GH</w:t>
      </w:r>
      <w:r w:rsidR="00CB2812">
        <w:rPr>
          <w:sz w:val="24"/>
          <w:szCs w:val="24"/>
        </w:rPr>
        <w:t>J</w:t>
      </w:r>
      <w:r w:rsidRPr="0016567B">
        <w:rPr>
          <w:sz w:val="24"/>
          <w:szCs w:val="24"/>
        </w:rPr>
        <w:t xml:space="preserve"> OA (</w:t>
      </w:r>
      <w:r w:rsidRPr="0016567B">
        <w:rPr>
          <w:i/>
          <w:sz w:val="24"/>
          <w:szCs w:val="24"/>
        </w:rPr>
        <w:t>X</w:t>
      </w:r>
      <w:r w:rsidRPr="0016567B">
        <w:rPr>
          <w:sz w:val="24"/>
          <w:szCs w:val="24"/>
          <w:vertAlign w:val="superscript"/>
        </w:rPr>
        <w:t>2</w:t>
      </w:r>
      <w:r w:rsidRPr="0016567B">
        <w:rPr>
          <w:sz w:val="24"/>
          <w:szCs w:val="24"/>
        </w:rPr>
        <w:t xml:space="preserve">=6.09, df=1, N=67, </w:t>
      </w:r>
      <w:r w:rsidRPr="0016567B">
        <w:rPr>
          <w:i/>
          <w:sz w:val="24"/>
          <w:szCs w:val="24"/>
        </w:rPr>
        <w:t>p</w:t>
      </w:r>
      <w:r w:rsidRPr="0016567B">
        <w:rPr>
          <w:sz w:val="24"/>
          <w:szCs w:val="24"/>
        </w:rPr>
        <w:t>=0.014) achieved a statistically significant result, as did the rate of right GH</w:t>
      </w:r>
      <w:r w:rsidR="00CB2812">
        <w:rPr>
          <w:sz w:val="24"/>
          <w:szCs w:val="24"/>
        </w:rPr>
        <w:t>J</w:t>
      </w:r>
      <w:r w:rsidRPr="0016567B">
        <w:rPr>
          <w:sz w:val="24"/>
          <w:szCs w:val="24"/>
        </w:rPr>
        <w:t xml:space="preserve"> OA (</w:t>
      </w:r>
      <w:r w:rsidRPr="0016567B">
        <w:rPr>
          <w:i/>
          <w:sz w:val="24"/>
          <w:szCs w:val="24"/>
        </w:rPr>
        <w:t>X</w:t>
      </w:r>
      <w:r w:rsidRPr="0016567B">
        <w:rPr>
          <w:sz w:val="24"/>
          <w:szCs w:val="24"/>
          <w:vertAlign w:val="superscript"/>
        </w:rPr>
        <w:t>2</w:t>
      </w:r>
      <w:r w:rsidRPr="0016567B">
        <w:rPr>
          <w:sz w:val="24"/>
          <w:szCs w:val="24"/>
        </w:rPr>
        <w:t xml:space="preserve">=5.063, df=1, N=67, </w:t>
      </w:r>
      <w:r w:rsidRPr="0016567B">
        <w:rPr>
          <w:i/>
          <w:sz w:val="24"/>
          <w:szCs w:val="24"/>
        </w:rPr>
        <w:t>p</w:t>
      </w:r>
      <w:r w:rsidRPr="0016567B">
        <w:rPr>
          <w:sz w:val="24"/>
          <w:szCs w:val="24"/>
        </w:rPr>
        <w:t>=0.024).  Similarly, left (</w:t>
      </w:r>
      <w:r w:rsidRPr="0016567B">
        <w:rPr>
          <w:i/>
          <w:sz w:val="24"/>
          <w:szCs w:val="24"/>
        </w:rPr>
        <w:t>X</w:t>
      </w:r>
      <w:r w:rsidRPr="0016567B">
        <w:rPr>
          <w:sz w:val="24"/>
          <w:szCs w:val="24"/>
          <w:vertAlign w:val="superscript"/>
        </w:rPr>
        <w:t>2</w:t>
      </w:r>
      <w:r w:rsidRPr="0016567B">
        <w:rPr>
          <w:sz w:val="24"/>
          <w:szCs w:val="24"/>
        </w:rPr>
        <w:t xml:space="preserve">=5.03, df=1, N=62, </w:t>
      </w:r>
      <w:r w:rsidRPr="0016567B">
        <w:rPr>
          <w:i/>
          <w:sz w:val="24"/>
          <w:szCs w:val="24"/>
        </w:rPr>
        <w:t>p</w:t>
      </w:r>
      <w:r w:rsidRPr="0016567B">
        <w:rPr>
          <w:sz w:val="24"/>
          <w:szCs w:val="24"/>
        </w:rPr>
        <w:t>=0.025) and right (</w:t>
      </w:r>
      <w:r w:rsidRPr="0016567B">
        <w:rPr>
          <w:i/>
          <w:sz w:val="24"/>
          <w:szCs w:val="24"/>
        </w:rPr>
        <w:t>X</w:t>
      </w:r>
      <w:r w:rsidRPr="0016567B">
        <w:rPr>
          <w:sz w:val="24"/>
          <w:szCs w:val="24"/>
          <w:vertAlign w:val="superscript"/>
        </w:rPr>
        <w:t>2</w:t>
      </w:r>
      <w:r w:rsidRPr="0016567B">
        <w:rPr>
          <w:sz w:val="24"/>
          <w:szCs w:val="24"/>
        </w:rPr>
        <w:t xml:space="preserve">=4.55, df=1, N=64, </w:t>
      </w:r>
      <w:r w:rsidRPr="0016567B">
        <w:rPr>
          <w:i/>
          <w:sz w:val="24"/>
          <w:szCs w:val="24"/>
        </w:rPr>
        <w:t>p</w:t>
      </w:r>
      <w:r w:rsidRPr="0016567B">
        <w:rPr>
          <w:sz w:val="24"/>
          <w:szCs w:val="24"/>
        </w:rPr>
        <w:t xml:space="preserve">=0.033) ACJ OA </w:t>
      </w:r>
      <w:r w:rsidR="00042EFC">
        <w:rPr>
          <w:sz w:val="24"/>
          <w:szCs w:val="24"/>
        </w:rPr>
        <w:t>was</w:t>
      </w:r>
      <w:r w:rsidRPr="0016567B">
        <w:rPr>
          <w:sz w:val="24"/>
          <w:szCs w:val="24"/>
        </w:rPr>
        <w:t xml:space="preserve"> statistically significant</w:t>
      </w:r>
      <w:r w:rsidR="00042EFC">
        <w:rPr>
          <w:sz w:val="24"/>
          <w:szCs w:val="24"/>
        </w:rPr>
        <w:t xml:space="preserve"> by comparison</w:t>
      </w:r>
      <w:r w:rsidRPr="0016567B">
        <w:rPr>
          <w:sz w:val="24"/>
          <w:szCs w:val="24"/>
        </w:rPr>
        <w:t xml:space="preserve">.  Contrarily, RCD </w:t>
      </w:r>
      <w:r w:rsidR="00802494">
        <w:rPr>
          <w:sz w:val="24"/>
          <w:szCs w:val="24"/>
        </w:rPr>
        <w:t>was</w:t>
      </w:r>
      <w:r w:rsidRPr="0016567B">
        <w:rPr>
          <w:sz w:val="24"/>
          <w:szCs w:val="24"/>
        </w:rPr>
        <w:t xml:space="preserve"> </w:t>
      </w:r>
      <w:r w:rsidR="00442E6A">
        <w:rPr>
          <w:sz w:val="24"/>
          <w:szCs w:val="24"/>
        </w:rPr>
        <w:t xml:space="preserve">not statistically </w:t>
      </w:r>
      <w:r w:rsidRPr="0016567B">
        <w:rPr>
          <w:sz w:val="24"/>
          <w:szCs w:val="24"/>
        </w:rPr>
        <w:t xml:space="preserve">significant on </w:t>
      </w:r>
      <w:r w:rsidR="00802494">
        <w:rPr>
          <w:sz w:val="24"/>
          <w:szCs w:val="24"/>
        </w:rPr>
        <w:t>either</w:t>
      </w:r>
      <w:r w:rsidRPr="0016567B">
        <w:rPr>
          <w:sz w:val="24"/>
          <w:szCs w:val="24"/>
        </w:rPr>
        <w:t xml:space="preserve"> the left (</w:t>
      </w:r>
      <w:r w:rsidRPr="0016567B">
        <w:rPr>
          <w:i/>
          <w:sz w:val="24"/>
          <w:szCs w:val="24"/>
        </w:rPr>
        <w:t>X</w:t>
      </w:r>
      <w:r w:rsidRPr="0016567B">
        <w:rPr>
          <w:sz w:val="24"/>
          <w:szCs w:val="24"/>
          <w:vertAlign w:val="superscript"/>
        </w:rPr>
        <w:t>2</w:t>
      </w:r>
      <w:r w:rsidRPr="0016567B">
        <w:rPr>
          <w:sz w:val="24"/>
          <w:szCs w:val="24"/>
        </w:rPr>
        <w:t xml:space="preserve">=2.02, df=1, N=68, </w:t>
      </w:r>
      <w:r w:rsidRPr="0016567B">
        <w:rPr>
          <w:i/>
          <w:sz w:val="24"/>
          <w:szCs w:val="24"/>
        </w:rPr>
        <w:t>p</w:t>
      </w:r>
      <w:r w:rsidRPr="0016567B">
        <w:rPr>
          <w:sz w:val="24"/>
          <w:szCs w:val="24"/>
        </w:rPr>
        <w:t xml:space="preserve">=0.156) </w:t>
      </w:r>
      <w:r w:rsidR="00802494">
        <w:rPr>
          <w:sz w:val="24"/>
          <w:szCs w:val="24"/>
        </w:rPr>
        <w:t>or right side</w:t>
      </w:r>
      <w:r w:rsidRPr="0016567B">
        <w:rPr>
          <w:sz w:val="24"/>
          <w:szCs w:val="24"/>
        </w:rPr>
        <w:t xml:space="preserve"> (</w:t>
      </w:r>
      <w:r w:rsidRPr="0016567B">
        <w:rPr>
          <w:i/>
          <w:sz w:val="24"/>
          <w:szCs w:val="24"/>
        </w:rPr>
        <w:t>X</w:t>
      </w:r>
      <w:r w:rsidRPr="0016567B">
        <w:rPr>
          <w:sz w:val="24"/>
          <w:szCs w:val="24"/>
          <w:vertAlign w:val="superscript"/>
        </w:rPr>
        <w:t>2</w:t>
      </w:r>
      <w:r w:rsidRPr="0016567B">
        <w:rPr>
          <w:sz w:val="24"/>
          <w:szCs w:val="24"/>
        </w:rPr>
        <w:t xml:space="preserve">=2.31, df=1, N=67, </w:t>
      </w:r>
      <w:r w:rsidRPr="0016567B">
        <w:rPr>
          <w:i/>
          <w:sz w:val="24"/>
          <w:szCs w:val="24"/>
        </w:rPr>
        <w:t>p</w:t>
      </w:r>
      <w:r w:rsidRPr="0016567B">
        <w:rPr>
          <w:sz w:val="24"/>
          <w:szCs w:val="24"/>
        </w:rPr>
        <w:t xml:space="preserve">=0.128).  A Fisher’s Exact Test also </w:t>
      </w:r>
      <w:r w:rsidR="00442E6A">
        <w:rPr>
          <w:sz w:val="24"/>
          <w:szCs w:val="24"/>
        </w:rPr>
        <w:t xml:space="preserve">did not </w:t>
      </w:r>
      <w:r w:rsidRPr="0016567B">
        <w:rPr>
          <w:sz w:val="24"/>
          <w:szCs w:val="24"/>
        </w:rPr>
        <w:t>produce</w:t>
      </w:r>
      <w:r w:rsidR="00442E6A">
        <w:rPr>
          <w:sz w:val="24"/>
          <w:szCs w:val="24"/>
        </w:rPr>
        <w:t xml:space="preserve"> a </w:t>
      </w:r>
      <w:r w:rsidRPr="0016567B">
        <w:rPr>
          <w:sz w:val="24"/>
          <w:szCs w:val="24"/>
        </w:rPr>
        <w:t>significant result (</w:t>
      </w:r>
      <w:r w:rsidRPr="0016567B">
        <w:rPr>
          <w:i/>
          <w:sz w:val="24"/>
          <w:szCs w:val="24"/>
        </w:rPr>
        <w:t>p</w:t>
      </w:r>
      <w:r w:rsidRPr="0016567B">
        <w:rPr>
          <w:sz w:val="24"/>
          <w:szCs w:val="24"/>
        </w:rPr>
        <w:t>=0.280) on the right side.  Uniform</w:t>
      </w:r>
      <w:r w:rsidR="00906225">
        <w:rPr>
          <w:sz w:val="24"/>
          <w:szCs w:val="24"/>
        </w:rPr>
        <w:t>ly</w:t>
      </w:r>
      <w:r w:rsidRPr="0016567B">
        <w:rPr>
          <w:sz w:val="24"/>
          <w:szCs w:val="24"/>
        </w:rPr>
        <w:t xml:space="preserve"> insignificant results (</w:t>
      </w:r>
      <w:r w:rsidRPr="0016567B">
        <w:rPr>
          <w:i/>
          <w:sz w:val="24"/>
          <w:szCs w:val="24"/>
        </w:rPr>
        <w:t>p</w:t>
      </w:r>
      <w:r>
        <w:rPr>
          <w:sz w:val="24"/>
          <w:szCs w:val="24"/>
        </w:rPr>
        <w:t xml:space="preserve">=0.500) </w:t>
      </w:r>
      <w:r w:rsidRPr="0016567B">
        <w:rPr>
          <w:sz w:val="24"/>
          <w:szCs w:val="24"/>
        </w:rPr>
        <w:t>were found on the left and right side in the assessment of the impingement data by the Fisher’s Exact Test.  An insignificant rate was produced in the assessments of the left clavicular and humeral fractures</w:t>
      </w:r>
      <w:r w:rsidRPr="0016567B">
        <w:rPr>
          <w:i/>
          <w:sz w:val="24"/>
          <w:szCs w:val="24"/>
        </w:rPr>
        <w:t xml:space="preserve"> </w:t>
      </w:r>
      <w:r w:rsidRPr="0016567B">
        <w:rPr>
          <w:sz w:val="24"/>
          <w:szCs w:val="24"/>
        </w:rPr>
        <w:t>(</w:t>
      </w:r>
      <w:r w:rsidRPr="0016567B">
        <w:rPr>
          <w:i/>
          <w:sz w:val="24"/>
          <w:szCs w:val="24"/>
        </w:rPr>
        <w:t>p</w:t>
      </w:r>
      <w:r w:rsidRPr="0016567B">
        <w:rPr>
          <w:sz w:val="24"/>
          <w:szCs w:val="24"/>
        </w:rPr>
        <w:t>=1.000)</w:t>
      </w:r>
      <w:r w:rsidR="00906225">
        <w:rPr>
          <w:sz w:val="24"/>
          <w:szCs w:val="24"/>
        </w:rPr>
        <w:t>,</w:t>
      </w:r>
      <w:r w:rsidRPr="0016567B">
        <w:rPr>
          <w:sz w:val="24"/>
          <w:szCs w:val="24"/>
        </w:rPr>
        <w:t xml:space="preserve"> which were not observed on the right side in the assessment.  </w:t>
      </w:r>
      <w:r w:rsidR="00136CDC">
        <w:rPr>
          <w:sz w:val="24"/>
          <w:szCs w:val="24"/>
        </w:rPr>
        <w:t>OR</w:t>
      </w:r>
      <w:r w:rsidR="009A176B">
        <w:rPr>
          <w:sz w:val="24"/>
          <w:szCs w:val="24"/>
        </w:rPr>
        <w:t>s</w:t>
      </w:r>
      <w:r w:rsidRPr="0016567B">
        <w:rPr>
          <w:sz w:val="24"/>
          <w:szCs w:val="24"/>
        </w:rPr>
        <w:t xml:space="preserve"> </w:t>
      </w:r>
      <w:r w:rsidR="00303920">
        <w:rPr>
          <w:sz w:val="24"/>
          <w:szCs w:val="24"/>
        </w:rPr>
        <w:t xml:space="preserve">were </w:t>
      </w:r>
      <w:r w:rsidR="00442E6A">
        <w:rPr>
          <w:sz w:val="24"/>
          <w:szCs w:val="24"/>
        </w:rPr>
        <w:t xml:space="preserve">not </w:t>
      </w:r>
      <w:r>
        <w:rPr>
          <w:sz w:val="24"/>
          <w:szCs w:val="24"/>
        </w:rPr>
        <w:t xml:space="preserve">significant </w:t>
      </w:r>
      <w:r w:rsidR="005A5498">
        <w:rPr>
          <w:sz w:val="24"/>
          <w:szCs w:val="24"/>
        </w:rPr>
        <w:t>(</w:t>
      </w:r>
      <w:r w:rsidRPr="0016567B">
        <w:rPr>
          <w:sz w:val="24"/>
          <w:szCs w:val="24"/>
        </w:rPr>
        <w:t>GH</w:t>
      </w:r>
      <w:r w:rsidR="00CB2812">
        <w:rPr>
          <w:sz w:val="24"/>
          <w:szCs w:val="24"/>
        </w:rPr>
        <w:t>J</w:t>
      </w:r>
      <w:r w:rsidRPr="0016567B">
        <w:rPr>
          <w:sz w:val="24"/>
          <w:szCs w:val="24"/>
        </w:rPr>
        <w:t xml:space="preserve"> OA </w:t>
      </w:r>
      <w:r w:rsidRPr="0016567B">
        <w:rPr>
          <w:i/>
          <w:sz w:val="24"/>
          <w:szCs w:val="24"/>
        </w:rPr>
        <w:t>p</w:t>
      </w:r>
      <w:r>
        <w:rPr>
          <w:sz w:val="24"/>
          <w:szCs w:val="24"/>
        </w:rPr>
        <w:t xml:space="preserve">=0.6861, </w:t>
      </w:r>
      <w:r w:rsidRPr="0016567B">
        <w:rPr>
          <w:sz w:val="24"/>
          <w:szCs w:val="24"/>
        </w:rPr>
        <w:t xml:space="preserve">ACJ OA </w:t>
      </w:r>
      <w:r w:rsidRPr="00871B7F">
        <w:rPr>
          <w:i/>
          <w:sz w:val="24"/>
          <w:szCs w:val="24"/>
        </w:rPr>
        <w:t>p</w:t>
      </w:r>
      <w:r w:rsidR="00871B7F">
        <w:rPr>
          <w:sz w:val="24"/>
          <w:szCs w:val="24"/>
        </w:rPr>
        <w:t>=0.751</w:t>
      </w:r>
      <w:r w:rsidR="005A5498">
        <w:rPr>
          <w:sz w:val="24"/>
          <w:szCs w:val="24"/>
        </w:rPr>
        <w:t>)</w:t>
      </w:r>
      <w:r w:rsidR="00303920">
        <w:rPr>
          <w:sz w:val="24"/>
          <w:szCs w:val="24"/>
        </w:rPr>
        <w:t xml:space="preserve">. </w:t>
      </w:r>
    </w:p>
    <w:p w:rsidR="0065087C" w:rsidRPr="00CF72E2" w:rsidRDefault="00EC01F8" w:rsidP="003B5900">
      <w:pPr>
        <w:pStyle w:val="Heading2"/>
        <w:spacing w:line="360" w:lineRule="auto"/>
        <w:ind w:left="1080"/>
        <w:jc w:val="both"/>
        <w:rPr>
          <w:rFonts w:asciiTheme="minorHAnsi" w:hAnsiTheme="minorHAnsi"/>
          <w:b w:val="0"/>
        </w:rPr>
      </w:pPr>
      <w:bookmarkStart w:id="10" w:name="_Toc499046291"/>
      <w:r>
        <w:rPr>
          <w:rFonts w:asciiTheme="minorHAnsi" w:hAnsiTheme="minorHAnsi"/>
          <w:b w:val="0"/>
        </w:rPr>
        <w:lastRenderedPageBreak/>
        <w:t>Laterality</w:t>
      </w:r>
      <w:r w:rsidR="0065087C">
        <w:rPr>
          <w:rFonts w:asciiTheme="minorHAnsi" w:hAnsiTheme="minorHAnsi"/>
          <w:b w:val="0"/>
        </w:rPr>
        <w:t xml:space="preserve"> and Sex</w:t>
      </w:r>
      <w:bookmarkEnd w:id="10"/>
      <w:r w:rsidR="0065087C">
        <w:rPr>
          <w:rFonts w:asciiTheme="minorHAnsi" w:hAnsiTheme="minorHAnsi"/>
          <w:b w:val="0"/>
        </w:rPr>
        <w:t xml:space="preserve"> </w:t>
      </w:r>
    </w:p>
    <w:p w:rsidR="005A5498" w:rsidRDefault="0065087C" w:rsidP="003B5900">
      <w:pPr>
        <w:spacing w:line="240" w:lineRule="auto"/>
        <w:jc w:val="both"/>
        <w:rPr>
          <w:sz w:val="18"/>
          <w:szCs w:val="18"/>
        </w:rPr>
      </w:pPr>
      <w:r>
        <w:rPr>
          <w:noProof/>
          <w:lang w:eastAsia="en-GB"/>
        </w:rPr>
        <w:drawing>
          <wp:inline distT="0" distB="0" distL="0" distR="0">
            <wp:extent cx="5547866" cy="3298004"/>
            <wp:effectExtent l="0" t="0" r="15240" b="17145"/>
            <wp:docPr id="15" name="Chart 15">
              <a:extLst xmlns:a="http://schemas.openxmlformats.org/drawingml/2006/main">
                <a:ext uri="{FF2B5EF4-FFF2-40B4-BE49-F238E27FC236}">
                  <a16:creationId xmlns:ve="http://schemas.openxmlformats.org/markup-compatibility/2006"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5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Pr="00E5090A">
        <w:rPr>
          <w:sz w:val="18"/>
          <w:szCs w:val="18"/>
        </w:rPr>
        <w:t xml:space="preserve"> </w:t>
      </w:r>
    </w:p>
    <w:p w:rsidR="0065087C" w:rsidRDefault="00F41F71" w:rsidP="003B5900">
      <w:pPr>
        <w:spacing w:line="240" w:lineRule="auto"/>
        <w:jc w:val="both"/>
        <w:rPr>
          <w:sz w:val="24"/>
          <w:szCs w:val="24"/>
        </w:rPr>
      </w:pPr>
      <w:r>
        <w:rPr>
          <w:sz w:val="18"/>
          <w:szCs w:val="18"/>
        </w:rPr>
        <w:t xml:space="preserve">Figure </w:t>
      </w:r>
      <w:r>
        <w:rPr>
          <w:sz w:val="18"/>
          <w:szCs w:val="18"/>
        </w:rPr>
        <w:t>8</w:t>
      </w:r>
      <w:r w:rsidR="0065087C">
        <w:rPr>
          <w:sz w:val="18"/>
          <w:szCs w:val="18"/>
        </w:rPr>
        <w:t>.   Comparison of the prevalence (%) of the i</w:t>
      </w:r>
      <w:r w:rsidR="0065087C" w:rsidRPr="009F3792">
        <w:rPr>
          <w:sz w:val="18"/>
          <w:szCs w:val="18"/>
        </w:rPr>
        <w:t xml:space="preserve">dentified </w:t>
      </w:r>
      <w:r w:rsidR="0065087C">
        <w:rPr>
          <w:sz w:val="18"/>
          <w:szCs w:val="18"/>
        </w:rPr>
        <w:t>d</w:t>
      </w:r>
      <w:r w:rsidR="0065087C" w:rsidRPr="009F3792">
        <w:rPr>
          <w:sz w:val="18"/>
          <w:szCs w:val="18"/>
        </w:rPr>
        <w:t xml:space="preserve">iseases </w:t>
      </w:r>
      <w:r w:rsidR="0065087C">
        <w:rPr>
          <w:sz w:val="18"/>
          <w:szCs w:val="18"/>
        </w:rPr>
        <w:t>s</w:t>
      </w:r>
      <w:r w:rsidR="0065087C" w:rsidRPr="009F3792">
        <w:rPr>
          <w:sz w:val="18"/>
          <w:szCs w:val="18"/>
        </w:rPr>
        <w:t xml:space="preserve">eparated by </w:t>
      </w:r>
      <w:r w:rsidR="0065087C">
        <w:rPr>
          <w:sz w:val="18"/>
          <w:szCs w:val="18"/>
        </w:rPr>
        <w:t>side between the male and female coffin s</w:t>
      </w:r>
      <w:r w:rsidR="00B82A47">
        <w:rPr>
          <w:sz w:val="18"/>
          <w:szCs w:val="18"/>
        </w:rPr>
        <w:t>amples</w:t>
      </w:r>
      <w:r w:rsidR="0065087C">
        <w:rPr>
          <w:sz w:val="18"/>
          <w:szCs w:val="18"/>
        </w:rPr>
        <w:t xml:space="preserve">.  </w:t>
      </w:r>
      <w:r w:rsidR="0065087C" w:rsidRPr="003F5BE2">
        <w:rPr>
          <w:sz w:val="18"/>
          <w:szCs w:val="18"/>
        </w:rPr>
        <w:t>Authors Own (2017).  When compared between the left and right sides, GH</w:t>
      </w:r>
      <w:r w:rsidR="00CB2812">
        <w:rPr>
          <w:sz w:val="18"/>
          <w:szCs w:val="18"/>
        </w:rPr>
        <w:t>J</w:t>
      </w:r>
      <w:r w:rsidR="0065087C" w:rsidRPr="003F5BE2">
        <w:rPr>
          <w:sz w:val="18"/>
          <w:szCs w:val="18"/>
        </w:rPr>
        <w:t xml:space="preserve"> OA was </w:t>
      </w:r>
      <w:r w:rsidR="0065087C">
        <w:rPr>
          <w:sz w:val="18"/>
          <w:szCs w:val="18"/>
        </w:rPr>
        <w:t>more</w:t>
      </w:r>
      <w:r w:rsidR="0065087C" w:rsidRPr="003F5BE2">
        <w:rPr>
          <w:sz w:val="18"/>
          <w:szCs w:val="18"/>
        </w:rPr>
        <w:t xml:space="preserve"> prevalent on the left side, 39%, than the right side, 35%, in males, whilst the rate was higher on the right, 13%, than the left, 10%, in females.  The rate was equally similar between the sides in ACJ OA, occurring at a prevalence of 46% on the left side in males, and 50% on the right side, and at 19% on the left in females, and 21% on the right.  RCD followed the same pattern, with a prevalence of 18% on the left in males and 22% on the right, and 7% on both the left and right sides in females.  Impingement was equally seen at 5% on both the left and right sides in males, whilst both of the fractures were seen at 3% on only the left side.</w:t>
      </w:r>
      <w:r w:rsidR="0065087C">
        <w:rPr>
          <w:sz w:val="24"/>
          <w:szCs w:val="24"/>
        </w:rPr>
        <w:t xml:space="preserve"> </w:t>
      </w:r>
    </w:p>
    <w:p w:rsidR="00E7329F" w:rsidRDefault="0016567B" w:rsidP="003B5900">
      <w:pPr>
        <w:spacing w:line="360" w:lineRule="auto"/>
        <w:jc w:val="both"/>
        <w:rPr>
          <w:sz w:val="24"/>
          <w:szCs w:val="24"/>
        </w:rPr>
      </w:pPr>
      <w:r>
        <w:rPr>
          <w:sz w:val="24"/>
          <w:szCs w:val="24"/>
        </w:rPr>
        <w:t>W</w:t>
      </w:r>
      <w:r w:rsidR="001C377C" w:rsidRPr="00A2487A">
        <w:rPr>
          <w:sz w:val="24"/>
          <w:szCs w:val="24"/>
        </w:rPr>
        <w:t xml:space="preserve">hen compared </w:t>
      </w:r>
      <w:r w:rsidR="00DE0008" w:rsidRPr="00A2487A">
        <w:rPr>
          <w:sz w:val="24"/>
          <w:szCs w:val="24"/>
        </w:rPr>
        <w:t>within the sex groups</w:t>
      </w:r>
      <w:r w:rsidR="00F00B23">
        <w:rPr>
          <w:sz w:val="24"/>
          <w:szCs w:val="24"/>
        </w:rPr>
        <w:t xml:space="preserve"> </w:t>
      </w:r>
      <w:r w:rsidR="00442E6A">
        <w:rPr>
          <w:sz w:val="24"/>
          <w:szCs w:val="24"/>
        </w:rPr>
        <w:t xml:space="preserve">laterality was not </w:t>
      </w:r>
      <w:r w:rsidR="00F00B23">
        <w:rPr>
          <w:sz w:val="24"/>
          <w:szCs w:val="24"/>
        </w:rPr>
        <w:t>significant</w:t>
      </w:r>
      <w:r w:rsidR="00DE0008" w:rsidRPr="00A2487A">
        <w:rPr>
          <w:sz w:val="24"/>
          <w:szCs w:val="24"/>
        </w:rPr>
        <w:t xml:space="preserve"> (</w:t>
      </w:r>
      <w:r w:rsidR="00E7329F" w:rsidRPr="00A2487A">
        <w:rPr>
          <w:sz w:val="24"/>
          <w:szCs w:val="24"/>
        </w:rPr>
        <w:t>GH</w:t>
      </w:r>
      <w:r w:rsidR="00CB2812">
        <w:rPr>
          <w:sz w:val="24"/>
          <w:szCs w:val="24"/>
        </w:rPr>
        <w:t>J</w:t>
      </w:r>
      <w:r w:rsidR="00E7329F" w:rsidRPr="00A2487A">
        <w:rPr>
          <w:sz w:val="24"/>
          <w:szCs w:val="24"/>
        </w:rPr>
        <w:t xml:space="preserve"> OA in females</w:t>
      </w:r>
      <w:r w:rsidR="00DE0008" w:rsidRPr="00A2487A">
        <w:rPr>
          <w:sz w:val="24"/>
          <w:szCs w:val="24"/>
        </w:rPr>
        <w:t xml:space="preserve">: </w:t>
      </w:r>
      <w:r w:rsidR="00DE0008" w:rsidRPr="00A2487A">
        <w:rPr>
          <w:i/>
          <w:sz w:val="24"/>
          <w:szCs w:val="24"/>
        </w:rPr>
        <w:t>p</w:t>
      </w:r>
      <w:r w:rsidR="00DE0008" w:rsidRPr="00A2487A">
        <w:rPr>
          <w:sz w:val="24"/>
          <w:szCs w:val="24"/>
        </w:rPr>
        <w:t>=0.723,</w:t>
      </w:r>
      <w:r w:rsidR="001C377C" w:rsidRPr="00A2487A">
        <w:rPr>
          <w:sz w:val="24"/>
          <w:szCs w:val="24"/>
        </w:rPr>
        <w:t xml:space="preserve"> ACJ OA</w:t>
      </w:r>
      <w:r w:rsidR="00DE0008" w:rsidRPr="00A2487A">
        <w:rPr>
          <w:sz w:val="24"/>
          <w:szCs w:val="24"/>
        </w:rPr>
        <w:t xml:space="preserve"> in females: </w:t>
      </w:r>
      <w:r w:rsidR="001C377C" w:rsidRPr="00A2487A">
        <w:rPr>
          <w:rFonts w:cs="Arial"/>
          <w:i/>
          <w:color w:val="000000"/>
          <w:sz w:val="24"/>
          <w:szCs w:val="24"/>
          <w:shd w:val="clear" w:color="auto" w:fill="FFFFFF"/>
        </w:rPr>
        <w:t>p</w:t>
      </w:r>
      <w:r w:rsidR="001C377C" w:rsidRPr="00A2487A">
        <w:rPr>
          <w:rFonts w:cs="Arial"/>
          <w:color w:val="000000"/>
          <w:sz w:val="24"/>
          <w:szCs w:val="24"/>
          <w:shd w:val="clear" w:color="auto" w:fill="FFFFFF"/>
        </w:rPr>
        <w:t>=0.</w:t>
      </w:r>
      <w:r w:rsidR="00DE0008" w:rsidRPr="00A2487A">
        <w:rPr>
          <w:rFonts w:cs="Arial"/>
          <w:color w:val="000000"/>
          <w:sz w:val="24"/>
          <w:szCs w:val="24"/>
          <w:shd w:val="clear" w:color="auto" w:fill="FFFFFF"/>
        </w:rPr>
        <w:t xml:space="preserve">787, </w:t>
      </w:r>
      <w:r w:rsidR="001C377C" w:rsidRPr="00A2487A">
        <w:rPr>
          <w:sz w:val="24"/>
          <w:szCs w:val="24"/>
        </w:rPr>
        <w:t xml:space="preserve">RCD </w:t>
      </w:r>
      <w:r w:rsidR="00DE0008" w:rsidRPr="00A2487A">
        <w:rPr>
          <w:sz w:val="24"/>
          <w:szCs w:val="24"/>
        </w:rPr>
        <w:t xml:space="preserve">in females: </w:t>
      </w:r>
      <w:r w:rsidR="001C377C" w:rsidRPr="00A2487A">
        <w:rPr>
          <w:rFonts w:cs="Arial"/>
          <w:i/>
          <w:color w:val="000000"/>
          <w:sz w:val="24"/>
          <w:szCs w:val="24"/>
          <w:shd w:val="clear" w:color="auto" w:fill="FFFFFF"/>
        </w:rPr>
        <w:t>p</w:t>
      </w:r>
      <w:r w:rsidR="001C377C" w:rsidRPr="00A2487A">
        <w:rPr>
          <w:rFonts w:cs="Arial"/>
          <w:color w:val="000000"/>
          <w:sz w:val="24"/>
          <w:szCs w:val="24"/>
          <w:shd w:val="clear" w:color="auto" w:fill="FFFFFF"/>
        </w:rPr>
        <w:t>=</w:t>
      </w:r>
      <w:r w:rsidR="00A2487A" w:rsidRPr="00A2487A">
        <w:rPr>
          <w:rFonts w:cs="Arial"/>
          <w:color w:val="000000"/>
          <w:sz w:val="24"/>
          <w:szCs w:val="24"/>
          <w:shd w:val="clear" w:color="auto" w:fill="FFFFFF"/>
        </w:rPr>
        <w:t>1</w:t>
      </w:r>
      <w:r w:rsidR="001C377C" w:rsidRPr="00A2487A">
        <w:rPr>
          <w:rFonts w:cs="Arial"/>
          <w:color w:val="000000"/>
          <w:sz w:val="24"/>
          <w:szCs w:val="24"/>
          <w:shd w:val="clear" w:color="auto" w:fill="FFFFFF"/>
        </w:rPr>
        <w:t>.</w:t>
      </w:r>
      <w:r w:rsidR="00A2487A" w:rsidRPr="00A2487A">
        <w:rPr>
          <w:rFonts w:cs="Arial"/>
          <w:color w:val="000000"/>
          <w:sz w:val="24"/>
          <w:szCs w:val="24"/>
          <w:shd w:val="clear" w:color="auto" w:fill="FFFFFF"/>
        </w:rPr>
        <w:t xml:space="preserve">00, </w:t>
      </w:r>
      <w:r w:rsidR="001C377C" w:rsidRPr="00A2487A">
        <w:rPr>
          <w:sz w:val="24"/>
          <w:szCs w:val="24"/>
        </w:rPr>
        <w:t>GH</w:t>
      </w:r>
      <w:r w:rsidR="00CB2812">
        <w:rPr>
          <w:sz w:val="24"/>
          <w:szCs w:val="24"/>
        </w:rPr>
        <w:t>J</w:t>
      </w:r>
      <w:r w:rsidR="00A2487A" w:rsidRPr="00A2487A">
        <w:rPr>
          <w:sz w:val="24"/>
          <w:szCs w:val="24"/>
        </w:rPr>
        <w:t xml:space="preserve"> </w:t>
      </w:r>
      <w:r w:rsidR="001C377C" w:rsidRPr="00A2487A">
        <w:rPr>
          <w:sz w:val="24"/>
          <w:szCs w:val="24"/>
        </w:rPr>
        <w:t>OA</w:t>
      </w:r>
      <w:r w:rsidR="00A2487A" w:rsidRPr="00A2487A">
        <w:rPr>
          <w:sz w:val="24"/>
          <w:szCs w:val="24"/>
        </w:rPr>
        <w:t xml:space="preserve"> in males</w:t>
      </w:r>
      <w:r w:rsidR="001C377C" w:rsidRPr="00A2487A">
        <w:rPr>
          <w:sz w:val="24"/>
          <w:szCs w:val="24"/>
        </w:rPr>
        <w:t xml:space="preserve">: </w:t>
      </w:r>
      <w:r w:rsidR="00A2487A" w:rsidRPr="00A2487A">
        <w:rPr>
          <w:i/>
          <w:sz w:val="24"/>
          <w:szCs w:val="24"/>
        </w:rPr>
        <w:t>p</w:t>
      </w:r>
      <w:r w:rsidR="00A2487A">
        <w:rPr>
          <w:sz w:val="24"/>
          <w:szCs w:val="24"/>
        </w:rPr>
        <w:t>=</w:t>
      </w:r>
      <w:r w:rsidR="00871B7F">
        <w:rPr>
          <w:sz w:val="24"/>
          <w:szCs w:val="24"/>
        </w:rPr>
        <w:t xml:space="preserve">0.793, </w:t>
      </w:r>
      <w:r w:rsidR="00A2487A">
        <w:rPr>
          <w:sz w:val="24"/>
          <w:szCs w:val="24"/>
        </w:rPr>
        <w:t xml:space="preserve">ACJ </w:t>
      </w:r>
      <w:r w:rsidR="00A2487A" w:rsidRPr="00A2487A">
        <w:rPr>
          <w:sz w:val="24"/>
          <w:szCs w:val="24"/>
        </w:rPr>
        <w:t xml:space="preserve">OA in males: </w:t>
      </w:r>
      <w:r w:rsidR="00A2487A" w:rsidRPr="00A2487A">
        <w:rPr>
          <w:rFonts w:cs="Arial"/>
          <w:i/>
          <w:color w:val="000000"/>
          <w:sz w:val="24"/>
          <w:szCs w:val="24"/>
          <w:shd w:val="clear" w:color="auto" w:fill="FFFFFF"/>
        </w:rPr>
        <w:t>p</w:t>
      </w:r>
      <w:r w:rsidR="00871B7F">
        <w:rPr>
          <w:rFonts w:cs="Arial"/>
          <w:color w:val="000000"/>
          <w:sz w:val="24"/>
          <w:szCs w:val="24"/>
          <w:shd w:val="clear" w:color="auto" w:fill="FFFFFF"/>
        </w:rPr>
        <w:t>=0.830</w:t>
      </w:r>
      <w:r w:rsidR="00A2487A" w:rsidRPr="00A2487A">
        <w:rPr>
          <w:rFonts w:cs="Arial"/>
          <w:color w:val="000000"/>
          <w:sz w:val="24"/>
          <w:szCs w:val="24"/>
          <w:shd w:val="clear" w:color="auto" w:fill="FFFFFF"/>
        </w:rPr>
        <w:t xml:space="preserve">, </w:t>
      </w:r>
      <w:r w:rsidR="00A2487A" w:rsidRPr="00A2487A">
        <w:rPr>
          <w:sz w:val="24"/>
          <w:szCs w:val="24"/>
        </w:rPr>
        <w:t>RCD in males:</w:t>
      </w:r>
      <w:r w:rsidR="00A2487A" w:rsidRPr="00A2487A">
        <w:t xml:space="preserve"> </w:t>
      </w:r>
      <w:r w:rsidR="00A2487A" w:rsidRPr="00A2487A">
        <w:rPr>
          <w:i/>
          <w:sz w:val="24"/>
          <w:szCs w:val="24"/>
        </w:rPr>
        <w:t>p</w:t>
      </w:r>
      <w:r w:rsidR="00A2487A">
        <w:rPr>
          <w:sz w:val="24"/>
          <w:szCs w:val="24"/>
        </w:rPr>
        <w:t>=</w:t>
      </w:r>
      <w:r w:rsidR="00A2487A" w:rsidRPr="00A2487A">
        <w:rPr>
          <w:sz w:val="24"/>
          <w:szCs w:val="24"/>
        </w:rPr>
        <w:t>0.141</w:t>
      </w:r>
      <w:r w:rsidR="00A2487A">
        <w:rPr>
          <w:sz w:val="24"/>
          <w:szCs w:val="24"/>
        </w:rPr>
        <w:t xml:space="preserve">, impingement in males: </w:t>
      </w:r>
      <w:r w:rsidR="00A2487A" w:rsidRPr="00A2487A">
        <w:rPr>
          <w:i/>
          <w:sz w:val="24"/>
          <w:szCs w:val="24"/>
        </w:rPr>
        <w:t>p</w:t>
      </w:r>
      <w:r w:rsidR="00A2487A">
        <w:rPr>
          <w:sz w:val="24"/>
          <w:szCs w:val="24"/>
        </w:rPr>
        <w:t>=</w:t>
      </w:r>
      <w:r w:rsidR="00871B7F">
        <w:rPr>
          <w:sz w:val="24"/>
          <w:szCs w:val="24"/>
        </w:rPr>
        <w:t>0.578</w:t>
      </w:r>
      <w:r w:rsidR="00A2487A">
        <w:rPr>
          <w:sz w:val="24"/>
          <w:szCs w:val="24"/>
        </w:rPr>
        <w:t>, humeral fractures in males:</w:t>
      </w:r>
      <w:r w:rsidR="00A2487A" w:rsidRPr="00A2487A">
        <w:t xml:space="preserve"> </w:t>
      </w:r>
      <w:r w:rsidR="00A2487A">
        <w:rPr>
          <w:i/>
          <w:sz w:val="24"/>
          <w:szCs w:val="24"/>
        </w:rPr>
        <w:t>p</w:t>
      </w:r>
      <w:r w:rsidR="00A2487A">
        <w:rPr>
          <w:sz w:val="24"/>
          <w:szCs w:val="24"/>
        </w:rPr>
        <w:t>=</w:t>
      </w:r>
      <w:r w:rsidR="00A2487A" w:rsidRPr="00A2487A">
        <w:rPr>
          <w:sz w:val="24"/>
          <w:szCs w:val="24"/>
        </w:rPr>
        <w:t>0.515</w:t>
      </w:r>
      <w:r w:rsidR="00871B7F">
        <w:rPr>
          <w:sz w:val="24"/>
          <w:szCs w:val="24"/>
        </w:rPr>
        <w:t>,</w:t>
      </w:r>
      <w:r w:rsidR="00A2487A">
        <w:rPr>
          <w:sz w:val="24"/>
          <w:szCs w:val="24"/>
        </w:rPr>
        <w:t xml:space="preserve"> and clavicular fractures in males:</w:t>
      </w:r>
      <w:r w:rsidR="00A2487A" w:rsidRPr="00A2487A">
        <w:t xml:space="preserve"> </w:t>
      </w:r>
      <w:r w:rsidR="00A2487A" w:rsidRPr="00A2487A">
        <w:rPr>
          <w:i/>
          <w:sz w:val="24"/>
          <w:szCs w:val="24"/>
        </w:rPr>
        <w:t>p</w:t>
      </w:r>
      <w:r w:rsidR="00A2487A">
        <w:rPr>
          <w:sz w:val="24"/>
          <w:szCs w:val="24"/>
        </w:rPr>
        <w:t>=</w:t>
      </w:r>
      <w:r w:rsidR="00A2487A" w:rsidRPr="00A2487A">
        <w:rPr>
          <w:sz w:val="24"/>
          <w:szCs w:val="24"/>
        </w:rPr>
        <w:t>0.483</w:t>
      </w:r>
      <w:r w:rsidR="00A2487A">
        <w:rPr>
          <w:sz w:val="24"/>
          <w:szCs w:val="24"/>
        </w:rPr>
        <w:t xml:space="preserve">). </w:t>
      </w:r>
    </w:p>
    <w:p w:rsidR="00CF72E2" w:rsidRDefault="00EC01F8" w:rsidP="003B5900">
      <w:pPr>
        <w:pStyle w:val="Heading2"/>
        <w:spacing w:line="360" w:lineRule="auto"/>
        <w:ind w:left="1080"/>
        <w:jc w:val="both"/>
        <w:rPr>
          <w:rFonts w:asciiTheme="minorHAnsi" w:hAnsiTheme="minorHAnsi"/>
          <w:b w:val="0"/>
        </w:rPr>
      </w:pPr>
      <w:bookmarkStart w:id="11" w:name="_Toc499046292"/>
      <w:r>
        <w:rPr>
          <w:rFonts w:asciiTheme="minorHAnsi" w:hAnsiTheme="minorHAnsi"/>
          <w:b w:val="0"/>
        </w:rPr>
        <w:lastRenderedPageBreak/>
        <w:t xml:space="preserve">Laterality </w:t>
      </w:r>
      <w:r w:rsidR="00CF72E2">
        <w:rPr>
          <w:rFonts w:asciiTheme="minorHAnsi" w:hAnsiTheme="minorHAnsi"/>
          <w:b w:val="0"/>
        </w:rPr>
        <w:t>and Age</w:t>
      </w:r>
      <w:bookmarkEnd w:id="11"/>
      <w:r w:rsidR="00CF72E2">
        <w:rPr>
          <w:rFonts w:asciiTheme="minorHAnsi" w:hAnsiTheme="minorHAnsi"/>
          <w:b w:val="0"/>
        </w:rPr>
        <w:t xml:space="preserve"> </w:t>
      </w:r>
    </w:p>
    <w:p w:rsidR="007C445C" w:rsidRPr="007C445C" w:rsidRDefault="00745BF3" w:rsidP="003B5900">
      <w:pPr>
        <w:jc w:val="both"/>
        <w:rPr>
          <w:sz w:val="24"/>
          <w:szCs w:val="24"/>
        </w:rPr>
      </w:pPr>
      <w:r>
        <w:rPr>
          <w:noProof/>
          <w:lang w:eastAsia="en-GB"/>
        </w:rPr>
        <w:drawing>
          <wp:inline distT="0" distB="0" distL="0" distR="0">
            <wp:extent cx="5509549" cy="2858947"/>
            <wp:effectExtent l="0" t="0" r="15240" b="1778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E5090A" w:rsidRPr="00E5090A">
        <w:rPr>
          <w:sz w:val="18"/>
          <w:szCs w:val="18"/>
        </w:rPr>
        <w:t xml:space="preserve"> </w:t>
      </w:r>
      <w:r w:rsidR="00F41F71">
        <w:rPr>
          <w:sz w:val="18"/>
          <w:szCs w:val="18"/>
        </w:rPr>
        <w:t xml:space="preserve">Figure </w:t>
      </w:r>
      <w:r w:rsidR="00F41F71">
        <w:rPr>
          <w:sz w:val="18"/>
          <w:szCs w:val="18"/>
        </w:rPr>
        <w:t>9</w:t>
      </w:r>
      <w:r w:rsidR="00250FB6" w:rsidRPr="009478BC">
        <w:rPr>
          <w:sz w:val="18"/>
          <w:szCs w:val="18"/>
        </w:rPr>
        <w:t xml:space="preserve">.  </w:t>
      </w:r>
      <w:r w:rsidR="00E5090A" w:rsidRPr="009478BC">
        <w:rPr>
          <w:sz w:val="18"/>
          <w:szCs w:val="18"/>
        </w:rPr>
        <w:t xml:space="preserve"> </w:t>
      </w:r>
      <w:r w:rsidR="00250FB6" w:rsidRPr="009478BC">
        <w:rPr>
          <w:sz w:val="18"/>
          <w:szCs w:val="18"/>
        </w:rPr>
        <w:t>Comparison of the prevalence (%) of the identified diseases</w:t>
      </w:r>
      <w:r w:rsidR="00DA4A5A">
        <w:rPr>
          <w:sz w:val="18"/>
          <w:szCs w:val="18"/>
        </w:rPr>
        <w:t xml:space="preserve"> separated by side between the m</w:t>
      </w:r>
      <w:r w:rsidR="00250FB6" w:rsidRPr="009478BC">
        <w:rPr>
          <w:sz w:val="18"/>
          <w:szCs w:val="18"/>
        </w:rPr>
        <w:t xml:space="preserve">ale and female coffin skeletons aged 20-39.  Authors Own (2017).  </w:t>
      </w:r>
      <w:r w:rsidR="004C0DCA" w:rsidRPr="009478BC">
        <w:rPr>
          <w:sz w:val="18"/>
          <w:szCs w:val="18"/>
        </w:rPr>
        <w:t xml:space="preserve">In the </w:t>
      </w:r>
      <w:r w:rsidR="00735B8E" w:rsidRPr="009478BC">
        <w:rPr>
          <w:sz w:val="18"/>
          <w:szCs w:val="18"/>
        </w:rPr>
        <w:t xml:space="preserve">20-39 </w:t>
      </w:r>
      <w:r w:rsidR="004C0DCA" w:rsidRPr="009478BC">
        <w:rPr>
          <w:sz w:val="18"/>
          <w:szCs w:val="18"/>
        </w:rPr>
        <w:t>age</w:t>
      </w:r>
      <w:r w:rsidR="00735B8E" w:rsidRPr="009478BC">
        <w:rPr>
          <w:sz w:val="18"/>
          <w:szCs w:val="18"/>
        </w:rPr>
        <w:t>-group</w:t>
      </w:r>
      <w:r w:rsidR="004C0DCA" w:rsidRPr="009478BC">
        <w:rPr>
          <w:sz w:val="18"/>
          <w:szCs w:val="18"/>
        </w:rPr>
        <w:t xml:space="preserve"> </w:t>
      </w:r>
      <w:r w:rsidR="007C445C" w:rsidRPr="009478BC">
        <w:rPr>
          <w:sz w:val="18"/>
          <w:szCs w:val="18"/>
        </w:rPr>
        <w:t>GH</w:t>
      </w:r>
      <w:r w:rsidR="00CB2812">
        <w:rPr>
          <w:sz w:val="18"/>
          <w:szCs w:val="18"/>
        </w:rPr>
        <w:t>J</w:t>
      </w:r>
      <w:r w:rsidR="007C445C" w:rsidRPr="009478BC">
        <w:rPr>
          <w:sz w:val="18"/>
          <w:szCs w:val="18"/>
        </w:rPr>
        <w:t xml:space="preserve"> OA </w:t>
      </w:r>
      <w:r w:rsidR="009A555C" w:rsidRPr="009478BC">
        <w:rPr>
          <w:sz w:val="18"/>
          <w:szCs w:val="18"/>
        </w:rPr>
        <w:t>was more prevalent o</w:t>
      </w:r>
      <w:r w:rsidR="007C445C" w:rsidRPr="009478BC">
        <w:rPr>
          <w:sz w:val="18"/>
          <w:szCs w:val="18"/>
        </w:rPr>
        <w:t>n the left side</w:t>
      </w:r>
      <w:r w:rsidR="00DA4A5A" w:rsidRPr="00DA4A5A">
        <w:rPr>
          <w:sz w:val="18"/>
          <w:szCs w:val="18"/>
        </w:rPr>
        <w:t xml:space="preserve"> </w:t>
      </w:r>
      <w:r w:rsidR="00DA4A5A" w:rsidRPr="009478BC">
        <w:rPr>
          <w:sz w:val="18"/>
          <w:szCs w:val="18"/>
        </w:rPr>
        <w:t>in males</w:t>
      </w:r>
      <w:r w:rsidR="007C445C" w:rsidRPr="009478BC">
        <w:rPr>
          <w:sz w:val="18"/>
          <w:szCs w:val="18"/>
        </w:rPr>
        <w:t xml:space="preserve">, </w:t>
      </w:r>
      <w:r w:rsidR="00DA4A5A">
        <w:rPr>
          <w:sz w:val="18"/>
          <w:szCs w:val="18"/>
        </w:rPr>
        <w:t xml:space="preserve">from </w:t>
      </w:r>
      <w:r w:rsidR="007C445C" w:rsidRPr="009478BC">
        <w:rPr>
          <w:sz w:val="18"/>
          <w:szCs w:val="18"/>
        </w:rPr>
        <w:t>21%</w:t>
      </w:r>
      <w:r w:rsidR="00DA4A5A">
        <w:rPr>
          <w:sz w:val="18"/>
          <w:szCs w:val="18"/>
        </w:rPr>
        <w:t xml:space="preserve"> on the left to </w:t>
      </w:r>
      <w:r w:rsidR="007C445C" w:rsidRPr="009478BC">
        <w:rPr>
          <w:sz w:val="18"/>
          <w:szCs w:val="18"/>
        </w:rPr>
        <w:t>16%</w:t>
      </w:r>
      <w:r w:rsidR="00DA4A5A">
        <w:rPr>
          <w:sz w:val="18"/>
          <w:szCs w:val="18"/>
        </w:rPr>
        <w:t xml:space="preserve"> on the right</w:t>
      </w:r>
      <w:r w:rsidR="007C445C" w:rsidRPr="009478BC">
        <w:rPr>
          <w:sz w:val="18"/>
          <w:szCs w:val="18"/>
        </w:rPr>
        <w:t xml:space="preserve">, </w:t>
      </w:r>
      <w:r w:rsidR="009A555C" w:rsidRPr="009478BC">
        <w:rPr>
          <w:sz w:val="18"/>
          <w:szCs w:val="18"/>
        </w:rPr>
        <w:t>and</w:t>
      </w:r>
      <w:r w:rsidR="007C445C" w:rsidRPr="009478BC">
        <w:rPr>
          <w:sz w:val="18"/>
          <w:szCs w:val="18"/>
        </w:rPr>
        <w:t xml:space="preserve"> </w:t>
      </w:r>
      <w:r w:rsidR="00DA4A5A">
        <w:rPr>
          <w:sz w:val="18"/>
          <w:szCs w:val="18"/>
        </w:rPr>
        <w:t xml:space="preserve">in </w:t>
      </w:r>
      <w:r w:rsidR="007C445C" w:rsidRPr="009478BC">
        <w:rPr>
          <w:sz w:val="18"/>
          <w:szCs w:val="18"/>
        </w:rPr>
        <w:t xml:space="preserve">females, from 7% </w:t>
      </w:r>
      <w:r w:rsidR="00DA4A5A">
        <w:rPr>
          <w:sz w:val="18"/>
          <w:szCs w:val="18"/>
        </w:rPr>
        <w:t xml:space="preserve">on the left </w:t>
      </w:r>
      <w:r w:rsidR="007C445C" w:rsidRPr="009478BC">
        <w:rPr>
          <w:sz w:val="18"/>
          <w:szCs w:val="18"/>
        </w:rPr>
        <w:t>to 6%</w:t>
      </w:r>
      <w:r w:rsidR="00DA4A5A">
        <w:rPr>
          <w:sz w:val="18"/>
          <w:szCs w:val="18"/>
        </w:rPr>
        <w:t xml:space="preserve"> on the right.</w:t>
      </w:r>
      <w:r w:rsidR="007C445C" w:rsidRPr="009478BC">
        <w:rPr>
          <w:sz w:val="18"/>
          <w:szCs w:val="18"/>
        </w:rPr>
        <w:t xml:space="preserve"> </w:t>
      </w:r>
      <w:r w:rsidR="00AA1E89">
        <w:rPr>
          <w:sz w:val="18"/>
          <w:szCs w:val="18"/>
        </w:rPr>
        <w:t xml:space="preserve"> This was also seen for </w:t>
      </w:r>
      <w:r w:rsidR="007C445C" w:rsidRPr="009478BC">
        <w:rPr>
          <w:sz w:val="18"/>
          <w:szCs w:val="18"/>
        </w:rPr>
        <w:t xml:space="preserve">impingement, occurring at 11% on the left in comparison to 5% on the right.  ACJ OA is conversely higher on the right side in males, 35%, than the left side, 24%, and </w:t>
      </w:r>
      <w:r w:rsidR="00AA1E89">
        <w:rPr>
          <w:sz w:val="18"/>
          <w:szCs w:val="18"/>
        </w:rPr>
        <w:t xml:space="preserve">is </w:t>
      </w:r>
      <w:r w:rsidR="007C445C" w:rsidRPr="009478BC">
        <w:rPr>
          <w:sz w:val="18"/>
          <w:szCs w:val="18"/>
        </w:rPr>
        <w:t>significantly higher on the right in females, 21%, in comparison to</w:t>
      </w:r>
      <w:r w:rsidR="004C0DCA" w:rsidRPr="009478BC">
        <w:rPr>
          <w:sz w:val="18"/>
          <w:szCs w:val="18"/>
        </w:rPr>
        <w:t xml:space="preserve"> the left,</w:t>
      </w:r>
      <w:r w:rsidR="007C445C" w:rsidRPr="009478BC">
        <w:rPr>
          <w:sz w:val="18"/>
          <w:szCs w:val="18"/>
        </w:rPr>
        <w:t xml:space="preserve"> 8%.  RCD is also higher on the right, 16% than the left, 11% in males, and was present at 6% on the left side in females, but not present on the right. </w:t>
      </w:r>
      <w:r w:rsidR="00AA1E89">
        <w:rPr>
          <w:sz w:val="18"/>
          <w:szCs w:val="18"/>
        </w:rPr>
        <w:t xml:space="preserve"> </w:t>
      </w:r>
      <w:r w:rsidR="004C0DCA" w:rsidRPr="009478BC">
        <w:rPr>
          <w:sz w:val="18"/>
          <w:szCs w:val="18"/>
        </w:rPr>
        <w:t>F</w:t>
      </w:r>
      <w:r w:rsidR="007C445C" w:rsidRPr="009478BC">
        <w:rPr>
          <w:sz w:val="18"/>
          <w:szCs w:val="18"/>
        </w:rPr>
        <w:t xml:space="preserve">ractures were only seen on the left </w:t>
      </w:r>
      <w:r w:rsidR="00AA1E89">
        <w:rPr>
          <w:sz w:val="18"/>
          <w:szCs w:val="18"/>
        </w:rPr>
        <w:t xml:space="preserve">side in the males.  </w:t>
      </w:r>
      <w:r w:rsidR="007C445C">
        <w:rPr>
          <w:sz w:val="24"/>
          <w:szCs w:val="24"/>
        </w:rPr>
        <w:t xml:space="preserve"> </w:t>
      </w:r>
    </w:p>
    <w:p w:rsidR="00E5090A" w:rsidRDefault="00C65458" w:rsidP="003B5900">
      <w:pPr>
        <w:spacing w:line="240" w:lineRule="auto"/>
        <w:jc w:val="both"/>
        <w:rPr>
          <w:sz w:val="18"/>
          <w:szCs w:val="18"/>
        </w:rPr>
      </w:pPr>
      <w:r>
        <w:rPr>
          <w:noProof/>
          <w:lang w:eastAsia="en-GB"/>
        </w:rPr>
        <w:drawing>
          <wp:inline distT="0" distB="0" distL="0" distR="0">
            <wp:extent cx="5382227" cy="3159888"/>
            <wp:effectExtent l="0" t="0" r="9525" b="2159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E5090A" w:rsidRPr="00E5090A">
        <w:rPr>
          <w:sz w:val="18"/>
          <w:szCs w:val="18"/>
        </w:rPr>
        <w:t xml:space="preserve"> </w:t>
      </w:r>
    </w:p>
    <w:p w:rsidR="00087671" w:rsidRPr="009478BC" w:rsidRDefault="00F41F71" w:rsidP="003B5900">
      <w:pPr>
        <w:spacing w:line="240" w:lineRule="auto"/>
        <w:jc w:val="both"/>
        <w:rPr>
          <w:sz w:val="18"/>
          <w:szCs w:val="18"/>
        </w:rPr>
      </w:pPr>
      <w:r>
        <w:rPr>
          <w:sz w:val="18"/>
          <w:szCs w:val="18"/>
        </w:rPr>
        <w:t xml:space="preserve">Figure </w:t>
      </w:r>
      <w:r>
        <w:rPr>
          <w:sz w:val="18"/>
          <w:szCs w:val="18"/>
        </w:rPr>
        <w:t>10</w:t>
      </w:r>
      <w:r w:rsidR="00250FB6" w:rsidRPr="009478BC">
        <w:rPr>
          <w:sz w:val="18"/>
          <w:szCs w:val="18"/>
        </w:rPr>
        <w:t xml:space="preserve">.   Comparison of the prevalence (%) of the identified diseases </w:t>
      </w:r>
      <w:r w:rsidR="00250FB6" w:rsidRPr="00AD22CB">
        <w:rPr>
          <w:sz w:val="18"/>
          <w:szCs w:val="18"/>
        </w:rPr>
        <w:t xml:space="preserve">separated by side between the </w:t>
      </w:r>
      <w:r w:rsidR="00145EF4" w:rsidRPr="00AD22CB">
        <w:rPr>
          <w:sz w:val="18"/>
          <w:szCs w:val="18"/>
        </w:rPr>
        <w:t>m</w:t>
      </w:r>
      <w:r w:rsidR="00250FB6" w:rsidRPr="00AD22CB">
        <w:rPr>
          <w:sz w:val="18"/>
          <w:szCs w:val="18"/>
        </w:rPr>
        <w:t xml:space="preserve">ale and female coffin skeletons aged 40+.  Authors Own (2017).  </w:t>
      </w:r>
      <w:r w:rsidR="009E5001" w:rsidRPr="00AD22CB">
        <w:rPr>
          <w:sz w:val="18"/>
          <w:szCs w:val="18"/>
        </w:rPr>
        <w:t xml:space="preserve">In the 40+ group, </w:t>
      </w:r>
      <w:r w:rsidR="00087671" w:rsidRPr="00AD22CB">
        <w:rPr>
          <w:sz w:val="18"/>
          <w:szCs w:val="18"/>
        </w:rPr>
        <w:t>GH</w:t>
      </w:r>
      <w:r w:rsidR="00CB2812" w:rsidRPr="00AD22CB">
        <w:rPr>
          <w:sz w:val="18"/>
          <w:szCs w:val="18"/>
        </w:rPr>
        <w:t>J</w:t>
      </w:r>
      <w:r w:rsidR="00087671" w:rsidRPr="00AD22CB">
        <w:rPr>
          <w:sz w:val="18"/>
          <w:szCs w:val="18"/>
        </w:rPr>
        <w:t xml:space="preserve"> OA </w:t>
      </w:r>
      <w:r w:rsidR="004C0DCA" w:rsidRPr="00AD22CB">
        <w:rPr>
          <w:sz w:val="18"/>
          <w:szCs w:val="18"/>
        </w:rPr>
        <w:t xml:space="preserve">prevalence </w:t>
      </w:r>
      <w:r w:rsidR="00087671" w:rsidRPr="00AD22CB">
        <w:rPr>
          <w:sz w:val="18"/>
          <w:szCs w:val="18"/>
        </w:rPr>
        <w:t xml:space="preserve">was similar </w:t>
      </w:r>
      <w:r w:rsidR="004C0DCA" w:rsidRPr="00AD22CB">
        <w:rPr>
          <w:sz w:val="18"/>
          <w:szCs w:val="18"/>
        </w:rPr>
        <w:t>laterally between males</w:t>
      </w:r>
      <w:r w:rsidR="00087671" w:rsidRPr="00AD22CB">
        <w:rPr>
          <w:sz w:val="18"/>
          <w:szCs w:val="18"/>
        </w:rPr>
        <w:t xml:space="preserve"> </w:t>
      </w:r>
      <w:r w:rsidR="004C0DCA" w:rsidRPr="00AD22CB">
        <w:rPr>
          <w:sz w:val="18"/>
          <w:szCs w:val="18"/>
        </w:rPr>
        <w:t>aged 40+</w:t>
      </w:r>
      <w:r w:rsidR="00087671" w:rsidRPr="00AD22CB">
        <w:rPr>
          <w:sz w:val="18"/>
          <w:szCs w:val="18"/>
        </w:rPr>
        <w:t xml:space="preserve">, with the left side 58% and the right side 56%.  This is </w:t>
      </w:r>
      <w:r w:rsidR="005F37D0" w:rsidRPr="00AD22CB">
        <w:rPr>
          <w:sz w:val="18"/>
          <w:szCs w:val="18"/>
        </w:rPr>
        <w:t>alike</w:t>
      </w:r>
      <w:r w:rsidR="00087671" w:rsidRPr="00AD22CB">
        <w:rPr>
          <w:sz w:val="18"/>
          <w:szCs w:val="18"/>
        </w:rPr>
        <w:t xml:space="preserve"> to the male rates of ACJ OA, 67% on the left and 63% on the right</w:t>
      </w:r>
      <w:r w:rsidR="004C0DCA" w:rsidRPr="00AD22CB">
        <w:rPr>
          <w:sz w:val="18"/>
          <w:szCs w:val="18"/>
        </w:rPr>
        <w:t>,</w:t>
      </w:r>
      <w:r w:rsidR="00087671" w:rsidRPr="00AD22CB">
        <w:rPr>
          <w:sz w:val="18"/>
          <w:szCs w:val="18"/>
        </w:rPr>
        <w:t xml:space="preserve"> and the RCD rates, 26% on the left an</w:t>
      </w:r>
      <w:r w:rsidR="004C0DCA" w:rsidRPr="00AD22CB">
        <w:rPr>
          <w:sz w:val="18"/>
          <w:szCs w:val="18"/>
        </w:rPr>
        <w:t>d</w:t>
      </w:r>
      <w:r w:rsidR="00087671" w:rsidRPr="00AD22CB">
        <w:rPr>
          <w:sz w:val="18"/>
          <w:szCs w:val="18"/>
        </w:rPr>
        <w:t xml:space="preserve"> 28% on the right.  Conversely, </w:t>
      </w:r>
      <w:r w:rsidR="004C0DCA" w:rsidRPr="00AD22CB">
        <w:rPr>
          <w:sz w:val="18"/>
          <w:szCs w:val="18"/>
        </w:rPr>
        <w:t xml:space="preserve">in females </w:t>
      </w:r>
      <w:r w:rsidR="00087671" w:rsidRPr="00AD22CB">
        <w:rPr>
          <w:sz w:val="18"/>
          <w:szCs w:val="18"/>
        </w:rPr>
        <w:t xml:space="preserve">the rate of GH OA was </w:t>
      </w:r>
      <w:r w:rsidR="00145EF4" w:rsidRPr="00AD22CB">
        <w:rPr>
          <w:sz w:val="18"/>
          <w:szCs w:val="18"/>
        </w:rPr>
        <w:t>greater</w:t>
      </w:r>
      <w:r w:rsidR="00087671" w:rsidRPr="00AD22CB">
        <w:rPr>
          <w:sz w:val="18"/>
          <w:szCs w:val="18"/>
        </w:rPr>
        <w:t xml:space="preserve"> on the right, 21%</w:t>
      </w:r>
      <w:r w:rsidR="00145EF4" w:rsidRPr="00AD22CB">
        <w:rPr>
          <w:sz w:val="18"/>
          <w:szCs w:val="18"/>
        </w:rPr>
        <w:t>,</w:t>
      </w:r>
      <w:r w:rsidR="00087671" w:rsidRPr="00AD22CB">
        <w:rPr>
          <w:sz w:val="18"/>
          <w:szCs w:val="18"/>
        </w:rPr>
        <w:t xml:space="preserve"> than the left, 14%, whilst the rate of ACJ OA was 29</w:t>
      </w:r>
      <w:r w:rsidR="00087671" w:rsidRPr="009478BC">
        <w:rPr>
          <w:sz w:val="18"/>
          <w:szCs w:val="18"/>
        </w:rPr>
        <w:t>% on the left and 21% on the right.  Lastly, the rate of RCD was 7% on the left and 14%</w:t>
      </w:r>
      <w:r w:rsidR="004C0DCA" w:rsidRPr="009478BC">
        <w:rPr>
          <w:sz w:val="18"/>
          <w:szCs w:val="18"/>
        </w:rPr>
        <w:t xml:space="preserve"> on the right</w:t>
      </w:r>
      <w:r w:rsidR="00087671" w:rsidRPr="009478BC">
        <w:rPr>
          <w:sz w:val="18"/>
          <w:szCs w:val="18"/>
        </w:rPr>
        <w:t xml:space="preserve">. </w:t>
      </w:r>
      <w:r w:rsidR="00CA65E3" w:rsidRPr="009478BC">
        <w:rPr>
          <w:sz w:val="18"/>
          <w:szCs w:val="18"/>
        </w:rPr>
        <w:t xml:space="preserve"> </w:t>
      </w:r>
      <w:r w:rsidR="00087671" w:rsidRPr="009478BC">
        <w:rPr>
          <w:sz w:val="18"/>
          <w:szCs w:val="18"/>
        </w:rPr>
        <w:t xml:space="preserve">Impingement was </w:t>
      </w:r>
      <w:r w:rsidR="004C0DCA" w:rsidRPr="009478BC">
        <w:rPr>
          <w:sz w:val="18"/>
          <w:szCs w:val="18"/>
        </w:rPr>
        <w:t>again prevalent</w:t>
      </w:r>
      <w:r w:rsidR="00D509FA">
        <w:rPr>
          <w:sz w:val="18"/>
          <w:szCs w:val="18"/>
        </w:rPr>
        <w:t xml:space="preserve"> on the</w:t>
      </w:r>
      <w:r w:rsidR="00087671" w:rsidRPr="009478BC">
        <w:rPr>
          <w:sz w:val="18"/>
          <w:szCs w:val="18"/>
        </w:rPr>
        <w:t xml:space="preserve"> right side</w:t>
      </w:r>
      <w:r w:rsidR="00D509FA">
        <w:rPr>
          <w:sz w:val="18"/>
          <w:szCs w:val="18"/>
        </w:rPr>
        <w:t xml:space="preserve"> in males, but not o</w:t>
      </w:r>
      <w:r w:rsidR="00087671" w:rsidRPr="009478BC">
        <w:rPr>
          <w:sz w:val="18"/>
          <w:szCs w:val="18"/>
        </w:rPr>
        <w:t xml:space="preserve">n the left side or </w:t>
      </w:r>
      <w:r w:rsidR="00AA1E89">
        <w:rPr>
          <w:sz w:val="18"/>
          <w:szCs w:val="18"/>
        </w:rPr>
        <w:t xml:space="preserve">in </w:t>
      </w:r>
      <w:r w:rsidR="00087671" w:rsidRPr="009478BC">
        <w:rPr>
          <w:sz w:val="18"/>
          <w:szCs w:val="18"/>
        </w:rPr>
        <w:t>female</w:t>
      </w:r>
      <w:r w:rsidR="00AA1E89">
        <w:rPr>
          <w:sz w:val="18"/>
          <w:szCs w:val="18"/>
        </w:rPr>
        <w:t>s</w:t>
      </w:r>
      <w:r w:rsidR="00087671" w:rsidRPr="009478BC">
        <w:rPr>
          <w:sz w:val="18"/>
          <w:szCs w:val="18"/>
        </w:rPr>
        <w:t xml:space="preserve">. </w:t>
      </w:r>
    </w:p>
    <w:p w:rsidR="00BA0CD0" w:rsidRDefault="00EF7191" w:rsidP="003B5900">
      <w:pPr>
        <w:spacing w:line="360" w:lineRule="auto"/>
        <w:jc w:val="both"/>
        <w:rPr>
          <w:sz w:val="24"/>
          <w:szCs w:val="24"/>
        </w:rPr>
      </w:pPr>
      <w:r>
        <w:rPr>
          <w:sz w:val="24"/>
          <w:szCs w:val="24"/>
        </w:rPr>
        <w:lastRenderedPageBreak/>
        <w:t>GH</w:t>
      </w:r>
      <w:r w:rsidR="00CB2812">
        <w:rPr>
          <w:sz w:val="24"/>
          <w:szCs w:val="24"/>
        </w:rPr>
        <w:t>J</w:t>
      </w:r>
      <w:r>
        <w:rPr>
          <w:sz w:val="24"/>
          <w:szCs w:val="24"/>
        </w:rPr>
        <w:t xml:space="preserve"> </w:t>
      </w:r>
      <w:r w:rsidR="00735B8E">
        <w:rPr>
          <w:sz w:val="24"/>
          <w:szCs w:val="24"/>
        </w:rPr>
        <w:t xml:space="preserve">OA </w:t>
      </w:r>
      <w:r w:rsidR="00AA1E89">
        <w:rPr>
          <w:sz w:val="24"/>
          <w:szCs w:val="24"/>
        </w:rPr>
        <w:t>was</w:t>
      </w:r>
      <w:r w:rsidR="00C63D5A">
        <w:rPr>
          <w:sz w:val="24"/>
          <w:szCs w:val="24"/>
        </w:rPr>
        <w:t xml:space="preserve"> statistically significant on the left </w:t>
      </w:r>
      <w:r w:rsidR="009E5001">
        <w:rPr>
          <w:sz w:val="24"/>
          <w:szCs w:val="24"/>
        </w:rPr>
        <w:t>(</w:t>
      </w:r>
      <w:r w:rsidR="009E5001">
        <w:rPr>
          <w:i/>
          <w:sz w:val="24"/>
          <w:szCs w:val="24"/>
        </w:rPr>
        <w:t>X</w:t>
      </w:r>
      <w:r w:rsidR="009E5001">
        <w:rPr>
          <w:sz w:val="24"/>
          <w:szCs w:val="24"/>
          <w:vertAlign w:val="superscript"/>
        </w:rPr>
        <w:t>2</w:t>
      </w:r>
      <w:r w:rsidR="009E5001">
        <w:rPr>
          <w:sz w:val="24"/>
          <w:szCs w:val="24"/>
        </w:rPr>
        <w:t xml:space="preserve">=4.148, df=1, N=67, </w:t>
      </w:r>
      <w:r w:rsidR="009E5001" w:rsidRPr="00403B48">
        <w:rPr>
          <w:i/>
          <w:sz w:val="24"/>
          <w:szCs w:val="24"/>
        </w:rPr>
        <w:t>p</w:t>
      </w:r>
      <w:r w:rsidR="009E5001" w:rsidRPr="007372BE">
        <w:rPr>
          <w:sz w:val="24"/>
          <w:szCs w:val="24"/>
        </w:rPr>
        <w:t>=0.</w:t>
      </w:r>
      <w:r w:rsidR="009E5001">
        <w:rPr>
          <w:sz w:val="24"/>
          <w:szCs w:val="24"/>
        </w:rPr>
        <w:t xml:space="preserve">053) </w:t>
      </w:r>
      <w:r w:rsidR="00C63D5A">
        <w:rPr>
          <w:sz w:val="24"/>
          <w:szCs w:val="24"/>
        </w:rPr>
        <w:t xml:space="preserve">and right </w:t>
      </w:r>
      <w:r w:rsidR="009E5001">
        <w:rPr>
          <w:sz w:val="24"/>
          <w:szCs w:val="24"/>
        </w:rPr>
        <w:t>(</w:t>
      </w:r>
      <w:r w:rsidR="009E5001">
        <w:rPr>
          <w:i/>
          <w:sz w:val="24"/>
          <w:szCs w:val="24"/>
        </w:rPr>
        <w:t>X</w:t>
      </w:r>
      <w:r w:rsidR="009E5001">
        <w:rPr>
          <w:sz w:val="24"/>
          <w:szCs w:val="24"/>
          <w:vertAlign w:val="superscript"/>
        </w:rPr>
        <w:t>2</w:t>
      </w:r>
      <w:r w:rsidR="009E5001">
        <w:rPr>
          <w:sz w:val="24"/>
          <w:szCs w:val="24"/>
        </w:rPr>
        <w:t xml:space="preserve">=8.888, df=1, N=67, </w:t>
      </w:r>
      <w:r w:rsidR="009E5001" w:rsidRPr="00403B48">
        <w:rPr>
          <w:i/>
          <w:sz w:val="24"/>
          <w:szCs w:val="24"/>
        </w:rPr>
        <w:t>p</w:t>
      </w:r>
      <w:r w:rsidR="009E5001" w:rsidRPr="007372BE">
        <w:rPr>
          <w:sz w:val="24"/>
          <w:szCs w:val="24"/>
        </w:rPr>
        <w:t>=0.</w:t>
      </w:r>
      <w:r w:rsidR="009E5001">
        <w:rPr>
          <w:sz w:val="24"/>
          <w:szCs w:val="24"/>
        </w:rPr>
        <w:t xml:space="preserve">005) </w:t>
      </w:r>
      <w:r w:rsidR="00C63D5A">
        <w:rPr>
          <w:sz w:val="24"/>
          <w:szCs w:val="24"/>
        </w:rPr>
        <w:t xml:space="preserve">sides. </w:t>
      </w:r>
      <w:r w:rsidR="009478BC">
        <w:rPr>
          <w:sz w:val="24"/>
          <w:szCs w:val="24"/>
        </w:rPr>
        <w:t xml:space="preserve"> </w:t>
      </w:r>
      <w:r w:rsidR="00AA1E89">
        <w:rPr>
          <w:sz w:val="24"/>
          <w:szCs w:val="24"/>
        </w:rPr>
        <w:t xml:space="preserve">This is also seen in </w:t>
      </w:r>
      <w:r w:rsidR="009478BC">
        <w:rPr>
          <w:sz w:val="24"/>
          <w:szCs w:val="24"/>
        </w:rPr>
        <w:t>ACJ OA</w:t>
      </w:r>
      <w:r w:rsidR="00AA1E89">
        <w:rPr>
          <w:sz w:val="24"/>
          <w:szCs w:val="24"/>
        </w:rPr>
        <w:t>, which was</w:t>
      </w:r>
      <w:r w:rsidR="00C63D5A">
        <w:rPr>
          <w:sz w:val="24"/>
          <w:szCs w:val="24"/>
        </w:rPr>
        <w:t xml:space="preserve"> more significant on the right side (</w:t>
      </w:r>
      <w:r w:rsidR="00C63D5A">
        <w:rPr>
          <w:i/>
          <w:sz w:val="24"/>
          <w:szCs w:val="24"/>
        </w:rPr>
        <w:t>X</w:t>
      </w:r>
      <w:r w:rsidR="00C63D5A">
        <w:rPr>
          <w:sz w:val="24"/>
          <w:szCs w:val="24"/>
          <w:vertAlign w:val="superscript"/>
        </w:rPr>
        <w:t>2</w:t>
      </w:r>
      <w:r w:rsidR="00C63D5A">
        <w:rPr>
          <w:sz w:val="24"/>
          <w:szCs w:val="24"/>
        </w:rPr>
        <w:t xml:space="preserve">=8.888, df=1, N=67, </w:t>
      </w:r>
      <w:r w:rsidR="00C63D5A" w:rsidRPr="00403B48">
        <w:rPr>
          <w:i/>
          <w:sz w:val="24"/>
          <w:szCs w:val="24"/>
        </w:rPr>
        <w:t>p</w:t>
      </w:r>
      <w:r w:rsidR="00C63D5A" w:rsidRPr="007372BE">
        <w:rPr>
          <w:sz w:val="24"/>
          <w:szCs w:val="24"/>
        </w:rPr>
        <w:t>=0.</w:t>
      </w:r>
      <w:r w:rsidR="00C63D5A">
        <w:rPr>
          <w:sz w:val="24"/>
          <w:szCs w:val="24"/>
        </w:rPr>
        <w:t xml:space="preserve">005) than the left </w:t>
      </w:r>
      <w:r w:rsidR="006B5DC3">
        <w:rPr>
          <w:sz w:val="24"/>
          <w:szCs w:val="24"/>
        </w:rPr>
        <w:t>(</w:t>
      </w:r>
      <w:r w:rsidR="006B5DC3">
        <w:rPr>
          <w:i/>
          <w:sz w:val="24"/>
          <w:szCs w:val="24"/>
        </w:rPr>
        <w:t>X</w:t>
      </w:r>
      <w:r w:rsidR="006B5DC3">
        <w:rPr>
          <w:sz w:val="24"/>
          <w:szCs w:val="24"/>
          <w:vertAlign w:val="superscript"/>
        </w:rPr>
        <w:t>2</w:t>
      </w:r>
      <w:r w:rsidR="006B5DC3">
        <w:rPr>
          <w:sz w:val="24"/>
          <w:szCs w:val="24"/>
        </w:rPr>
        <w:t xml:space="preserve">=7.681, df=1, N=62, </w:t>
      </w:r>
      <w:r w:rsidR="006B5DC3" w:rsidRPr="00403B48">
        <w:rPr>
          <w:i/>
          <w:sz w:val="24"/>
          <w:szCs w:val="24"/>
        </w:rPr>
        <w:t>p</w:t>
      </w:r>
      <w:r w:rsidR="006B5DC3" w:rsidRPr="007372BE">
        <w:rPr>
          <w:sz w:val="24"/>
          <w:szCs w:val="24"/>
        </w:rPr>
        <w:t>=0.</w:t>
      </w:r>
      <w:r w:rsidR="006B5DC3">
        <w:rPr>
          <w:sz w:val="24"/>
          <w:szCs w:val="24"/>
        </w:rPr>
        <w:t xml:space="preserve">007).  RCD </w:t>
      </w:r>
      <w:r w:rsidR="00906225">
        <w:rPr>
          <w:sz w:val="24"/>
          <w:szCs w:val="24"/>
        </w:rPr>
        <w:t>was not s</w:t>
      </w:r>
      <w:r w:rsidR="00C63D5A">
        <w:rPr>
          <w:sz w:val="24"/>
          <w:szCs w:val="24"/>
        </w:rPr>
        <w:t>ignificant</w:t>
      </w:r>
      <w:r w:rsidR="0091348C" w:rsidRPr="0091348C">
        <w:rPr>
          <w:sz w:val="24"/>
          <w:szCs w:val="24"/>
        </w:rPr>
        <w:t xml:space="preserve"> </w:t>
      </w:r>
      <w:r w:rsidR="0091348C">
        <w:rPr>
          <w:sz w:val="24"/>
          <w:szCs w:val="24"/>
        </w:rPr>
        <w:t>on the left</w:t>
      </w:r>
      <w:r w:rsidR="00C63D5A">
        <w:rPr>
          <w:sz w:val="24"/>
          <w:szCs w:val="24"/>
        </w:rPr>
        <w:t xml:space="preserve"> </w:t>
      </w:r>
      <w:r w:rsidR="0091348C">
        <w:rPr>
          <w:sz w:val="24"/>
          <w:szCs w:val="24"/>
        </w:rPr>
        <w:t>(</w:t>
      </w:r>
      <w:r w:rsidR="0091348C" w:rsidRPr="00C63D5A">
        <w:rPr>
          <w:i/>
          <w:sz w:val="24"/>
          <w:szCs w:val="24"/>
        </w:rPr>
        <w:t>p</w:t>
      </w:r>
      <w:r w:rsidR="0091348C">
        <w:rPr>
          <w:sz w:val="24"/>
          <w:szCs w:val="24"/>
        </w:rPr>
        <w:t xml:space="preserve">=0.299) </w:t>
      </w:r>
      <w:r w:rsidR="00802494">
        <w:rPr>
          <w:sz w:val="24"/>
          <w:szCs w:val="24"/>
        </w:rPr>
        <w:t>or</w:t>
      </w:r>
      <w:r w:rsidR="0091348C">
        <w:rPr>
          <w:sz w:val="24"/>
          <w:szCs w:val="24"/>
        </w:rPr>
        <w:t xml:space="preserve"> the right </w:t>
      </w:r>
      <w:r w:rsidR="009E5001">
        <w:rPr>
          <w:sz w:val="24"/>
          <w:szCs w:val="24"/>
        </w:rPr>
        <w:t>(</w:t>
      </w:r>
      <w:r w:rsidR="009E5001">
        <w:rPr>
          <w:i/>
          <w:sz w:val="24"/>
          <w:szCs w:val="24"/>
        </w:rPr>
        <w:t>X</w:t>
      </w:r>
      <w:r w:rsidR="009E5001">
        <w:rPr>
          <w:sz w:val="24"/>
          <w:szCs w:val="24"/>
          <w:vertAlign w:val="superscript"/>
        </w:rPr>
        <w:t>2</w:t>
      </w:r>
      <w:r w:rsidR="009E5001">
        <w:rPr>
          <w:sz w:val="24"/>
          <w:szCs w:val="24"/>
        </w:rPr>
        <w:t xml:space="preserve">=1.919, df=1, N=68, </w:t>
      </w:r>
      <w:r w:rsidR="009E5001" w:rsidRPr="00403B48">
        <w:rPr>
          <w:i/>
          <w:sz w:val="24"/>
          <w:szCs w:val="24"/>
        </w:rPr>
        <w:t>p</w:t>
      </w:r>
      <w:r w:rsidR="009E5001" w:rsidRPr="007372BE">
        <w:rPr>
          <w:sz w:val="24"/>
          <w:szCs w:val="24"/>
        </w:rPr>
        <w:t>=0.</w:t>
      </w:r>
      <w:r w:rsidR="009E5001">
        <w:rPr>
          <w:sz w:val="24"/>
          <w:szCs w:val="24"/>
        </w:rPr>
        <w:t>166)</w:t>
      </w:r>
      <w:r w:rsidR="00C63D5A">
        <w:rPr>
          <w:sz w:val="24"/>
          <w:szCs w:val="24"/>
        </w:rPr>
        <w:t xml:space="preserve">, </w:t>
      </w:r>
      <w:r w:rsidR="00AA1E89">
        <w:rPr>
          <w:sz w:val="24"/>
          <w:szCs w:val="24"/>
        </w:rPr>
        <w:t xml:space="preserve">and </w:t>
      </w:r>
      <w:r w:rsidR="00C63D5A">
        <w:rPr>
          <w:sz w:val="24"/>
          <w:szCs w:val="24"/>
        </w:rPr>
        <w:t>expected values were &lt;</w:t>
      </w:r>
      <w:r w:rsidR="006B5DC3">
        <w:rPr>
          <w:sz w:val="24"/>
          <w:szCs w:val="24"/>
        </w:rPr>
        <w:t>5</w:t>
      </w:r>
      <w:r w:rsidR="009E5001">
        <w:rPr>
          <w:sz w:val="24"/>
          <w:szCs w:val="24"/>
        </w:rPr>
        <w:t xml:space="preserve"> on the left side</w:t>
      </w:r>
      <w:r w:rsidR="006B5DC3">
        <w:rPr>
          <w:sz w:val="24"/>
          <w:szCs w:val="24"/>
        </w:rPr>
        <w:t>.</w:t>
      </w:r>
      <w:r w:rsidR="00CA65E3">
        <w:rPr>
          <w:sz w:val="24"/>
          <w:szCs w:val="24"/>
        </w:rPr>
        <w:t xml:space="preserve"> </w:t>
      </w:r>
      <w:r w:rsidR="009E5001">
        <w:rPr>
          <w:sz w:val="24"/>
          <w:szCs w:val="24"/>
        </w:rPr>
        <w:t xml:space="preserve"> </w:t>
      </w:r>
      <w:r w:rsidR="00C63D5A">
        <w:rPr>
          <w:sz w:val="24"/>
          <w:szCs w:val="24"/>
        </w:rPr>
        <w:t>Both le</w:t>
      </w:r>
      <w:r w:rsidR="00CA65E3">
        <w:rPr>
          <w:sz w:val="24"/>
          <w:szCs w:val="24"/>
        </w:rPr>
        <w:t>ft and right im</w:t>
      </w:r>
      <w:r w:rsidR="00C63D5A">
        <w:rPr>
          <w:sz w:val="24"/>
          <w:szCs w:val="24"/>
        </w:rPr>
        <w:t xml:space="preserve">pingement </w:t>
      </w:r>
      <w:r w:rsidR="00C63D5A" w:rsidRPr="00E0467F">
        <w:rPr>
          <w:sz w:val="24"/>
          <w:szCs w:val="24"/>
        </w:rPr>
        <w:t>created</w:t>
      </w:r>
      <w:r w:rsidR="0091348C">
        <w:rPr>
          <w:sz w:val="24"/>
          <w:szCs w:val="24"/>
        </w:rPr>
        <w:t xml:space="preserve"> </w:t>
      </w:r>
      <w:r w:rsidR="00C63D5A">
        <w:rPr>
          <w:sz w:val="24"/>
          <w:szCs w:val="24"/>
        </w:rPr>
        <w:t>F</w:t>
      </w:r>
      <w:r w:rsidR="00CA65E3">
        <w:rPr>
          <w:sz w:val="24"/>
          <w:szCs w:val="24"/>
        </w:rPr>
        <w:t>isher</w:t>
      </w:r>
      <w:r w:rsidR="00C63D5A">
        <w:rPr>
          <w:sz w:val="24"/>
          <w:szCs w:val="24"/>
        </w:rPr>
        <w:t>’</w:t>
      </w:r>
      <w:r w:rsidR="00CA65E3">
        <w:rPr>
          <w:sz w:val="24"/>
          <w:szCs w:val="24"/>
        </w:rPr>
        <w:t xml:space="preserve">s </w:t>
      </w:r>
      <w:r w:rsidR="00C63D5A">
        <w:rPr>
          <w:sz w:val="24"/>
          <w:szCs w:val="24"/>
        </w:rPr>
        <w:t>Exact Results</w:t>
      </w:r>
      <w:r w:rsidR="0091348C">
        <w:rPr>
          <w:sz w:val="24"/>
          <w:szCs w:val="24"/>
        </w:rPr>
        <w:t xml:space="preserve"> </w:t>
      </w:r>
      <w:r w:rsidR="00906225">
        <w:rPr>
          <w:sz w:val="24"/>
          <w:szCs w:val="24"/>
        </w:rPr>
        <w:t xml:space="preserve">which were not significant </w:t>
      </w:r>
      <w:r w:rsidR="0091348C">
        <w:rPr>
          <w:sz w:val="24"/>
          <w:szCs w:val="24"/>
        </w:rPr>
        <w:t>(</w:t>
      </w:r>
      <w:r w:rsidR="00CA65E3" w:rsidRPr="00C63D5A">
        <w:rPr>
          <w:i/>
          <w:sz w:val="24"/>
          <w:szCs w:val="24"/>
        </w:rPr>
        <w:t>p</w:t>
      </w:r>
      <w:r w:rsidR="00735B8E">
        <w:rPr>
          <w:sz w:val="24"/>
          <w:szCs w:val="24"/>
        </w:rPr>
        <w:t>=1.00</w:t>
      </w:r>
      <w:r w:rsidR="0091348C">
        <w:rPr>
          <w:sz w:val="24"/>
          <w:szCs w:val="24"/>
        </w:rPr>
        <w:t>)</w:t>
      </w:r>
      <w:r w:rsidR="00CA65E3">
        <w:rPr>
          <w:sz w:val="24"/>
          <w:szCs w:val="24"/>
        </w:rPr>
        <w:t xml:space="preserve">. </w:t>
      </w:r>
    </w:p>
    <w:p w:rsidR="00205A92" w:rsidRDefault="00205A92" w:rsidP="003B5900">
      <w:pPr>
        <w:pStyle w:val="Heading2"/>
        <w:spacing w:line="360" w:lineRule="auto"/>
        <w:ind w:left="1080"/>
        <w:jc w:val="both"/>
        <w:rPr>
          <w:rFonts w:asciiTheme="minorHAnsi" w:hAnsiTheme="minorHAnsi"/>
          <w:b w:val="0"/>
        </w:rPr>
      </w:pPr>
      <w:bookmarkStart w:id="12" w:name="_Toc499046293"/>
      <w:r>
        <w:rPr>
          <w:rFonts w:asciiTheme="minorHAnsi" w:hAnsiTheme="minorHAnsi"/>
          <w:b w:val="0"/>
        </w:rPr>
        <w:t>Coffin and Shroud 2c Burials</w:t>
      </w:r>
      <w:bookmarkEnd w:id="12"/>
      <w:r>
        <w:rPr>
          <w:rFonts w:asciiTheme="minorHAnsi" w:hAnsiTheme="minorHAnsi"/>
          <w:b w:val="0"/>
        </w:rPr>
        <w:t xml:space="preserve">  </w:t>
      </w:r>
    </w:p>
    <w:p w:rsidR="003B5F13" w:rsidRDefault="00837B07" w:rsidP="003B5900">
      <w:pPr>
        <w:jc w:val="both"/>
        <w:rPr>
          <w:rFonts w:ascii="Calibri" w:eastAsia="Times New Roman" w:hAnsi="Calibri" w:cs="Calibri"/>
          <w:color w:val="000000"/>
          <w:sz w:val="18"/>
          <w:szCs w:val="18"/>
          <w:lang w:val="en-US"/>
        </w:rPr>
      </w:pPr>
      <w:r>
        <w:rPr>
          <w:noProof/>
          <w:lang w:eastAsia="en-GB"/>
        </w:rPr>
        <w:drawing>
          <wp:inline distT="0" distB="0" distL="0" distR="0">
            <wp:extent cx="5579745" cy="3718600"/>
            <wp:effectExtent l="0" t="0" r="1905" b="15240"/>
            <wp:docPr id="42" name="Chart 42">
              <a:extLst xmlns:a="http://schemas.openxmlformats.org/drawingml/2006/main">
                <a:ext uri="{FF2B5EF4-FFF2-40B4-BE49-F238E27FC236}">
                  <a16:creationId xmlns:ve="http://schemas.openxmlformats.org/markup-compatibility/2006"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DF4C4FD-A039-46CF-900E-87A694207D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F41F71">
        <w:rPr>
          <w:sz w:val="18"/>
          <w:szCs w:val="18"/>
        </w:rPr>
        <w:t xml:space="preserve">Figure </w:t>
      </w:r>
      <w:r w:rsidR="00F41F71">
        <w:rPr>
          <w:sz w:val="18"/>
          <w:szCs w:val="18"/>
        </w:rPr>
        <w:t>11</w:t>
      </w:r>
      <w:r w:rsidR="006B504B">
        <w:rPr>
          <w:sz w:val="18"/>
          <w:szCs w:val="18"/>
        </w:rPr>
        <w:t>.</w:t>
      </w:r>
      <w:r w:rsidR="00250FB6">
        <w:rPr>
          <w:sz w:val="18"/>
          <w:szCs w:val="18"/>
        </w:rPr>
        <w:t xml:space="preserve">  </w:t>
      </w:r>
      <w:r w:rsidR="00250FB6">
        <w:rPr>
          <w:sz w:val="18"/>
          <w:szCs w:val="18"/>
          <w:lang w:val="en-US"/>
        </w:rPr>
        <w:t>Crude c</w:t>
      </w:r>
      <w:r w:rsidR="00250FB6" w:rsidRPr="00250FB6">
        <w:rPr>
          <w:sz w:val="18"/>
          <w:szCs w:val="18"/>
          <w:lang w:val="en-US"/>
        </w:rPr>
        <w:t xml:space="preserve">omparison of the </w:t>
      </w:r>
      <w:r w:rsidR="00250FB6">
        <w:rPr>
          <w:sz w:val="18"/>
          <w:szCs w:val="18"/>
          <w:lang w:val="en-US"/>
        </w:rPr>
        <w:t>p</w:t>
      </w:r>
      <w:r w:rsidR="00250FB6" w:rsidRPr="00250FB6">
        <w:rPr>
          <w:sz w:val="18"/>
          <w:szCs w:val="18"/>
          <w:lang w:val="en-US"/>
        </w:rPr>
        <w:t xml:space="preserve">revalence (%) of </w:t>
      </w:r>
      <w:r w:rsidR="00250FB6">
        <w:rPr>
          <w:sz w:val="18"/>
          <w:szCs w:val="18"/>
          <w:lang w:val="en-US"/>
        </w:rPr>
        <w:t>e</w:t>
      </w:r>
      <w:r w:rsidR="00250FB6" w:rsidRPr="00250FB6">
        <w:rPr>
          <w:sz w:val="18"/>
          <w:szCs w:val="18"/>
          <w:lang w:val="en-US"/>
        </w:rPr>
        <w:t xml:space="preserve">ach </w:t>
      </w:r>
      <w:r w:rsidR="00250FB6">
        <w:rPr>
          <w:sz w:val="18"/>
          <w:szCs w:val="18"/>
          <w:lang w:val="en-US"/>
        </w:rPr>
        <w:t>d</w:t>
      </w:r>
      <w:r w:rsidR="00250FB6" w:rsidRPr="00250FB6">
        <w:rPr>
          <w:sz w:val="18"/>
          <w:szCs w:val="18"/>
          <w:lang w:val="en-US"/>
        </w:rPr>
        <w:t xml:space="preserve">isease between the </w:t>
      </w:r>
      <w:r w:rsidR="00250FB6">
        <w:rPr>
          <w:sz w:val="18"/>
          <w:szCs w:val="18"/>
          <w:lang w:val="en-US"/>
        </w:rPr>
        <w:t>b</w:t>
      </w:r>
      <w:r w:rsidR="00250FB6" w:rsidRPr="00250FB6">
        <w:rPr>
          <w:sz w:val="18"/>
          <w:szCs w:val="18"/>
          <w:lang w:val="en-US"/>
        </w:rPr>
        <w:t xml:space="preserve">urial </w:t>
      </w:r>
      <w:r w:rsidR="00250FB6">
        <w:rPr>
          <w:sz w:val="18"/>
          <w:szCs w:val="18"/>
          <w:lang w:val="en-US"/>
        </w:rPr>
        <w:t>t</w:t>
      </w:r>
      <w:r w:rsidR="00250FB6" w:rsidRPr="00250FB6">
        <w:rPr>
          <w:sz w:val="18"/>
          <w:szCs w:val="18"/>
          <w:lang w:val="en-US"/>
        </w:rPr>
        <w:t>ypes</w:t>
      </w:r>
      <w:r w:rsidR="00250FB6">
        <w:rPr>
          <w:sz w:val="18"/>
          <w:szCs w:val="18"/>
          <w:lang w:val="en-US"/>
        </w:rPr>
        <w:t xml:space="preserve">.  Authors Own (2017). </w:t>
      </w:r>
      <w:r w:rsidR="00250FB6" w:rsidRPr="00250FB6">
        <w:rPr>
          <w:sz w:val="18"/>
          <w:szCs w:val="18"/>
          <w:lang w:val="en-US"/>
        </w:rPr>
        <w:t xml:space="preserve"> </w:t>
      </w:r>
      <w:r w:rsidR="009973C1" w:rsidRPr="008E35AE">
        <w:rPr>
          <w:rFonts w:ascii="Calibri" w:eastAsia="Times New Roman" w:hAnsi="Calibri" w:cs="Calibri"/>
          <w:color w:val="000000"/>
          <w:sz w:val="18"/>
          <w:szCs w:val="18"/>
          <w:lang w:val="en-US"/>
        </w:rPr>
        <w:t>This was not separated by age or sex due to sample size</w:t>
      </w:r>
      <w:r w:rsidR="003B2D3B">
        <w:rPr>
          <w:rFonts w:ascii="Calibri" w:eastAsia="Times New Roman" w:hAnsi="Calibri" w:cs="Calibri"/>
          <w:color w:val="000000"/>
          <w:sz w:val="18"/>
          <w:szCs w:val="18"/>
          <w:lang w:val="en-US"/>
        </w:rPr>
        <w:t xml:space="preserve"> limitations</w:t>
      </w:r>
      <w:r w:rsidR="009973C1" w:rsidRPr="008E35AE">
        <w:rPr>
          <w:rFonts w:ascii="Calibri" w:eastAsia="Times New Roman" w:hAnsi="Calibri" w:cs="Calibri"/>
          <w:color w:val="000000"/>
          <w:sz w:val="18"/>
          <w:szCs w:val="18"/>
          <w:lang w:val="en-US"/>
        </w:rPr>
        <w:t xml:space="preserve">.  </w:t>
      </w:r>
      <w:r w:rsidR="00205A92">
        <w:rPr>
          <w:rFonts w:ascii="Calibri" w:eastAsia="Times New Roman" w:hAnsi="Calibri" w:cs="Calibri"/>
          <w:color w:val="000000"/>
          <w:sz w:val="18"/>
          <w:szCs w:val="18"/>
          <w:lang w:val="en-US"/>
        </w:rPr>
        <w:t xml:space="preserve">Within the coffin data, the </w:t>
      </w:r>
      <w:r w:rsidR="00F442B7">
        <w:rPr>
          <w:rFonts w:ascii="Calibri" w:eastAsia="Times New Roman" w:hAnsi="Calibri" w:cs="Calibri"/>
          <w:color w:val="000000"/>
          <w:sz w:val="18"/>
          <w:szCs w:val="18"/>
          <w:lang w:val="en-US"/>
        </w:rPr>
        <w:t>figure</w:t>
      </w:r>
      <w:r w:rsidR="00205A92">
        <w:rPr>
          <w:rFonts w:ascii="Calibri" w:eastAsia="Times New Roman" w:hAnsi="Calibri" w:cs="Calibri"/>
          <w:color w:val="000000"/>
          <w:sz w:val="18"/>
          <w:szCs w:val="18"/>
          <w:lang w:val="en-US"/>
        </w:rPr>
        <w:t xml:space="preserve"> represents </w:t>
      </w:r>
      <w:r w:rsidR="00AA1E89">
        <w:rPr>
          <w:rFonts w:ascii="Calibri" w:eastAsia="Times New Roman" w:hAnsi="Calibri" w:cs="Calibri"/>
          <w:color w:val="000000"/>
          <w:sz w:val="18"/>
          <w:szCs w:val="18"/>
          <w:lang w:val="en-US"/>
        </w:rPr>
        <w:t xml:space="preserve">23 </w:t>
      </w:r>
      <w:r w:rsidR="009973C1" w:rsidRPr="008E35AE">
        <w:rPr>
          <w:rFonts w:ascii="Calibri" w:eastAsia="Times New Roman" w:hAnsi="Calibri" w:cs="Calibri"/>
          <w:color w:val="000000"/>
          <w:sz w:val="18"/>
          <w:szCs w:val="18"/>
          <w:lang w:val="en-US"/>
        </w:rPr>
        <w:t>G</w:t>
      </w:r>
      <w:r w:rsidR="00AA1E89">
        <w:rPr>
          <w:rFonts w:ascii="Calibri" w:eastAsia="Times New Roman" w:hAnsi="Calibri" w:cs="Calibri"/>
          <w:color w:val="000000"/>
          <w:sz w:val="18"/>
          <w:szCs w:val="18"/>
          <w:lang w:val="en-US"/>
        </w:rPr>
        <w:t>H</w:t>
      </w:r>
      <w:r w:rsidR="00CB2812">
        <w:rPr>
          <w:rFonts w:ascii="Calibri" w:eastAsia="Times New Roman" w:hAnsi="Calibri" w:cs="Calibri"/>
          <w:color w:val="000000"/>
          <w:sz w:val="18"/>
          <w:szCs w:val="18"/>
          <w:lang w:val="en-US"/>
        </w:rPr>
        <w:t>J</w:t>
      </w:r>
      <w:r w:rsidR="009973C1" w:rsidRPr="008E35AE">
        <w:rPr>
          <w:rFonts w:ascii="Calibri" w:eastAsia="Times New Roman" w:hAnsi="Calibri" w:cs="Calibri"/>
          <w:color w:val="000000"/>
          <w:sz w:val="18"/>
          <w:szCs w:val="18"/>
          <w:lang w:val="en-US"/>
        </w:rPr>
        <w:t xml:space="preserve"> OA cases within a sample of 69, 29 ACJ OA cases within a sample of 66, 12 RCD cases within a sample of 69, 3 impingement cases within sample of 38, 1 humeral fracture within a sample of 39 and 1 clavicular fracture within a sample of 37.  In the shroud burials, 4 </w:t>
      </w:r>
      <w:r w:rsidR="00D509FA">
        <w:rPr>
          <w:rFonts w:ascii="Calibri" w:eastAsia="Times New Roman" w:hAnsi="Calibri" w:cs="Calibri"/>
          <w:color w:val="000000"/>
          <w:sz w:val="18"/>
          <w:szCs w:val="18"/>
          <w:lang w:val="en-US"/>
        </w:rPr>
        <w:t xml:space="preserve">skeletons </w:t>
      </w:r>
      <w:r w:rsidR="008E35AE" w:rsidRPr="008E35AE">
        <w:rPr>
          <w:rFonts w:ascii="Calibri" w:eastAsia="Times New Roman" w:hAnsi="Calibri" w:cs="Calibri"/>
          <w:color w:val="000000"/>
          <w:sz w:val="18"/>
          <w:szCs w:val="18"/>
          <w:lang w:val="en-US"/>
        </w:rPr>
        <w:t>exhibited</w:t>
      </w:r>
      <w:r w:rsidR="00AA1E89">
        <w:rPr>
          <w:rFonts w:ascii="Calibri" w:eastAsia="Times New Roman" w:hAnsi="Calibri" w:cs="Calibri"/>
          <w:color w:val="000000"/>
          <w:sz w:val="18"/>
          <w:szCs w:val="18"/>
          <w:lang w:val="en-US"/>
        </w:rPr>
        <w:t xml:space="preserve"> </w:t>
      </w:r>
      <w:r w:rsidR="009973C1" w:rsidRPr="008E35AE">
        <w:rPr>
          <w:rFonts w:ascii="Calibri" w:eastAsia="Times New Roman" w:hAnsi="Calibri" w:cs="Calibri"/>
          <w:color w:val="000000"/>
          <w:sz w:val="18"/>
          <w:szCs w:val="18"/>
          <w:lang w:val="en-US"/>
        </w:rPr>
        <w:t>G</w:t>
      </w:r>
      <w:r w:rsidR="00AA1E89">
        <w:rPr>
          <w:rFonts w:ascii="Calibri" w:eastAsia="Times New Roman" w:hAnsi="Calibri" w:cs="Calibri"/>
          <w:color w:val="000000"/>
          <w:sz w:val="18"/>
          <w:szCs w:val="18"/>
          <w:lang w:val="en-US"/>
        </w:rPr>
        <w:t>H</w:t>
      </w:r>
      <w:r w:rsidR="00CB2812">
        <w:rPr>
          <w:rFonts w:ascii="Calibri" w:eastAsia="Times New Roman" w:hAnsi="Calibri" w:cs="Calibri"/>
          <w:color w:val="000000"/>
          <w:sz w:val="18"/>
          <w:szCs w:val="18"/>
          <w:lang w:val="en-US"/>
        </w:rPr>
        <w:t>J</w:t>
      </w:r>
      <w:r w:rsidR="009973C1" w:rsidRPr="008E35AE">
        <w:rPr>
          <w:rFonts w:ascii="Calibri" w:eastAsia="Times New Roman" w:hAnsi="Calibri" w:cs="Calibri"/>
          <w:color w:val="000000"/>
          <w:sz w:val="18"/>
          <w:szCs w:val="18"/>
          <w:lang w:val="en-US"/>
        </w:rPr>
        <w:t xml:space="preserve"> OA out of 24, 6 exhibited ACJ OA out of 24, 5 </w:t>
      </w:r>
      <w:r w:rsidR="008E35AE" w:rsidRPr="008E35AE">
        <w:rPr>
          <w:rFonts w:ascii="Calibri" w:eastAsia="Times New Roman" w:hAnsi="Calibri" w:cs="Calibri"/>
          <w:color w:val="000000"/>
          <w:sz w:val="18"/>
          <w:szCs w:val="18"/>
          <w:lang w:val="en-US"/>
        </w:rPr>
        <w:t>exhibited</w:t>
      </w:r>
      <w:r w:rsidR="009973C1" w:rsidRPr="008E35AE">
        <w:rPr>
          <w:rFonts w:ascii="Calibri" w:eastAsia="Times New Roman" w:hAnsi="Calibri" w:cs="Calibri"/>
          <w:color w:val="000000"/>
          <w:sz w:val="18"/>
          <w:szCs w:val="18"/>
          <w:lang w:val="en-US"/>
        </w:rPr>
        <w:t xml:space="preserve"> RCD out of 24, 2 </w:t>
      </w:r>
      <w:r w:rsidR="009973C1" w:rsidRPr="00AD22CB">
        <w:rPr>
          <w:rFonts w:ascii="Calibri" w:eastAsia="Times New Roman" w:hAnsi="Calibri" w:cs="Calibri"/>
          <w:color w:val="000000"/>
          <w:sz w:val="18"/>
          <w:szCs w:val="18"/>
          <w:lang w:val="en-US"/>
        </w:rPr>
        <w:t xml:space="preserve">exhibited </w:t>
      </w:r>
      <w:r w:rsidR="008E35AE" w:rsidRPr="00AD22CB">
        <w:rPr>
          <w:rFonts w:ascii="Calibri" w:eastAsia="Times New Roman" w:hAnsi="Calibri" w:cs="Calibri"/>
          <w:color w:val="000000"/>
          <w:sz w:val="18"/>
          <w:szCs w:val="18"/>
          <w:lang w:val="en-US"/>
        </w:rPr>
        <w:t>impingement</w:t>
      </w:r>
      <w:r w:rsidR="00563705" w:rsidRPr="00AD22CB">
        <w:rPr>
          <w:rFonts w:ascii="Calibri" w:eastAsia="Times New Roman" w:hAnsi="Calibri" w:cs="Calibri"/>
          <w:color w:val="000000"/>
          <w:sz w:val="18"/>
          <w:szCs w:val="18"/>
          <w:lang w:val="en-US"/>
        </w:rPr>
        <w:t>s</w:t>
      </w:r>
      <w:r w:rsidR="009973C1" w:rsidRPr="00AD22CB">
        <w:rPr>
          <w:rFonts w:ascii="Calibri" w:eastAsia="Times New Roman" w:hAnsi="Calibri" w:cs="Calibri"/>
          <w:color w:val="000000"/>
          <w:sz w:val="18"/>
          <w:szCs w:val="18"/>
          <w:lang w:val="en-US"/>
        </w:rPr>
        <w:t xml:space="preserve"> </w:t>
      </w:r>
      <w:r w:rsidR="00AD22CB" w:rsidRPr="00AD22CB">
        <w:rPr>
          <w:rFonts w:ascii="Calibri" w:eastAsia="Times New Roman" w:hAnsi="Calibri" w:cs="Calibri"/>
          <w:color w:val="000000"/>
          <w:sz w:val="18"/>
          <w:szCs w:val="18"/>
          <w:lang w:val="en-US"/>
        </w:rPr>
        <w:t xml:space="preserve">out </w:t>
      </w:r>
      <w:r w:rsidR="009973C1" w:rsidRPr="00AD22CB">
        <w:rPr>
          <w:rFonts w:ascii="Calibri" w:eastAsia="Times New Roman" w:hAnsi="Calibri" w:cs="Calibri"/>
          <w:color w:val="000000"/>
          <w:sz w:val="18"/>
          <w:szCs w:val="18"/>
          <w:lang w:val="en-US"/>
        </w:rPr>
        <w:t>of 24 and 1</w:t>
      </w:r>
      <w:r w:rsidR="009973C1" w:rsidRPr="008E35AE">
        <w:rPr>
          <w:rFonts w:ascii="Calibri" w:eastAsia="Times New Roman" w:hAnsi="Calibri" w:cs="Calibri"/>
          <w:color w:val="000000"/>
          <w:sz w:val="18"/>
          <w:szCs w:val="18"/>
          <w:lang w:val="en-US"/>
        </w:rPr>
        <w:t xml:space="preserve"> exhibited humeral </w:t>
      </w:r>
      <w:r w:rsidR="008E35AE" w:rsidRPr="008E35AE">
        <w:rPr>
          <w:rFonts w:ascii="Calibri" w:eastAsia="Times New Roman" w:hAnsi="Calibri" w:cs="Calibri"/>
          <w:color w:val="000000"/>
          <w:sz w:val="18"/>
          <w:szCs w:val="18"/>
          <w:lang w:val="en-US"/>
        </w:rPr>
        <w:t>fractures</w:t>
      </w:r>
      <w:r w:rsidR="009973C1" w:rsidRPr="008E35AE">
        <w:rPr>
          <w:rFonts w:ascii="Calibri" w:eastAsia="Times New Roman" w:hAnsi="Calibri" w:cs="Calibri"/>
          <w:color w:val="000000"/>
          <w:sz w:val="18"/>
          <w:szCs w:val="18"/>
          <w:lang w:val="en-US"/>
        </w:rPr>
        <w:t xml:space="preserve"> out of 24. </w:t>
      </w:r>
      <w:r w:rsidR="003B5F13">
        <w:rPr>
          <w:rFonts w:ascii="Calibri" w:eastAsia="Times New Roman" w:hAnsi="Calibri" w:cs="Calibri"/>
          <w:color w:val="000000"/>
          <w:sz w:val="18"/>
          <w:szCs w:val="18"/>
          <w:lang w:val="en-US"/>
        </w:rPr>
        <w:t xml:space="preserve"> GH</w:t>
      </w:r>
      <w:r w:rsidR="00CB2812">
        <w:rPr>
          <w:rFonts w:ascii="Calibri" w:eastAsia="Times New Roman" w:hAnsi="Calibri" w:cs="Calibri"/>
          <w:color w:val="000000"/>
          <w:sz w:val="18"/>
          <w:szCs w:val="18"/>
          <w:lang w:val="en-US"/>
        </w:rPr>
        <w:t>J</w:t>
      </w:r>
      <w:r w:rsidR="003B5F13">
        <w:rPr>
          <w:rFonts w:ascii="Calibri" w:eastAsia="Times New Roman" w:hAnsi="Calibri" w:cs="Calibri"/>
          <w:color w:val="000000"/>
          <w:sz w:val="18"/>
          <w:szCs w:val="18"/>
          <w:lang w:val="en-US"/>
        </w:rPr>
        <w:t xml:space="preserve"> OA occurred at a 33% prevalence in coffin-buried remains, and at 17% in shroud 2c burials.  ACJ OA occurred at a high rate of 44%, whilst the rate was 25% in the shroud assemblage.  RCD was higher in the shroud burial assemblage, 21%, than the coffin assemblage, 17%, which was also seen in impingement, with the shroud recording a prevalence of 8%, whilst the coffin prevalence was 7%.  In the fractures, </w:t>
      </w:r>
      <w:r w:rsidR="00D509FA">
        <w:rPr>
          <w:rFonts w:ascii="Calibri" w:eastAsia="Times New Roman" w:hAnsi="Calibri" w:cs="Calibri"/>
          <w:color w:val="000000"/>
          <w:sz w:val="18"/>
          <w:szCs w:val="18"/>
          <w:lang w:val="en-US"/>
        </w:rPr>
        <w:t xml:space="preserve">a higher prevalence was </w:t>
      </w:r>
      <w:r w:rsidR="003B5F13">
        <w:rPr>
          <w:rFonts w:ascii="Calibri" w:eastAsia="Times New Roman" w:hAnsi="Calibri" w:cs="Calibri"/>
          <w:color w:val="000000"/>
          <w:sz w:val="18"/>
          <w:szCs w:val="18"/>
          <w:lang w:val="en-US"/>
        </w:rPr>
        <w:t xml:space="preserve">seen in the shroud sample, occurring at 4%, than the coffin sample, 3%, whilst the only clavicular fracture seen was in the coffin sample, 3%. </w:t>
      </w:r>
    </w:p>
    <w:p w:rsidR="009973C1" w:rsidRDefault="002266B4" w:rsidP="003B5900">
      <w:pPr>
        <w:spacing w:line="360" w:lineRule="auto"/>
        <w:jc w:val="both"/>
        <w:rPr>
          <w:sz w:val="24"/>
          <w:szCs w:val="24"/>
        </w:rPr>
      </w:pPr>
      <w:r>
        <w:rPr>
          <w:sz w:val="24"/>
          <w:szCs w:val="24"/>
        </w:rPr>
        <w:t xml:space="preserve">Pearson Chi-Squared </w:t>
      </w:r>
      <w:r w:rsidR="00C121DE">
        <w:rPr>
          <w:sz w:val="24"/>
          <w:szCs w:val="24"/>
        </w:rPr>
        <w:t>T</w:t>
      </w:r>
      <w:r>
        <w:rPr>
          <w:sz w:val="24"/>
          <w:szCs w:val="24"/>
        </w:rPr>
        <w:t>est</w:t>
      </w:r>
      <w:r w:rsidR="003C7F4F">
        <w:rPr>
          <w:sz w:val="24"/>
          <w:szCs w:val="24"/>
        </w:rPr>
        <w:t>s</w:t>
      </w:r>
      <w:r>
        <w:rPr>
          <w:sz w:val="24"/>
          <w:szCs w:val="24"/>
        </w:rPr>
        <w:t xml:space="preserve"> produced </w:t>
      </w:r>
      <w:r w:rsidR="00CF5611">
        <w:rPr>
          <w:sz w:val="24"/>
          <w:szCs w:val="24"/>
        </w:rPr>
        <w:t>a significant result in the assessment of ACJ OA (</w:t>
      </w:r>
      <w:r w:rsidR="00CF5611">
        <w:rPr>
          <w:i/>
          <w:sz w:val="24"/>
          <w:szCs w:val="24"/>
        </w:rPr>
        <w:t>X</w:t>
      </w:r>
      <w:r w:rsidR="00CF5611">
        <w:rPr>
          <w:sz w:val="24"/>
          <w:szCs w:val="24"/>
          <w:vertAlign w:val="superscript"/>
        </w:rPr>
        <w:t>2</w:t>
      </w:r>
      <w:r w:rsidR="00CF5611">
        <w:rPr>
          <w:sz w:val="24"/>
          <w:szCs w:val="24"/>
        </w:rPr>
        <w:t xml:space="preserve">=5.502, df=1, N=86, </w:t>
      </w:r>
      <w:r w:rsidR="00CF5611" w:rsidRPr="00403B48">
        <w:rPr>
          <w:i/>
          <w:sz w:val="24"/>
          <w:szCs w:val="24"/>
        </w:rPr>
        <w:t>p</w:t>
      </w:r>
      <w:r w:rsidR="00CF5611" w:rsidRPr="007372BE">
        <w:rPr>
          <w:sz w:val="24"/>
          <w:szCs w:val="24"/>
        </w:rPr>
        <w:t>=0.</w:t>
      </w:r>
      <w:r w:rsidR="00CF5611">
        <w:rPr>
          <w:sz w:val="24"/>
          <w:szCs w:val="24"/>
        </w:rPr>
        <w:t xml:space="preserve">019), however </w:t>
      </w:r>
      <w:r w:rsidR="00AA1E89">
        <w:rPr>
          <w:sz w:val="24"/>
          <w:szCs w:val="24"/>
        </w:rPr>
        <w:t xml:space="preserve">socio-economic status was </w:t>
      </w:r>
      <w:r w:rsidR="00442E6A">
        <w:rPr>
          <w:sz w:val="24"/>
          <w:szCs w:val="24"/>
        </w:rPr>
        <w:t xml:space="preserve">not statistically </w:t>
      </w:r>
      <w:r w:rsidR="00B82A47">
        <w:rPr>
          <w:sz w:val="24"/>
          <w:szCs w:val="24"/>
        </w:rPr>
        <w:t xml:space="preserve">significant in </w:t>
      </w:r>
      <w:r w:rsidR="00442E6A">
        <w:rPr>
          <w:sz w:val="24"/>
          <w:szCs w:val="24"/>
        </w:rPr>
        <w:t>the</w:t>
      </w:r>
      <w:r w:rsidR="00CF5611">
        <w:rPr>
          <w:sz w:val="24"/>
          <w:szCs w:val="24"/>
        </w:rPr>
        <w:t xml:space="preserve"> other diseases</w:t>
      </w:r>
      <w:r w:rsidR="00AA1E89">
        <w:rPr>
          <w:sz w:val="24"/>
          <w:szCs w:val="24"/>
        </w:rPr>
        <w:t xml:space="preserve">.  </w:t>
      </w:r>
    </w:p>
    <w:p w:rsidR="00E85222" w:rsidRPr="008072E5" w:rsidRDefault="00E85222" w:rsidP="003B5900">
      <w:pPr>
        <w:pStyle w:val="Heading1"/>
        <w:spacing w:line="360" w:lineRule="auto"/>
        <w:ind w:left="720"/>
        <w:jc w:val="both"/>
        <w:rPr>
          <w:rFonts w:asciiTheme="minorHAnsi" w:hAnsiTheme="minorHAnsi" w:cstheme="minorHAnsi"/>
          <w:b w:val="0"/>
        </w:rPr>
      </w:pPr>
      <w:bookmarkStart w:id="13" w:name="_Toc475038776"/>
      <w:bookmarkStart w:id="14" w:name="_Toc499046294"/>
      <w:bookmarkEnd w:id="5"/>
      <w:r w:rsidRPr="008072E5">
        <w:rPr>
          <w:rFonts w:asciiTheme="minorHAnsi" w:hAnsiTheme="minorHAnsi" w:cstheme="minorHAnsi"/>
          <w:b w:val="0"/>
        </w:rPr>
        <w:lastRenderedPageBreak/>
        <w:t>Discussion</w:t>
      </w:r>
      <w:bookmarkEnd w:id="13"/>
      <w:bookmarkEnd w:id="14"/>
      <w:r w:rsidRPr="008072E5">
        <w:rPr>
          <w:rFonts w:asciiTheme="minorHAnsi" w:hAnsiTheme="minorHAnsi" w:cstheme="minorHAnsi"/>
          <w:b w:val="0"/>
        </w:rPr>
        <w:t xml:space="preserve"> </w:t>
      </w:r>
    </w:p>
    <w:p w:rsidR="005322F3" w:rsidRDefault="00285A11" w:rsidP="003B5900">
      <w:pPr>
        <w:spacing w:line="360" w:lineRule="auto"/>
        <w:jc w:val="both"/>
        <w:rPr>
          <w:sz w:val="24"/>
          <w:szCs w:val="24"/>
        </w:rPr>
      </w:pPr>
      <w:r w:rsidRPr="00285A11">
        <w:rPr>
          <w:sz w:val="24"/>
          <w:szCs w:val="24"/>
        </w:rPr>
        <w:t>Across the results OA was the most commonl</w:t>
      </w:r>
      <w:r w:rsidR="00141DD5">
        <w:rPr>
          <w:sz w:val="24"/>
          <w:szCs w:val="24"/>
        </w:rPr>
        <w:t>y observed disease, with ACJ OA</w:t>
      </w:r>
      <w:r w:rsidRPr="00285A11">
        <w:rPr>
          <w:sz w:val="24"/>
          <w:szCs w:val="24"/>
        </w:rPr>
        <w:t xml:space="preserve"> </w:t>
      </w:r>
      <w:r w:rsidR="00B56E55">
        <w:rPr>
          <w:sz w:val="24"/>
          <w:szCs w:val="24"/>
        </w:rPr>
        <w:t>(</w:t>
      </w:r>
      <w:r w:rsidRPr="00285A11">
        <w:rPr>
          <w:sz w:val="24"/>
          <w:szCs w:val="24"/>
        </w:rPr>
        <w:t>4</w:t>
      </w:r>
      <w:r w:rsidR="003B5F13">
        <w:rPr>
          <w:sz w:val="24"/>
          <w:szCs w:val="24"/>
        </w:rPr>
        <w:t>4</w:t>
      </w:r>
      <w:r w:rsidRPr="00285A11">
        <w:rPr>
          <w:sz w:val="24"/>
          <w:szCs w:val="24"/>
        </w:rPr>
        <w:t>%</w:t>
      </w:r>
      <w:r w:rsidR="00B56E55">
        <w:rPr>
          <w:sz w:val="24"/>
          <w:szCs w:val="24"/>
        </w:rPr>
        <w:t>)</w:t>
      </w:r>
      <w:r w:rsidR="003C7F4F">
        <w:rPr>
          <w:sz w:val="24"/>
          <w:szCs w:val="24"/>
        </w:rPr>
        <w:t xml:space="preserve"> occurring more frequently than G</w:t>
      </w:r>
      <w:r w:rsidRPr="00285A11">
        <w:rPr>
          <w:sz w:val="24"/>
          <w:szCs w:val="24"/>
        </w:rPr>
        <w:t>H</w:t>
      </w:r>
      <w:r w:rsidR="00CB2812">
        <w:rPr>
          <w:sz w:val="24"/>
          <w:szCs w:val="24"/>
        </w:rPr>
        <w:t>J</w:t>
      </w:r>
      <w:r w:rsidR="008F24D3">
        <w:rPr>
          <w:sz w:val="24"/>
          <w:szCs w:val="24"/>
        </w:rPr>
        <w:t xml:space="preserve"> OA</w:t>
      </w:r>
      <w:r w:rsidRPr="00285A11">
        <w:rPr>
          <w:sz w:val="24"/>
          <w:szCs w:val="24"/>
        </w:rPr>
        <w:t xml:space="preserve"> </w:t>
      </w:r>
      <w:r w:rsidR="00B56E55">
        <w:rPr>
          <w:sz w:val="24"/>
          <w:szCs w:val="24"/>
        </w:rPr>
        <w:t>(</w:t>
      </w:r>
      <w:r w:rsidRPr="00285A11">
        <w:rPr>
          <w:sz w:val="24"/>
          <w:szCs w:val="24"/>
        </w:rPr>
        <w:t>33%</w:t>
      </w:r>
      <w:r w:rsidR="00B56E55">
        <w:rPr>
          <w:sz w:val="24"/>
          <w:szCs w:val="24"/>
        </w:rPr>
        <w:t>)</w:t>
      </w:r>
      <w:r w:rsidR="00E42B41">
        <w:rPr>
          <w:sz w:val="24"/>
          <w:szCs w:val="24"/>
        </w:rPr>
        <w:t xml:space="preserve">. </w:t>
      </w:r>
      <w:r w:rsidR="00141DD5">
        <w:rPr>
          <w:sz w:val="24"/>
          <w:szCs w:val="24"/>
        </w:rPr>
        <w:t>T</w:t>
      </w:r>
      <w:r w:rsidR="00141DD5" w:rsidRPr="00285A11">
        <w:rPr>
          <w:sz w:val="24"/>
          <w:szCs w:val="24"/>
        </w:rPr>
        <w:t xml:space="preserve">he ACJ was also one of the most </w:t>
      </w:r>
      <w:r w:rsidR="00141DD5">
        <w:rPr>
          <w:sz w:val="24"/>
          <w:szCs w:val="24"/>
        </w:rPr>
        <w:t>prevalent</w:t>
      </w:r>
      <w:r w:rsidR="00141DD5" w:rsidRPr="00285A11">
        <w:rPr>
          <w:sz w:val="24"/>
          <w:szCs w:val="24"/>
        </w:rPr>
        <w:t xml:space="preserve"> locations for </w:t>
      </w:r>
      <w:r w:rsidR="00141DD5">
        <w:rPr>
          <w:sz w:val="24"/>
          <w:szCs w:val="24"/>
        </w:rPr>
        <w:t xml:space="preserve">the </w:t>
      </w:r>
      <w:r w:rsidR="00141DD5" w:rsidRPr="00285A11">
        <w:rPr>
          <w:sz w:val="24"/>
          <w:szCs w:val="24"/>
        </w:rPr>
        <w:t xml:space="preserve">manifestation </w:t>
      </w:r>
      <w:r w:rsidR="00141DD5">
        <w:rPr>
          <w:sz w:val="24"/>
          <w:szCs w:val="24"/>
        </w:rPr>
        <w:t xml:space="preserve">of </w:t>
      </w:r>
      <w:r w:rsidR="00141DD5" w:rsidRPr="00285A11">
        <w:rPr>
          <w:sz w:val="24"/>
          <w:szCs w:val="24"/>
        </w:rPr>
        <w:t>OA</w:t>
      </w:r>
      <w:r w:rsidR="00141DD5">
        <w:rPr>
          <w:sz w:val="24"/>
          <w:szCs w:val="24"/>
        </w:rPr>
        <w:t xml:space="preserve"> in remains from </w:t>
      </w:r>
      <w:r w:rsidR="00D10401">
        <w:rPr>
          <w:sz w:val="24"/>
          <w:szCs w:val="24"/>
        </w:rPr>
        <w:t xml:space="preserve">the </w:t>
      </w:r>
      <w:r w:rsidR="00F8662E" w:rsidRPr="00285A11">
        <w:rPr>
          <w:sz w:val="24"/>
          <w:szCs w:val="24"/>
        </w:rPr>
        <w:t>Victorian cemetery in East London</w:t>
      </w:r>
      <w:r w:rsidR="00141DD5">
        <w:rPr>
          <w:sz w:val="24"/>
          <w:szCs w:val="24"/>
        </w:rPr>
        <w:t>’s</w:t>
      </w:r>
      <w:r w:rsidR="00F8662E" w:rsidRPr="00285A11">
        <w:rPr>
          <w:sz w:val="24"/>
          <w:szCs w:val="24"/>
        </w:rPr>
        <w:t xml:space="preserve"> Spitalfields, </w:t>
      </w:r>
      <w:r w:rsidR="00D10401">
        <w:rPr>
          <w:sz w:val="24"/>
          <w:szCs w:val="24"/>
        </w:rPr>
        <w:t>a site with a</w:t>
      </w:r>
      <w:r w:rsidR="00F8662E" w:rsidRPr="00285A11">
        <w:rPr>
          <w:sz w:val="24"/>
          <w:szCs w:val="24"/>
        </w:rPr>
        <w:t xml:space="preserve"> corresponding date and location in southern England</w:t>
      </w:r>
      <w:r w:rsidR="00D10401">
        <w:rPr>
          <w:sz w:val="24"/>
          <w:szCs w:val="24"/>
        </w:rPr>
        <w:t xml:space="preserve"> and with</w:t>
      </w:r>
      <w:r w:rsidR="002C34E4">
        <w:rPr>
          <w:sz w:val="24"/>
          <w:szCs w:val="24"/>
        </w:rPr>
        <w:t xml:space="preserve"> </w:t>
      </w:r>
      <w:r w:rsidR="00D10401">
        <w:rPr>
          <w:sz w:val="24"/>
          <w:szCs w:val="24"/>
        </w:rPr>
        <w:t xml:space="preserve">good </w:t>
      </w:r>
      <w:r w:rsidR="00F8662E" w:rsidRPr="00285A11">
        <w:rPr>
          <w:sz w:val="24"/>
          <w:szCs w:val="24"/>
        </w:rPr>
        <w:t>document</w:t>
      </w:r>
      <w:r w:rsidR="00D10401">
        <w:rPr>
          <w:sz w:val="24"/>
          <w:szCs w:val="24"/>
        </w:rPr>
        <w:t>ation d</w:t>
      </w:r>
      <w:r w:rsidR="00F8662E" w:rsidRPr="00285A11">
        <w:rPr>
          <w:sz w:val="24"/>
          <w:szCs w:val="24"/>
        </w:rPr>
        <w:t>ue to the survival of c</w:t>
      </w:r>
      <w:r w:rsidR="00141DD5">
        <w:rPr>
          <w:sz w:val="24"/>
          <w:szCs w:val="24"/>
        </w:rPr>
        <w:t xml:space="preserve">offin plates within the cemetery. </w:t>
      </w:r>
      <w:r w:rsidR="00D10401">
        <w:rPr>
          <w:sz w:val="24"/>
          <w:szCs w:val="24"/>
        </w:rPr>
        <w:t xml:space="preserve">ACJ OA </w:t>
      </w:r>
      <w:r w:rsidR="00141DD5">
        <w:rPr>
          <w:sz w:val="24"/>
          <w:szCs w:val="24"/>
        </w:rPr>
        <w:t xml:space="preserve">has a </w:t>
      </w:r>
      <w:r w:rsidR="00D10401">
        <w:rPr>
          <w:sz w:val="24"/>
          <w:szCs w:val="24"/>
        </w:rPr>
        <w:t>prevalence of 94% amongst</w:t>
      </w:r>
      <w:r w:rsidR="00D639F5">
        <w:rPr>
          <w:sz w:val="24"/>
          <w:szCs w:val="24"/>
        </w:rPr>
        <w:t xml:space="preserve"> </w:t>
      </w:r>
      <w:r w:rsidRPr="00285A11">
        <w:rPr>
          <w:sz w:val="24"/>
          <w:szCs w:val="24"/>
        </w:rPr>
        <w:t xml:space="preserve">255 skeletal remains </w:t>
      </w:r>
      <w:r w:rsidR="001B3A94">
        <w:rPr>
          <w:sz w:val="24"/>
          <w:szCs w:val="24"/>
        </w:rPr>
        <w:t>from the crypt in Christ Church</w:t>
      </w:r>
      <w:r w:rsidR="00D639F5">
        <w:rPr>
          <w:sz w:val="24"/>
          <w:szCs w:val="24"/>
        </w:rPr>
        <w:t xml:space="preserve"> analysed by Waldron (1990)</w:t>
      </w:r>
      <w:r w:rsidR="00D10401">
        <w:rPr>
          <w:sz w:val="24"/>
          <w:szCs w:val="24"/>
        </w:rPr>
        <w:t xml:space="preserve">. </w:t>
      </w:r>
      <w:r w:rsidRPr="00285A11">
        <w:rPr>
          <w:sz w:val="24"/>
          <w:szCs w:val="24"/>
        </w:rPr>
        <w:t>The high rates of ACJ OA in both Chichester and Spitalfields complement the osteological record and are continuous with normative prevalence rates</w:t>
      </w:r>
      <w:r w:rsidR="00B2394E">
        <w:rPr>
          <w:sz w:val="24"/>
          <w:szCs w:val="24"/>
        </w:rPr>
        <w:t>,</w:t>
      </w:r>
      <w:r w:rsidRPr="00285A11">
        <w:rPr>
          <w:sz w:val="24"/>
          <w:szCs w:val="24"/>
        </w:rPr>
        <w:t xml:space="preserve"> as ACJ OA is cited by Waldron (2009) to be the most common location for the manifestation of OA in cadavers</w:t>
      </w:r>
      <w:r w:rsidR="003C7F4F">
        <w:rPr>
          <w:sz w:val="24"/>
          <w:szCs w:val="24"/>
        </w:rPr>
        <w:t>,</w:t>
      </w:r>
      <w:r w:rsidRPr="00285A11">
        <w:rPr>
          <w:sz w:val="24"/>
          <w:szCs w:val="24"/>
        </w:rPr>
        <w:t xml:space="preserve"> due to natural degeneration. GH</w:t>
      </w:r>
      <w:r w:rsidR="00CB2812">
        <w:rPr>
          <w:sz w:val="24"/>
          <w:szCs w:val="24"/>
        </w:rPr>
        <w:t>J</w:t>
      </w:r>
      <w:r w:rsidRPr="00285A11">
        <w:rPr>
          <w:sz w:val="24"/>
          <w:szCs w:val="24"/>
        </w:rPr>
        <w:t xml:space="preserve"> OA is correspondingly stated to occur less frequently and due to causal factors, such as trauma or significant wear and tear at the joint, consistent with its lower prevalence </w:t>
      </w:r>
      <w:r w:rsidR="00E42B41">
        <w:rPr>
          <w:sz w:val="24"/>
          <w:szCs w:val="24"/>
        </w:rPr>
        <w:t>in this study (Waldron, 2009).</w:t>
      </w:r>
    </w:p>
    <w:p w:rsidR="009E7A5E" w:rsidRDefault="00285A11" w:rsidP="003B5900">
      <w:pPr>
        <w:spacing w:line="360" w:lineRule="auto"/>
        <w:jc w:val="both"/>
        <w:rPr>
          <w:sz w:val="24"/>
          <w:szCs w:val="24"/>
        </w:rPr>
      </w:pPr>
      <w:r w:rsidRPr="00285A11">
        <w:rPr>
          <w:sz w:val="24"/>
          <w:szCs w:val="24"/>
        </w:rPr>
        <w:t xml:space="preserve">RCD, occurring at 17% in the coffin assemblage, corresponds with external research as Yamamoto </w:t>
      </w:r>
      <w:r w:rsidRPr="00285A11">
        <w:rPr>
          <w:i/>
          <w:sz w:val="24"/>
          <w:szCs w:val="24"/>
        </w:rPr>
        <w:t>et al</w:t>
      </w:r>
      <w:r w:rsidRPr="00285A11">
        <w:rPr>
          <w:sz w:val="24"/>
          <w:szCs w:val="24"/>
        </w:rPr>
        <w:t xml:space="preserve">. (2010) state the prevalence of RCD in cadavers to vary between 5% and 39%.  Yamamoto </w:t>
      </w:r>
      <w:r w:rsidRPr="00285A11">
        <w:rPr>
          <w:i/>
          <w:sz w:val="24"/>
          <w:szCs w:val="24"/>
        </w:rPr>
        <w:t>et al</w:t>
      </w:r>
      <w:r w:rsidRPr="00285A11">
        <w:rPr>
          <w:sz w:val="24"/>
          <w:szCs w:val="24"/>
        </w:rPr>
        <w:t>. (2010) further positively identified impingement to occur at a prevalence of 18.4% in a modern Japanese population, a rate higher than the results seen in this assessment whi</w:t>
      </w:r>
      <w:r w:rsidR="008F24D3">
        <w:rPr>
          <w:sz w:val="24"/>
          <w:szCs w:val="24"/>
        </w:rPr>
        <w:t xml:space="preserve">ch were just 8% in males and absent </w:t>
      </w:r>
      <w:r w:rsidR="00E42B41">
        <w:rPr>
          <w:sz w:val="24"/>
          <w:szCs w:val="24"/>
        </w:rPr>
        <w:t xml:space="preserve">in females. </w:t>
      </w:r>
      <w:r w:rsidRPr="00285A11">
        <w:rPr>
          <w:sz w:val="24"/>
          <w:szCs w:val="24"/>
        </w:rPr>
        <w:t>The large geographical and temporal separation between these studies may be responsible for the con</w:t>
      </w:r>
      <w:r w:rsidR="00AC51B5">
        <w:rPr>
          <w:sz w:val="24"/>
          <w:szCs w:val="24"/>
        </w:rPr>
        <w:t xml:space="preserve">tradicting </w:t>
      </w:r>
      <w:r w:rsidR="00BE5B7E">
        <w:rPr>
          <w:sz w:val="24"/>
          <w:szCs w:val="24"/>
        </w:rPr>
        <w:t>results,</w:t>
      </w:r>
      <w:r w:rsidR="00AC51B5">
        <w:rPr>
          <w:sz w:val="24"/>
          <w:szCs w:val="24"/>
        </w:rPr>
        <w:t xml:space="preserve"> however </w:t>
      </w:r>
      <w:r w:rsidR="00141DD5">
        <w:rPr>
          <w:sz w:val="24"/>
          <w:szCs w:val="24"/>
        </w:rPr>
        <w:t xml:space="preserve">published archaeological analyses of RCD </w:t>
      </w:r>
      <w:r w:rsidRPr="00285A11">
        <w:rPr>
          <w:sz w:val="24"/>
          <w:szCs w:val="24"/>
        </w:rPr>
        <w:t xml:space="preserve">are sparse. </w:t>
      </w:r>
      <w:r w:rsidR="00E77F22">
        <w:rPr>
          <w:sz w:val="24"/>
          <w:szCs w:val="24"/>
        </w:rPr>
        <w:t xml:space="preserve"> </w:t>
      </w:r>
    </w:p>
    <w:p w:rsidR="009E7A5E" w:rsidRDefault="00B231E8" w:rsidP="009E7A5E">
      <w:pPr>
        <w:spacing w:before="144" w:line="360" w:lineRule="auto"/>
        <w:jc w:val="both"/>
        <w:rPr>
          <w:rFonts w:cs="Calibri"/>
          <w:spacing w:val="-1"/>
          <w:sz w:val="24"/>
          <w:szCs w:val="24"/>
        </w:rPr>
      </w:pPr>
      <w:r>
        <w:rPr>
          <w:rFonts w:cs="Arial"/>
          <w:color w:val="222222"/>
          <w:sz w:val="24"/>
          <w:szCs w:val="24"/>
          <w:shd w:val="clear" w:color="auto" w:fill="FFFFFF"/>
        </w:rPr>
        <w:t xml:space="preserve">In a modern study, </w:t>
      </w:r>
      <w:r w:rsidR="009E7A5E">
        <w:rPr>
          <w:rFonts w:cs="Arial"/>
          <w:color w:val="222222"/>
          <w:sz w:val="24"/>
          <w:szCs w:val="24"/>
          <w:shd w:val="clear" w:color="auto" w:fill="FFFFFF"/>
        </w:rPr>
        <w:t>Nordqvist and Petersson (</w:t>
      </w:r>
      <w:r w:rsidR="009E7A5E" w:rsidRPr="000A770F">
        <w:rPr>
          <w:rFonts w:cs="Arial"/>
          <w:color w:val="222222"/>
          <w:sz w:val="24"/>
          <w:szCs w:val="24"/>
          <w:shd w:val="clear" w:color="auto" w:fill="FFFFFF"/>
        </w:rPr>
        <w:t>1995</w:t>
      </w:r>
      <w:r w:rsidR="009E7A5E">
        <w:rPr>
          <w:rFonts w:cs="Arial"/>
          <w:color w:val="222222"/>
          <w:sz w:val="24"/>
          <w:szCs w:val="24"/>
          <w:shd w:val="clear" w:color="auto" w:fill="FFFFFF"/>
        </w:rPr>
        <w:t>) used h</w:t>
      </w:r>
      <w:r w:rsidR="009E7A5E" w:rsidRPr="000A770F">
        <w:rPr>
          <w:rFonts w:cs="Calibri"/>
          <w:spacing w:val="-1"/>
          <w:sz w:val="24"/>
          <w:szCs w:val="24"/>
        </w:rPr>
        <w:t xml:space="preserve">ospital data from Malmö general hospital, Sweden, 1987, </w:t>
      </w:r>
      <w:r w:rsidR="009E7A5E">
        <w:rPr>
          <w:rFonts w:cs="Calibri"/>
          <w:spacing w:val="-1"/>
          <w:sz w:val="24"/>
          <w:szCs w:val="24"/>
        </w:rPr>
        <w:t xml:space="preserve">to </w:t>
      </w:r>
      <w:r w:rsidR="009E7A5E" w:rsidRPr="000A770F">
        <w:rPr>
          <w:rFonts w:cs="Calibri"/>
          <w:spacing w:val="-1"/>
          <w:sz w:val="24"/>
          <w:szCs w:val="24"/>
        </w:rPr>
        <w:t xml:space="preserve">analyse the incidence of clavicular, scapula and humeral head fractures and </w:t>
      </w:r>
      <w:r w:rsidR="009E7A5E">
        <w:rPr>
          <w:rFonts w:cs="Calibri"/>
          <w:spacing w:val="-1"/>
          <w:sz w:val="24"/>
          <w:szCs w:val="24"/>
        </w:rPr>
        <w:t>glenohumeral</w:t>
      </w:r>
      <w:r w:rsidR="009E7A5E" w:rsidRPr="000A770F">
        <w:rPr>
          <w:rFonts w:cs="Calibri"/>
          <w:spacing w:val="-1"/>
          <w:sz w:val="24"/>
          <w:szCs w:val="24"/>
        </w:rPr>
        <w:t xml:space="preserve"> and acromioclavicular dislocations within the urban population across </w:t>
      </w:r>
      <w:r w:rsidR="009E7A5E">
        <w:rPr>
          <w:rFonts w:cs="Calibri"/>
          <w:spacing w:val="-1"/>
          <w:sz w:val="24"/>
          <w:szCs w:val="24"/>
        </w:rPr>
        <w:t>the year</w:t>
      </w:r>
      <w:r w:rsidR="009E7A5E" w:rsidRPr="000A770F">
        <w:rPr>
          <w:rFonts w:cs="Arial"/>
          <w:color w:val="222222"/>
          <w:sz w:val="24"/>
          <w:szCs w:val="24"/>
          <w:shd w:val="clear" w:color="auto" w:fill="FFFFFF"/>
        </w:rPr>
        <w:t>.</w:t>
      </w:r>
      <w:r w:rsidR="009E7A5E" w:rsidRPr="000A770F">
        <w:rPr>
          <w:rFonts w:cs="Calibri"/>
          <w:spacing w:val="-1"/>
          <w:sz w:val="24"/>
          <w:szCs w:val="24"/>
        </w:rPr>
        <w:t xml:space="preserve">  The </w:t>
      </w:r>
      <w:r w:rsidR="009E7A5E">
        <w:rPr>
          <w:rFonts w:cs="Calibri"/>
          <w:spacing w:val="-1"/>
          <w:sz w:val="24"/>
          <w:szCs w:val="24"/>
        </w:rPr>
        <w:t xml:space="preserve">study found </w:t>
      </w:r>
      <w:r w:rsidR="009E7A5E" w:rsidRPr="000A770F">
        <w:rPr>
          <w:rFonts w:cs="Calibri"/>
          <w:spacing w:val="-1"/>
          <w:sz w:val="24"/>
          <w:szCs w:val="24"/>
        </w:rPr>
        <w:t xml:space="preserve">0.22% of the population experienced </w:t>
      </w:r>
      <w:r w:rsidR="009E7A5E">
        <w:rPr>
          <w:rFonts w:cs="Calibri"/>
          <w:spacing w:val="-1"/>
          <w:sz w:val="24"/>
          <w:szCs w:val="24"/>
        </w:rPr>
        <w:t xml:space="preserve">a </w:t>
      </w:r>
      <w:r w:rsidR="009E7A5E" w:rsidRPr="000A770F">
        <w:rPr>
          <w:rFonts w:cs="Calibri"/>
          <w:spacing w:val="-1"/>
          <w:sz w:val="24"/>
          <w:szCs w:val="24"/>
        </w:rPr>
        <w:t xml:space="preserve">shoulder fracture or dislocation.  </w:t>
      </w:r>
    </w:p>
    <w:p w:rsidR="009E7A5E" w:rsidRDefault="009E7A5E" w:rsidP="009E7A5E">
      <w:pPr>
        <w:spacing w:before="144" w:line="240" w:lineRule="auto"/>
        <w:jc w:val="both"/>
        <w:rPr>
          <w:rFonts w:cs="Calibri"/>
          <w:spacing w:val="-1"/>
          <w:sz w:val="18"/>
          <w:szCs w:val="18"/>
        </w:rPr>
      </w:pPr>
    </w:p>
    <w:p w:rsidR="009E7A5E" w:rsidRPr="00A0779F" w:rsidRDefault="009E7A5E" w:rsidP="009E7A5E">
      <w:pPr>
        <w:spacing w:before="144" w:line="240" w:lineRule="auto"/>
        <w:jc w:val="both"/>
        <w:rPr>
          <w:rFonts w:cs="Calibri"/>
          <w:b/>
          <w:spacing w:val="-1"/>
          <w:sz w:val="24"/>
          <w:szCs w:val="24"/>
          <w:u w:val="single"/>
        </w:rPr>
      </w:pPr>
      <w:r w:rsidRPr="00A0779F">
        <w:rPr>
          <w:rFonts w:cs="Calibri"/>
          <w:b/>
          <w:spacing w:val="-1"/>
          <w:sz w:val="24"/>
          <w:szCs w:val="24"/>
          <w:u w:val="single"/>
        </w:rPr>
        <w:t xml:space="preserve">Table </w:t>
      </w:r>
      <w:r w:rsidR="006A3133">
        <w:rPr>
          <w:rFonts w:cs="Calibri"/>
          <w:b/>
          <w:spacing w:val="-1"/>
          <w:sz w:val="24"/>
          <w:szCs w:val="24"/>
          <w:u w:val="single"/>
        </w:rPr>
        <w:t>2</w:t>
      </w:r>
      <w:r w:rsidRPr="00A0779F">
        <w:rPr>
          <w:rFonts w:cs="Calibri"/>
          <w:b/>
          <w:spacing w:val="-1"/>
          <w:sz w:val="24"/>
          <w:szCs w:val="24"/>
          <w:u w:val="single"/>
        </w:rPr>
        <w:t>: Table of Results from Nordqvist and Petersson (1995)</w:t>
      </w:r>
    </w:p>
    <w:p w:rsidR="009E7A5E" w:rsidRDefault="009E7A5E" w:rsidP="009E7A5E">
      <w:pPr>
        <w:spacing w:before="144" w:line="240" w:lineRule="auto"/>
        <w:jc w:val="both"/>
        <w:rPr>
          <w:rFonts w:cs="Calibri"/>
          <w:spacing w:val="-1"/>
        </w:rPr>
      </w:pPr>
    </w:p>
    <w:p w:rsidR="00F41F71" w:rsidRDefault="00F41F71" w:rsidP="009E7A5E">
      <w:pPr>
        <w:spacing w:before="144" w:line="240" w:lineRule="auto"/>
        <w:jc w:val="both"/>
        <w:rPr>
          <w:rFonts w:cs="Calibri"/>
          <w:spacing w:val="-1"/>
          <w:sz w:val="18"/>
          <w:szCs w:val="18"/>
        </w:rPr>
      </w:pPr>
    </w:p>
    <w:tbl>
      <w:tblPr>
        <w:tblStyle w:val="TableGrid"/>
        <w:tblW w:w="0" w:type="auto"/>
        <w:tblLook w:val="04A0" w:firstRow="1" w:lastRow="0" w:firstColumn="1" w:lastColumn="0" w:noHBand="0" w:noVBand="1"/>
      </w:tblPr>
      <w:tblGrid>
        <w:gridCol w:w="1539"/>
        <w:gridCol w:w="585"/>
        <w:gridCol w:w="827"/>
        <w:gridCol w:w="717"/>
        <w:gridCol w:w="810"/>
        <w:gridCol w:w="717"/>
        <w:gridCol w:w="810"/>
        <w:gridCol w:w="717"/>
        <w:gridCol w:w="810"/>
        <w:gridCol w:w="717"/>
        <w:gridCol w:w="754"/>
      </w:tblGrid>
      <w:tr w:rsidR="00F41F71" w:rsidTr="00790C66">
        <w:tc>
          <w:tcPr>
            <w:tcW w:w="1507" w:type="dxa"/>
          </w:tcPr>
          <w:p w:rsidR="00F41F71" w:rsidRDefault="00F41F71" w:rsidP="00F41F71">
            <w:pPr>
              <w:spacing w:before="144"/>
              <w:jc w:val="center"/>
              <w:rPr>
                <w:rFonts w:cs="Calibri"/>
                <w:spacing w:val="-1"/>
                <w:sz w:val="18"/>
                <w:szCs w:val="18"/>
              </w:rPr>
            </w:pPr>
          </w:p>
        </w:tc>
        <w:tc>
          <w:tcPr>
            <w:tcW w:w="591" w:type="dxa"/>
          </w:tcPr>
          <w:p w:rsidR="00F41F71" w:rsidRPr="00F41F71" w:rsidRDefault="00F41F71" w:rsidP="00F41F71">
            <w:pPr>
              <w:spacing w:before="144"/>
              <w:jc w:val="center"/>
              <w:rPr>
                <w:rFonts w:cs="Calibri"/>
                <w:b/>
                <w:spacing w:val="-1"/>
                <w:sz w:val="18"/>
                <w:szCs w:val="18"/>
              </w:rPr>
            </w:pPr>
          </w:p>
        </w:tc>
        <w:tc>
          <w:tcPr>
            <w:tcW w:w="830" w:type="dxa"/>
          </w:tcPr>
          <w:p w:rsidR="00F41F71" w:rsidRPr="00F41F71" w:rsidRDefault="00F41F71" w:rsidP="00F41F71">
            <w:pPr>
              <w:spacing w:before="144"/>
              <w:jc w:val="center"/>
              <w:rPr>
                <w:rFonts w:cs="Calibri"/>
                <w:b/>
                <w:spacing w:val="-1"/>
                <w:sz w:val="18"/>
                <w:szCs w:val="18"/>
              </w:rPr>
            </w:pPr>
          </w:p>
        </w:tc>
        <w:tc>
          <w:tcPr>
            <w:tcW w:w="723" w:type="dxa"/>
          </w:tcPr>
          <w:p w:rsidR="00F41F71" w:rsidRPr="00F41F71" w:rsidRDefault="00F41F71" w:rsidP="00F41F71">
            <w:pPr>
              <w:spacing w:before="144"/>
              <w:jc w:val="center"/>
              <w:rPr>
                <w:rFonts w:cs="Calibri"/>
                <w:b/>
                <w:spacing w:val="-1"/>
                <w:sz w:val="18"/>
                <w:szCs w:val="18"/>
              </w:rPr>
            </w:pPr>
          </w:p>
        </w:tc>
        <w:tc>
          <w:tcPr>
            <w:tcW w:w="813" w:type="dxa"/>
          </w:tcPr>
          <w:p w:rsidR="00F41F71" w:rsidRPr="00F41F71" w:rsidRDefault="00F41F71" w:rsidP="00F41F71">
            <w:pPr>
              <w:spacing w:before="144"/>
              <w:jc w:val="center"/>
              <w:rPr>
                <w:rFonts w:cs="Calibri"/>
                <w:b/>
                <w:spacing w:val="-1"/>
                <w:sz w:val="18"/>
                <w:szCs w:val="18"/>
              </w:rPr>
            </w:pPr>
          </w:p>
        </w:tc>
        <w:tc>
          <w:tcPr>
            <w:tcW w:w="1536" w:type="dxa"/>
            <w:gridSpan w:val="2"/>
          </w:tcPr>
          <w:p w:rsidR="00F41F71" w:rsidRPr="00F41F71" w:rsidRDefault="00F41F71" w:rsidP="00F41F71">
            <w:pPr>
              <w:spacing w:before="144"/>
              <w:jc w:val="center"/>
              <w:rPr>
                <w:rFonts w:cs="Calibri"/>
                <w:b/>
                <w:spacing w:val="-1"/>
                <w:sz w:val="18"/>
                <w:szCs w:val="18"/>
              </w:rPr>
            </w:pPr>
            <w:r w:rsidRPr="00F41F71">
              <w:rPr>
                <w:rFonts w:cs="Calibri"/>
                <w:b/>
                <w:spacing w:val="-1"/>
                <w:sz w:val="18"/>
                <w:szCs w:val="18"/>
              </w:rPr>
              <w:t>Mean age</w:t>
            </w:r>
          </w:p>
        </w:tc>
        <w:tc>
          <w:tcPr>
            <w:tcW w:w="1536" w:type="dxa"/>
            <w:gridSpan w:val="2"/>
          </w:tcPr>
          <w:p w:rsidR="00F41F71" w:rsidRPr="00F41F71" w:rsidRDefault="00F41F71" w:rsidP="00F41F71">
            <w:pPr>
              <w:spacing w:before="144"/>
              <w:jc w:val="center"/>
              <w:rPr>
                <w:rFonts w:cs="Calibri"/>
                <w:b/>
                <w:spacing w:val="-1"/>
                <w:sz w:val="18"/>
                <w:szCs w:val="18"/>
              </w:rPr>
            </w:pPr>
            <w:r w:rsidRPr="00F41F71">
              <w:rPr>
                <w:rFonts w:cs="Calibri"/>
                <w:b/>
                <w:spacing w:val="-1"/>
                <w:sz w:val="18"/>
                <w:szCs w:val="18"/>
              </w:rPr>
              <w:t>Median age</w:t>
            </w:r>
          </w:p>
        </w:tc>
        <w:tc>
          <w:tcPr>
            <w:tcW w:w="1467" w:type="dxa"/>
            <w:gridSpan w:val="2"/>
          </w:tcPr>
          <w:p w:rsidR="00F41F71" w:rsidRPr="00F41F71" w:rsidRDefault="00F41F71" w:rsidP="00F41F71">
            <w:pPr>
              <w:spacing w:before="144"/>
              <w:jc w:val="center"/>
              <w:rPr>
                <w:rFonts w:cs="Calibri"/>
                <w:b/>
                <w:spacing w:val="-1"/>
                <w:sz w:val="18"/>
                <w:szCs w:val="18"/>
              </w:rPr>
            </w:pPr>
            <w:r w:rsidRPr="00F41F71">
              <w:rPr>
                <w:rFonts w:cs="Calibri"/>
                <w:b/>
                <w:spacing w:val="-1"/>
                <w:sz w:val="18"/>
                <w:szCs w:val="18"/>
              </w:rPr>
              <w:t>Incidence (</w:t>
            </w:r>
            <w:r w:rsidRPr="00F41F71">
              <w:rPr>
                <w:rFonts w:cs="Calibri"/>
                <w:b/>
                <w:i/>
                <w:spacing w:val="-1"/>
                <w:sz w:val="18"/>
                <w:szCs w:val="18"/>
              </w:rPr>
              <w:t>n</w:t>
            </w:r>
            <w:r w:rsidRPr="00F41F71">
              <w:rPr>
                <w:rFonts w:cs="Calibri"/>
                <w:b/>
                <w:spacing w:val="-1"/>
                <w:sz w:val="18"/>
                <w:szCs w:val="18"/>
              </w:rPr>
              <w:t>/100,000)</w:t>
            </w:r>
          </w:p>
        </w:tc>
      </w:tr>
      <w:tr w:rsidR="00F41F71" w:rsidTr="00F41F71">
        <w:tc>
          <w:tcPr>
            <w:tcW w:w="1507" w:type="dxa"/>
          </w:tcPr>
          <w:p w:rsidR="00F41F71" w:rsidRPr="00F41F71" w:rsidRDefault="00F41F71" w:rsidP="00F41F71">
            <w:pPr>
              <w:spacing w:before="144"/>
              <w:jc w:val="center"/>
              <w:rPr>
                <w:rFonts w:cs="Calibri"/>
                <w:b/>
                <w:spacing w:val="-1"/>
                <w:sz w:val="18"/>
                <w:szCs w:val="18"/>
              </w:rPr>
            </w:pPr>
          </w:p>
        </w:tc>
        <w:tc>
          <w:tcPr>
            <w:tcW w:w="591" w:type="dxa"/>
          </w:tcPr>
          <w:p w:rsidR="00F41F71" w:rsidRPr="00F41F71" w:rsidRDefault="00F41F71" w:rsidP="00F41F71">
            <w:pPr>
              <w:spacing w:before="144"/>
              <w:jc w:val="center"/>
              <w:rPr>
                <w:rFonts w:cs="Calibri"/>
                <w:b/>
                <w:i/>
                <w:spacing w:val="-1"/>
                <w:sz w:val="18"/>
                <w:szCs w:val="18"/>
              </w:rPr>
            </w:pPr>
            <w:r w:rsidRPr="00F41F71">
              <w:rPr>
                <w:rFonts w:cs="Calibri"/>
                <w:b/>
                <w:i/>
                <w:spacing w:val="-1"/>
                <w:sz w:val="18"/>
                <w:szCs w:val="18"/>
              </w:rPr>
              <w:t>n</w:t>
            </w:r>
          </w:p>
        </w:tc>
        <w:tc>
          <w:tcPr>
            <w:tcW w:w="830" w:type="dxa"/>
          </w:tcPr>
          <w:p w:rsidR="00F41F71" w:rsidRPr="00F41F71" w:rsidRDefault="00F41F71" w:rsidP="00F41F71">
            <w:pPr>
              <w:spacing w:before="144"/>
              <w:jc w:val="center"/>
              <w:rPr>
                <w:rFonts w:cs="Calibri"/>
                <w:b/>
                <w:spacing w:val="-1"/>
                <w:sz w:val="18"/>
                <w:szCs w:val="18"/>
              </w:rPr>
            </w:pPr>
            <w:r w:rsidRPr="00F41F71">
              <w:rPr>
                <w:rFonts w:cs="Calibri"/>
                <w:b/>
                <w:spacing w:val="-1"/>
                <w:sz w:val="18"/>
                <w:szCs w:val="18"/>
              </w:rPr>
              <w:t>Percent</w:t>
            </w:r>
          </w:p>
        </w:tc>
        <w:tc>
          <w:tcPr>
            <w:tcW w:w="723" w:type="dxa"/>
          </w:tcPr>
          <w:p w:rsidR="00F41F71" w:rsidRPr="00F41F71" w:rsidRDefault="00F41F71" w:rsidP="00F41F71">
            <w:pPr>
              <w:spacing w:before="144"/>
              <w:jc w:val="center"/>
              <w:rPr>
                <w:rFonts w:cs="Calibri"/>
                <w:b/>
                <w:spacing w:val="-1"/>
                <w:sz w:val="18"/>
                <w:szCs w:val="18"/>
              </w:rPr>
            </w:pPr>
            <w:r w:rsidRPr="00F41F71">
              <w:rPr>
                <w:rFonts w:cs="Calibri"/>
                <w:b/>
                <w:spacing w:val="-1"/>
                <w:sz w:val="18"/>
                <w:szCs w:val="18"/>
              </w:rPr>
              <w:t>Male</w:t>
            </w:r>
          </w:p>
        </w:tc>
        <w:tc>
          <w:tcPr>
            <w:tcW w:w="813" w:type="dxa"/>
          </w:tcPr>
          <w:p w:rsidR="00F41F71" w:rsidRPr="00F41F71" w:rsidRDefault="00F41F71" w:rsidP="00F41F71">
            <w:pPr>
              <w:spacing w:before="144"/>
              <w:jc w:val="center"/>
              <w:rPr>
                <w:rFonts w:cs="Calibri"/>
                <w:b/>
                <w:spacing w:val="-1"/>
                <w:sz w:val="18"/>
                <w:szCs w:val="18"/>
              </w:rPr>
            </w:pPr>
            <w:r w:rsidRPr="00F41F71">
              <w:rPr>
                <w:rFonts w:cs="Calibri"/>
                <w:b/>
                <w:spacing w:val="-1"/>
                <w:sz w:val="18"/>
                <w:szCs w:val="18"/>
              </w:rPr>
              <w:t>Female</w:t>
            </w:r>
          </w:p>
        </w:tc>
        <w:tc>
          <w:tcPr>
            <w:tcW w:w="723" w:type="dxa"/>
          </w:tcPr>
          <w:p w:rsidR="00F41F71" w:rsidRPr="00F41F71" w:rsidRDefault="00F41F71" w:rsidP="00F41F71">
            <w:pPr>
              <w:spacing w:before="144"/>
              <w:jc w:val="center"/>
              <w:rPr>
                <w:rFonts w:cs="Calibri"/>
                <w:b/>
                <w:spacing w:val="-1"/>
                <w:sz w:val="18"/>
                <w:szCs w:val="18"/>
              </w:rPr>
            </w:pPr>
            <w:r w:rsidRPr="00F41F71">
              <w:rPr>
                <w:rFonts w:cs="Calibri"/>
                <w:b/>
                <w:spacing w:val="-1"/>
                <w:sz w:val="18"/>
                <w:szCs w:val="18"/>
              </w:rPr>
              <w:t>Male</w:t>
            </w:r>
          </w:p>
        </w:tc>
        <w:tc>
          <w:tcPr>
            <w:tcW w:w="813" w:type="dxa"/>
          </w:tcPr>
          <w:p w:rsidR="00F41F71" w:rsidRPr="00F41F71" w:rsidRDefault="00F41F71" w:rsidP="00F41F71">
            <w:pPr>
              <w:spacing w:before="144"/>
              <w:jc w:val="center"/>
              <w:rPr>
                <w:rFonts w:cs="Calibri"/>
                <w:b/>
                <w:spacing w:val="-1"/>
                <w:sz w:val="18"/>
                <w:szCs w:val="18"/>
              </w:rPr>
            </w:pPr>
            <w:r w:rsidRPr="00F41F71">
              <w:rPr>
                <w:rFonts w:cs="Calibri"/>
                <w:b/>
                <w:spacing w:val="-1"/>
                <w:sz w:val="18"/>
                <w:szCs w:val="18"/>
              </w:rPr>
              <w:t>Female</w:t>
            </w:r>
          </w:p>
        </w:tc>
        <w:tc>
          <w:tcPr>
            <w:tcW w:w="723" w:type="dxa"/>
          </w:tcPr>
          <w:p w:rsidR="00F41F71" w:rsidRPr="00F41F71" w:rsidRDefault="00F41F71" w:rsidP="00F41F71">
            <w:pPr>
              <w:spacing w:before="144"/>
              <w:jc w:val="center"/>
              <w:rPr>
                <w:rFonts w:cs="Calibri"/>
                <w:b/>
                <w:spacing w:val="-1"/>
                <w:sz w:val="18"/>
                <w:szCs w:val="18"/>
              </w:rPr>
            </w:pPr>
            <w:r w:rsidRPr="00F41F71">
              <w:rPr>
                <w:rFonts w:cs="Calibri"/>
                <w:b/>
                <w:spacing w:val="-1"/>
                <w:sz w:val="18"/>
                <w:szCs w:val="18"/>
              </w:rPr>
              <w:t>Male</w:t>
            </w:r>
          </w:p>
        </w:tc>
        <w:tc>
          <w:tcPr>
            <w:tcW w:w="813" w:type="dxa"/>
          </w:tcPr>
          <w:p w:rsidR="00F41F71" w:rsidRPr="00F41F71" w:rsidRDefault="00F41F71" w:rsidP="00F41F71">
            <w:pPr>
              <w:spacing w:before="144"/>
              <w:jc w:val="center"/>
              <w:rPr>
                <w:rFonts w:cs="Calibri"/>
                <w:b/>
                <w:spacing w:val="-1"/>
                <w:sz w:val="18"/>
                <w:szCs w:val="18"/>
              </w:rPr>
            </w:pPr>
            <w:r w:rsidRPr="00F41F71">
              <w:rPr>
                <w:rFonts w:cs="Calibri"/>
                <w:b/>
                <w:spacing w:val="-1"/>
                <w:sz w:val="18"/>
                <w:szCs w:val="18"/>
              </w:rPr>
              <w:t>Female</w:t>
            </w:r>
          </w:p>
        </w:tc>
        <w:tc>
          <w:tcPr>
            <w:tcW w:w="723" w:type="dxa"/>
          </w:tcPr>
          <w:p w:rsidR="00F41F71" w:rsidRPr="00F41F71" w:rsidRDefault="00F41F71" w:rsidP="00F41F71">
            <w:pPr>
              <w:spacing w:before="144"/>
              <w:jc w:val="center"/>
              <w:rPr>
                <w:rFonts w:cs="Calibri"/>
                <w:b/>
                <w:spacing w:val="-1"/>
                <w:sz w:val="18"/>
                <w:szCs w:val="18"/>
              </w:rPr>
            </w:pPr>
            <w:r w:rsidRPr="00F41F71">
              <w:rPr>
                <w:rFonts w:cs="Calibri"/>
                <w:b/>
                <w:spacing w:val="-1"/>
                <w:sz w:val="18"/>
                <w:szCs w:val="18"/>
              </w:rPr>
              <w:t>Male</w:t>
            </w:r>
          </w:p>
        </w:tc>
        <w:tc>
          <w:tcPr>
            <w:tcW w:w="744" w:type="dxa"/>
          </w:tcPr>
          <w:p w:rsidR="00F41F71" w:rsidRPr="00F41F71" w:rsidRDefault="00F41F71" w:rsidP="00F41F71">
            <w:pPr>
              <w:spacing w:before="144"/>
              <w:jc w:val="center"/>
              <w:rPr>
                <w:rFonts w:cs="Calibri"/>
                <w:b/>
                <w:spacing w:val="-1"/>
                <w:sz w:val="18"/>
                <w:szCs w:val="18"/>
              </w:rPr>
            </w:pPr>
            <w:r w:rsidRPr="00F41F71">
              <w:rPr>
                <w:rFonts w:cs="Calibri"/>
                <w:b/>
                <w:spacing w:val="-1"/>
                <w:sz w:val="18"/>
                <w:szCs w:val="18"/>
              </w:rPr>
              <w:t>Female</w:t>
            </w:r>
          </w:p>
        </w:tc>
      </w:tr>
      <w:tr w:rsidR="00F41F71" w:rsidTr="00F41F71">
        <w:tc>
          <w:tcPr>
            <w:tcW w:w="1507" w:type="dxa"/>
          </w:tcPr>
          <w:p w:rsidR="00F41F71" w:rsidRPr="00F41F71" w:rsidRDefault="00F41F71" w:rsidP="00F41F71">
            <w:pPr>
              <w:spacing w:before="144"/>
              <w:jc w:val="center"/>
              <w:rPr>
                <w:rFonts w:cs="Calibri"/>
                <w:b/>
                <w:spacing w:val="-1"/>
                <w:sz w:val="18"/>
                <w:szCs w:val="18"/>
              </w:rPr>
            </w:pPr>
            <w:r w:rsidRPr="00F41F71">
              <w:rPr>
                <w:rFonts w:cs="Calibri"/>
                <w:b/>
                <w:spacing w:val="-1"/>
                <w:sz w:val="18"/>
                <w:szCs w:val="18"/>
              </w:rPr>
              <w:t>Proximal humerus fracture</w:t>
            </w:r>
          </w:p>
        </w:tc>
        <w:tc>
          <w:tcPr>
            <w:tcW w:w="591" w:type="dxa"/>
          </w:tcPr>
          <w:p w:rsidR="00F41F71" w:rsidRDefault="00F41F71" w:rsidP="00F41F71">
            <w:pPr>
              <w:spacing w:before="144"/>
              <w:jc w:val="center"/>
              <w:rPr>
                <w:rFonts w:cs="Calibri"/>
                <w:spacing w:val="-1"/>
                <w:sz w:val="18"/>
                <w:szCs w:val="18"/>
              </w:rPr>
            </w:pPr>
            <w:r>
              <w:rPr>
                <w:rFonts w:cs="Calibri"/>
                <w:spacing w:val="-1"/>
                <w:sz w:val="18"/>
                <w:szCs w:val="18"/>
              </w:rPr>
              <w:t>269</w:t>
            </w:r>
          </w:p>
        </w:tc>
        <w:tc>
          <w:tcPr>
            <w:tcW w:w="830" w:type="dxa"/>
          </w:tcPr>
          <w:p w:rsidR="00F41F71" w:rsidRDefault="00F41F71" w:rsidP="00F41F71">
            <w:pPr>
              <w:spacing w:before="144"/>
              <w:jc w:val="center"/>
              <w:rPr>
                <w:rFonts w:cs="Calibri"/>
                <w:spacing w:val="-1"/>
                <w:sz w:val="18"/>
                <w:szCs w:val="18"/>
              </w:rPr>
            </w:pPr>
            <w:r>
              <w:rPr>
                <w:rFonts w:cs="Calibri"/>
                <w:spacing w:val="-1"/>
                <w:sz w:val="18"/>
                <w:szCs w:val="18"/>
              </w:rPr>
              <w:t>53</w:t>
            </w:r>
          </w:p>
        </w:tc>
        <w:tc>
          <w:tcPr>
            <w:tcW w:w="723" w:type="dxa"/>
          </w:tcPr>
          <w:p w:rsidR="00F41F71" w:rsidRDefault="00F41F71" w:rsidP="00F41F71">
            <w:pPr>
              <w:spacing w:before="144"/>
              <w:jc w:val="center"/>
              <w:rPr>
                <w:rFonts w:cs="Calibri"/>
                <w:spacing w:val="-1"/>
                <w:sz w:val="18"/>
                <w:szCs w:val="18"/>
              </w:rPr>
            </w:pPr>
            <w:r>
              <w:rPr>
                <w:rFonts w:cs="Calibri"/>
                <w:spacing w:val="-1"/>
                <w:sz w:val="18"/>
                <w:szCs w:val="18"/>
              </w:rPr>
              <w:t>58</w:t>
            </w:r>
          </w:p>
        </w:tc>
        <w:tc>
          <w:tcPr>
            <w:tcW w:w="813" w:type="dxa"/>
          </w:tcPr>
          <w:p w:rsidR="00F41F71" w:rsidRDefault="00F41F71" w:rsidP="00F41F71">
            <w:pPr>
              <w:spacing w:before="144"/>
              <w:jc w:val="center"/>
              <w:rPr>
                <w:rFonts w:cs="Calibri"/>
                <w:spacing w:val="-1"/>
                <w:sz w:val="18"/>
                <w:szCs w:val="18"/>
              </w:rPr>
            </w:pPr>
            <w:r>
              <w:rPr>
                <w:rFonts w:cs="Calibri"/>
                <w:spacing w:val="-1"/>
                <w:sz w:val="18"/>
                <w:szCs w:val="18"/>
              </w:rPr>
              <w:t>211</w:t>
            </w:r>
          </w:p>
        </w:tc>
        <w:tc>
          <w:tcPr>
            <w:tcW w:w="723" w:type="dxa"/>
          </w:tcPr>
          <w:p w:rsidR="00F41F71" w:rsidRDefault="00F41F71" w:rsidP="00F41F71">
            <w:pPr>
              <w:spacing w:before="144"/>
              <w:jc w:val="center"/>
              <w:rPr>
                <w:rFonts w:cs="Calibri"/>
                <w:spacing w:val="-1"/>
                <w:sz w:val="18"/>
                <w:szCs w:val="18"/>
              </w:rPr>
            </w:pPr>
            <w:r>
              <w:rPr>
                <w:rFonts w:cs="Calibri"/>
                <w:spacing w:val="-1"/>
                <w:sz w:val="18"/>
                <w:szCs w:val="18"/>
              </w:rPr>
              <w:t>63</w:t>
            </w:r>
          </w:p>
        </w:tc>
        <w:tc>
          <w:tcPr>
            <w:tcW w:w="813" w:type="dxa"/>
          </w:tcPr>
          <w:p w:rsidR="00F41F71" w:rsidRDefault="00F41F71" w:rsidP="00F41F71">
            <w:pPr>
              <w:spacing w:before="144"/>
              <w:jc w:val="center"/>
              <w:rPr>
                <w:rFonts w:cs="Calibri"/>
                <w:spacing w:val="-1"/>
                <w:sz w:val="18"/>
                <w:szCs w:val="18"/>
              </w:rPr>
            </w:pPr>
            <w:r>
              <w:rPr>
                <w:rFonts w:cs="Calibri"/>
                <w:spacing w:val="-1"/>
                <w:sz w:val="18"/>
                <w:szCs w:val="18"/>
              </w:rPr>
              <w:t>71</w:t>
            </w:r>
          </w:p>
        </w:tc>
        <w:tc>
          <w:tcPr>
            <w:tcW w:w="723" w:type="dxa"/>
          </w:tcPr>
          <w:p w:rsidR="00F41F71" w:rsidRDefault="00F41F71" w:rsidP="00F41F71">
            <w:pPr>
              <w:spacing w:before="144"/>
              <w:jc w:val="center"/>
              <w:rPr>
                <w:rFonts w:cs="Calibri"/>
                <w:spacing w:val="-1"/>
                <w:sz w:val="18"/>
                <w:szCs w:val="18"/>
              </w:rPr>
            </w:pPr>
            <w:r>
              <w:rPr>
                <w:rFonts w:cs="Calibri"/>
                <w:spacing w:val="-1"/>
                <w:sz w:val="18"/>
                <w:szCs w:val="18"/>
              </w:rPr>
              <w:t>68.5</w:t>
            </w:r>
          </w:p>
        </w:tc>
        <w:tc>
          <w:tcPr>
            <w:tcW w:w="813" w:type="dxa"/>
          </w:tcPr>
          <w:p w:rsidR="00F41F71" w:rsidRDefault="00F41F71" w:rsidP="00F41F71">
            <w:pPr>
              <w:spacing w:before="144"/>
              <w:jc w:val="center"/>
              <w:rPr>
                <w:rFonts w:cs="Calibri"/>
                <w:spacing w:val="-1"/>
                <w:sz w:val="18"/>
                <w:szCs w:val="18"/>
              </w:rPr>
            </w:pPr>
            <w:r>
              <w:rPr>
                <w:rFonts w:cs="Calibri"/>
                <w:spacing w:val="-1"/>
                <w:sz w:val="18"/>
                <w:szCs w:val="18"/>
              </w:rPr>
              <w:t>75</w:t>
            </w:r>
          </w:p>
        </w:tc>
        <w:tc>
          <w:tcPr>
            <w:tcW w:w="723" w:type="dxa"/>
          </w:tcPr>
          <w:p w:rsidR="00F41F71" w:rsidRDefault="00F41F71" w:rsidP="00F41F71">
            <w:pPr>
              <w:spacing w:before="144"/>
              <w:jc w:val="center"/>
              <w:rPr>
                <w:rFonts w:cs="Calibri"/>
                <w:spacing w:val="-1"/>
                <w:sz w:val="18"/>
                <w:szCs w:val="18"/>
              </w:rPr>
            </w:pPr>
            <w:r>
              <w:rPr>
                <w:rFonts w:cs="Calibri"/>
                <w:spacing w:val="-1"/>
                <w:sz w:val="18"/>
                <w:szCs w:val="18"/>
              </w:rPr>
              <w:t>53</w:t>
            </w:r>
          </w:p>
        </w:tc>
        <w:tc>
          <w:tcPr>
            <w:tcW w:w="744" w:type="dxa"/>
          </w:tcPr>
          <w:p w:rsidR="00F41F71" w:rsidRDefault="00F41F71" w:rsidP="00F41F71">
            <w:pPr>
              <w:spacing w:before="144"/>
              <w:jc w:val="center"/>
              <w:rPr>
                <w:rFonts w:cs="Calibri"/>
                <w:spacing w:val="-1"/>
                <w:sz w:val="18"/>
                <w:szCs w:val="18"/>
              </w:rPr>
            </w:pPr>
            <w:r>
              <w:rPr>
                <w:rFonts w:cs="Calibri"/>
                <w:spacing w:val="-1"/>
                <w:sz w:val="18"/>
                <w:szCs w:val="18"/>
              </w:rPr>
              <w:t>174</w:t>
            </w:r>
          </w:p>
        </w:tc>
      </w:tr>
      <w:tr w:rsidR="00F41F71" w:rsidTr="00F41F71">
        <w:tc>
          <w:tcPr>
            <w:tcW w:w="1507" w:type="dxa"/>
          </w:tcPr>
          <w:p w:rsidR="00F41F71" w:rsidRPr="00F41F71" w:rsidRDefault="00F41F71" w:rsidP="00F41F71">
            <w:pPr>
              <w:spacing w:before="144"/>
              <w:jc w:val="center"/>
              <w:rPr>
                <w:rFonts w:cs="Calibri"/>
                <w:b/>
                <w:spacing w:val="-1"/>
                <w:sz w:val="18"/>
                <w:szCs w:val="18"/>
              </w:rPr>
            </w:pPr>
            <w:r w:rsidRPr="00F41F71">
              <w:rPr>
                <w:rFonts w:cs="Calibri"/>
                <w:b/>
                <w:spacing w:val="-1"/>
                <w:sz w:val="18"/>
                <w:szCs w:val="18"/>
              </w:rPr>
              <w:t>Clavicular fracture</w:t>
            </w:r>
          </w:p>
        </w:tc>
        <w:tc>
          <w:tcPr>
            <w:tcW w:w="591" w:type="dxa"/>
          </w:tcPr>
          <w:p w:rsidR="00F41F71" w:rsidRDefault="00F41F71" w:rsidP="00F41F71">
            <w:pPr>
              <w:spacing w:before="144"/>
              <w:jc w:val="center"/>
              <w:rPr>
                <w:rFonts w:cs="Calibri"/>
                <w:spacing w:val="-1"/>
                <w:sz w:val="18"/>
                <w:szCs w:val="18"/>
              </w:rPr>
            </w:pPr>
            <w:r>
              <w:rPr>
                <w:rFonts w:cs="Calibri"/>
                <w:spacing w:val="-1"/>
                <w:sz w:val="18"/>
                <w:szCs w:val="18"/>
              </w:rPr>
              <w:t>147</w:t>
            </w:r>
          </w:p>
        </w:tc>
        <w:tc>
          <w:tcPr>
            <w:tcW w:w="830" w:type="dxa"/>
          </w:tcPr>
          <w:p w:rsidR="00F41F71" w:rsidRDefault="00F41F71" w:rsidP="00F41F71">
            <w:pPr>
              <w:spacing w:before="144"/>
              <w:jc w:val="center"/>
              <w:rPr>
                <w:rFonts w:cs="Calibri"/>
                <w:spacing w:val="-1"/>
                <w:sz w:val="18"/>
                <w:szCs w:val="18"/>
              </w:rPr>
            </w:pPr>
            <w:r>
              <w:rPr>
                <w:rFonts w:cs="Calibri"/>
                <w:spacing w:val="-1"/>
                <w:sz w:val="18"/>
                <w:szCs w:val="18"/>
              </w:rPr>
              <w:t>29</w:t>
            </w:r>
          </w:p>
        </w:tc>
        <w:tc>
          <w:tcPr>
            <w:tcW w:w="723" w:type="dxa"/>
          </w:tcPr>
          <w:p w:rsidR="00F41F71" w:rsidRDefault="00F41F71" w:rsidP="00F41F71">
            <w:pPr>
              <w:spacing w:before="144"/>
              <w:jc w:val="center"/>
              <w:rPr>
                <w:rFonts w:cs="Calibri"/>
                <w:spacing w:val="-1"/>
                <w:sz w:val="18"/>
                <w:szCs w:val="18"/>
              </w:rPr>
            </w:pPr>
            <w:r>
              <w:rPr>
                <w:rFonts w:cs="Calibri"/>
                <w:spacing w:val="-1"/>
                <w:sz w:val="18"/>
                <w:szCs w:val="18"/>
              </w:rPr>
              <w:t>94</w:t>
            </w:r>
          </w:p>
        </w:tc>
        <w:tc>
          <w:tcPr>
            <w:tcW w:w="813" w:type="dxa"/>
          </w:tcPr>
          <w:p w:rsidR="00F41F71" w:rsidRDefault="00F41F71" w:rsidP="00F41F71">
            <w:pPr>
              <w:spacing w:before="144"/>
              <w:jc w:val="center"/>
              <w:rPr>
                <w:rFonts w:cs="Calibri"/>
                <w:spacing w:val="-1"/>
                <w:sz w:val="18"/>
                <w:szCs w:val="18"/>
              </w:rPr>
            </w:pPr>
            <w:r>
              <w:rPr>
                <w:rFonts w:cs="Calibri"/>
                <w:spacing w:val="-1"/>
                <w:sz w:val="18"/>
                <w:szCs w:val="18"/>
              </w:rPr>
              <w:t>53</w:t>
            </w:r>
          </w:p>
        </w:tc>
        <w:tc>
          <w:tcPr>
            <w:tcW w:w="723" w:type="dxa"/>
          </w:tcPr>
          <w:p w:rsidR="00F41F71" w:rsidRDefault="00F41F71" w:rsidP="00F41F71">
            <w:pPr>
              <w:spacing w:before="144"/>
              <w:jc w:val="center"/>
              <w:rPr>
                <w:rFonts w:cs="Calibri"/>
                <w:spacing w:val="-1"/>
                <w:sz w:val="18"/>
                <w:szCs w:val="18"/>
              </w:rPr>
            </w:pPr>
            <w:r>
              <w:rPr>
                <w:rFonts w:cs="Calibri"/>
                <w:spacing w:val="-1"/>
                <w:sz w:val="18"/>
                <w:szCs w:val="18"/>
              </w:rPr>
              <w:t>23</w:t>
            </w:r>
          </w:p>
        </w:tc>
        <w:tc>
          <w:tcPr>
            <w:tcW w:w="813" w:type="dxa"/>
          </w:tcPr>
          <w:p w:rsidR="00F41F71" w:rsidRDefault="00F41F71" w:rsidP="00F41F71">
            <w:pPr>
              <w:spacing w:before="144"/>
              <w:jc w:val="center"/>
              <w:rPr>
                <w:rFonts w:cs="Calibri"/>
                <w:spacing w:val="-1"/>
                <w:sz w:val="18"/>
                <w:szCs w:val="18"/>
              </w:rPr>
            </w:pPr>
            <w:r>
              <w:rPr>
                <w:rFonts w:cs="Calibri"/>
                <w:spacing w:val="-1"/>
                <w:sz w:val="18"/>
                <w:szCs w:val="18"/>
              </w:rPr>
              <w:t>33</w:t>
            </w:r>
          </w:p>
        </w:tc>
        <w:tc>
          <w:tcPr>
            <w:tcW w:w="723" w:type="dxa"/>
          </w:tcPr>
          <w:p w:rsidR="00F41F71" w:rsidRDefault="00F41F71" w:rsidP="00F41F71">
            <w:pPr>
              <w:spacing w:before="144"/>
              <w:jc w:val="center"/>
              <w:rPr>
                <w:rFonts w:cs="Calibri"/>
                <w:spacing w:val="-1"/>
                <w:sz w:val="18"/>
                <w:szCs w:val="18"/>
              </w:rPr>
            </w:pPr>
            <w:r>
              <w:rPr>
                <w:rFonts w:cs="Calibri"/>
                <w:spacing w:val="-1"/>
                <w:sz w:val="18"/>
                <w:szCs w:val="18"/>
              </w:rPr>
              <w:t>16</w:t>
            </w:r>
          </w:p>
        </w:tc>
        <w:tc>
          <w:tcPr>
            <w:tcW w:w="813" w:type="dxa"/>
          </w:tcPr>
          <w:p w:rsidR="00F41F71" w:rsidRDefault="00F41F71" w:rsidP="00F41F71">
            <w:pPr>
              <w:spacing w:before="144"/>
              <w:jc w:val="center"/>
              <w:rPr>
                <w:rFonts w:cs="Calibri"/>
                <w:spacing w:val="-1"/>
                <w:sz w:val="18"/>
                <w:szCs w:val="18"/>
              </w:rPr>
            </w:pPr>
            <w:r>
              <w:rPr>
                <w:rFonts w:cs="Calibri"/>
                <w:spacing w:val="-1"/>
                <w:sz w:val="18"/>
                <w:szCs w:val="18"/>
              </w:rPr>
              <w:t>21</w:t>
            </w:r>
          </w:p>
        </w:tc>
        <w:tc>
          <w:tcPr>
            <w:tcW w:w="723" w:type="dxa"/>
          </w:tcPr>
          <w:p w:rsidR="00F41F71" w:rsidRDefault="00F41F71" w:rsidP="00F41F71">
            <w:pPr>
              <w:spacing w:before="144"/>
              <w:jc w:val="center"/>
              <w:rPr>
                <w:rFonts w:cs="Calibri"/>
                <w:spacing w:val="-1"/>
                <w:sz w:val="18"/>
                <w:szCs w:val="18"/>
              </w:rPr>
            </w:pPr>
            <w:r>
              <w:rPr>
                <w:rFonts w:cs="Calibri"/>
                <w:spacing w:val="-1"/>
                <w:sz w:val="18"/>
                <w:szCs w:val="18"/>
              </w:rPr>
              <w:t>86</w:t>
            </w:r>
          </w:p>
        </w:tc>
        <w:tc>
          <w:tcPr>
            <w:tcW w:w="744" w:type="dxa"/>
          </w:tcPr>
          <w:p w:rsidR="00F41F71" w:rsidRDefault="00F41F71" w:rsidP="00F41F71">
            <w:pPr>
              <w:spacing w:before="144"/>
              <w:jc w:val="center"/>
              <w:rPr>
                <w:rFonts w:cs="Calibri"/>
                <w:spacing w:val="-1"/>
                <w:sz w:val="18"/>
                <w:szCs w:val="18"/>
              </w:rPr>
            </w:pPr>
            <w:r>
              <w:rPr>
                <w:rFonts w:cs="Calibri"/>
                <w:spacing w:val="-1"/>
                <w:sz w:val="18"/>
                <w:szCs w:val="18"/>
              </w:rPr>
              <w:t>44</w:t>
            </w:r>
          </w:p>
        </w:tc>
      </w:tr>
      <w:tr w:rsidR="00F41F71" w:rsidTr="00F41F71">
        <w:tc>
          <w:tcPr>
            <w:tcW w:w="1507" w:type="dxa"/>
          </w:tcPr>
          <w:p w:rsidR="00F41F71" w:rsidRPr="00F41F71" w:rsidRDefault="00F41F71" w:rsidP="00F41F71">
            <w:pPr>
              <w:spacing w:before="144"/>
              <w:jc w:val="center"/>
              <w:rPr>
                <w:rFonts w:cs="Calibri"/>
                <w:b/>
                <w:spacing w:val="-1"/>
                <w:sz w:val="18"/>
                <w:szCs w:val="18"/>
              </w:rPr>
            </w:pPr>
            <w:r w:rsidRPr="00F41F71">
              <w:rPr>
                <w:rFonts w:cs="Calibri"/>
                <w:b/>
                <w:spacing w:val="-1"/>
                <w:sz w:val="18"/>
                <w:szCs w:val="18"/>
              </w:rPr>
              <w:t>Scapular fracture</w:t>
            </w:r>
          </w:p>
        </w:tc>
        <w:tc>
          <w:tcPr>
            <w:tcW w:w="591" w:type="dxa"/>
          </w:tcPr>
          <w:p w:rsidR="00F41F71" w:rsidRDefault="00F41F71" w:rsidP="00F41F71">
            <w:pPr>
              <w:spacing w:before="144"/>
              <w:jc w:val="center"/>
              <w:rPr>
                <w:rFonts w:cs="Calibri"/>
                <w:spacing w:val="-1"/>
                <w:sz w:val="18"/>
                <w:szCs w:val="18"/>
              </w:rPr>
            </w:pPr>
            <w:r>
              <w:rPr>
                <w:rFonts w:cs="Calibri"/>
                <w:spacing w:val="-1"/>
                <w:sz w:val="18"/>
                <w:szCs w:val="18"/>
              </w:rPr>
              <w:t>14</w:t>
            </w:r>
          </w:p>
        </w:tc>
        <w:tc>
          <w:tcPr>
            <w:tcW w:w="830" w:type="dxa"/>
          </w:tcPr>
          <w:p w:rsidR="00F41F71" w:rsidRDefault="00F41F71" w:rsidP="00F41F71">
            <w:pPr>
              <w:spacing w:before="144"/>
              <w:jc w:val="center"/>
              <w:rPr>
                <w:rFonts w:cs="Calibri"/>
                <w:spacing w:val="-1"/>
                <w:sz w:val="18"/>
                <w:szCs w:val="18"/>
              </w:rPr>
            </w:pPr>
            <w:r>
              <w:rPr>
                <w:rFonts w:cs="Calibri"/>
                <w:spacing w:val="-1"/>
                <w:sz w:val="18"/>
                <w:szCs w:val="18"/>
              </w:rPr>
              <w:t>3</w:t>
            </w:r>
          </w:p>
        </w:tc>
        <w:tc>
          <w:tcPr>
            <w:tcW w:w="723" w:type="dxa"/>
          </w:tcPr>
          <w:p w:rsidR="00F41F71" w:rsidRDefault="00F41F71" w:rsidP="00F41F71">
            <w:pPr>
              <w:spacing w:before="144"/>
              <w:jc w:val="center"/>
              <w:rPr>
                <w:rFonts w:cs="Calibri"/>
                <w:spacing w:val="-1"/>
                <w:sz w:val="18"/>
                <w:szCs w:val="18"/>
              </w:rPr>
            </w:pPr>
            <w:r>
              <w:rPr>
                <w:rFonts w:cs="Calibri"/>
                <w:spacing w:val="-1"/>
                <w:sz w:val="18"/>
                <w:szCs w:val="18"/>
              </w:rPr>
              <w:t>10</w:t>
            </w:r>
          </w:p>
        </w:tc>
        <w:tc>
          <w:tcPr>
            <w:tcW w:w="813" w:type="dxa"/>
          </w:tcPr>
          <w:p w:rsidR="00F41F71" w:rsidRDefault="00F41F71" w:rsidP="00F41F71">
            <w:pPr>
              <w:spacing w:before="144"/>
              <w:jc w:val="center"/>
              <w:rPr>
                <w:rFonts w:cs="Calibri"/>
                <w:spacing w:val="-1"/>
                <w:sz w:val="18"/>
                <w:szCs w:val="18"/>
              </w:rPr>
            </w:pPr>
            <w:r>
              <w:rPr>
                <w:rFonts w:cs="Calibri"/>
                <w:spacing w:val="-1"/>
                <w:sz w:val="18"/>
                <w:szCs w:val="18"/>
              </w:rPr>
              <w:t>4</w:t>
            </w:r>
          </w:p>
        </w:tc>
        <w:tc>
          <w:tcPr>
            <w:tcW w:w="723" w:type="dxa"/>
          </w:tcPr>
          <w:p w:rsidR="00F41F71" w:rsidRDefault="00F41F71" w:rsidP="00F41F71">
            <w:pPr>
              <w:spacing w:before="144"/>
              <w:jc w:val="center"/>
              <w:rPr>
                <w:rFonts w:cs="Calibri"/>
                <w:spacing w:val="-1"/>
                <w:sz w:val="18"/>
                <w:szCs w:val="18"/>
              </w:rPr>
            </w:pPr>
            <w:r>
              <w:rPr>
                <w:rFonts w:cs="Calibri"/>
                <w:spacing w:val="-1"/>
                <w:sz w:val="18"/>
                <w:szCs w:val="18"/>
              </w:rPr>
              <w:t>45</w:t>
            </w:r>
          </w:p>
        </w:tc>
        <w:tc>
          <w:tcPr>
            <w:tcW w:w="813" w:type="dxa"/>
          </w:tcPr>
          <w:p w:rsidR="00F41F71" w:rsidRDefault="00F41F71" w:rsidP="00F41F71">
            <w:pPr>
              <w:spacing w:before="144"/>
              <w:jc w:val="center"/>
              <w:rPr>
                <w:rFonts w:cs="Calibri"/>
                <w:spacing w:val="-1"/>
                <w:sz w:val="18"/>
                <w:szCs w:val="18"/>
              </w:rPr>
            </w:pPr>
            <w:r>
              <w:rPr>
                <w:rFonts w:cs="Calibri"/>
                <w:spacing w:val="-1"/>
                <w:sz w:val="18"/>
                <w:szCs w:val="18"/>
              </w:rPr>
              <w:t>84</w:t>
            </w:r>
          </w:p>
        </w:tc>
        <w:tc>
          <w:tcPr>
            <w:tcW w:w="723" w:type="dxa"/>
          </w:tcPr>
          <w:p w:rsidR="00F41F71" w:rsidRDefault="00F41F71" w:rsidP="00F41F71">
            <w:pPr>
              <w:spacing w:before="144"/>
              <w:jc w:val="center"/>
              <w:rPr>
                <w:rFonts w:cs="Calibri"/>
                <w:spacing w:val="-1"/>
                <w:sz w:val="18"/>
                <w:szCs w:val="18"/>
              </w:rPr>
            </w:pPr>
            <w:r>
              <w:rPr>
                <w:rFonts w:cs="Calibri"/>
                <w:spacing w:val="-1"/>
                <w:sz w:val="18"/>
                <w:szCs w:val="18"/>
              </w:rPr>
              <w:t>49.5</w:t>
            </w:r>
          </w:p>
        </w:tc>
        <w:tc>
          <w:tcPr>
            <w:tcW w:w="813" w:type="dxa"/>
          </w:tcPr>
          <w:p w:rsidR="00F41F71" w:rsidRDefault="00F41F71" w:rsidP="00F41F71">
            <w:pPr>
              <w:spacing w:before="144"/>
              <w:jc w:val="center"/>
              <w:rPr>
                <w:rFonts w:cs="Calibri"/>
                <w:spacing w:val="-1"/>
                <w:sz w:val="18"/>
                <w:szCs w:val="18"/>
              </w:rPr>
            </w:pPr>
            <w:r>
              <w:rPr>
                <w:rFonts w:cs="Calibri"/>
                <w:spacing w:val="-1"/>
                <w:sz w:val="18"/>
                <w:szCs w:val="18"/>
              </w:rPr>
              <w:t>83.5</w:t>
            </w:r>
          </w:p>
        </w:tc>
        <w:tc>
          <w:tcPr>
            <w:tcW w:w="723" w:type="dxa"/>
          </w:tcPr>
          <w:p w:rsidR="00F41F71" w:rsidRDefault="00F41F71" w:rsidP="00F41F71">
            <w:pPr>
              <w:spacing w:before="144"/>
              <w:jc w:val="center"/>
              <w:rPr>
                <w:rFonts w:cs="Calibri"/>
                <w:spacing w:val="-1"/>
                <w:sz w:val="18"/>
                <w:szCs w:val="18"/>
              </w:rPr>
            </w:pPr>
            <w:r>
              <w:rPr>
                <w:rFonts w:cs="Calibri"/>
                <w:spacing w:val="-1"/>
                <w:sz w:val="18"/>
                <w:szCs w:val="18"/>
              </w:rPr>
              <w:t>9</w:t>
            </w:r>
          </w:p>
        </w:tc>
        <w:tc>
          <w:tcPr>
            <w:tcW w:w="744" w:type="dxa"/>
          </w:tcPr>
          <w:p w:rsidR="00F41F71" w:rsidRDefault="00F41F71" w:rsidP="00F41F71">
            <w:pPr>
              <w:spacing w:before="144"/>
              <w:jc w:val="center"/>
              <w:rPr>
                <w:rFonts w:cs="Calibri"/>
                <w:spacing w:val="-1"/>
                <w:sz w:val="18"/>
                <w:szCs w:val="18"/>
              </w:rPr>
            </w:pPr>
            <w:r>
              <w:rPr>
                <w:rFonts w:cs="Calibri"/>
                <w:spacing w:val="-1"/>
                <w:sz w:val="18"/>
                <w:szCs w:val="18"/>
              </w:rPr>
              <w:t>3</w:t>
            </w:r>
          </w:p>
        </w:tc>
      </w:tr>
      <w:tr w:rsidR="00F41F71" w:rsidTr="00F41F71">
        <w:tc>
          <w:tcPr>
            <w:tcW w:w="1507" w:type="dxa"/>
          </w:tcPr>
          <w:p w:rsidR="00F41F71" w:rsidRPr="00F41F71" w:rsidRDefault="00F41F71" w:rsidP="00F41F71">
            <w:pPr>
              <w:spacing w:before="144"/>
              <w:jc w:val="center"/>
              <w:rPr>
                <w:rFonts w:cs="Calibri"/>
                <w:b/>
                <w:spacing w:val="-1"/>
                <w:sz w:val="18"/>
                <w:szCs w:val="18"/>
              </w:rPr>
            </w:pPr>
            <w:r w:rsidRPr="00F41F71">
              <w:rPr>
                <w:rFonts w:cs="Calibri"/>
                <w:b/>
                <w:spacing w:val="-1"/>
                <w:sz w:val="18"/>
                <w:szCs w:val="18"/>
              </w:rPr>
              <w:t>Shoulder dislocation</w:t>
            </w:r>
          </w:p>
        </w:tc>
        <w:tc>
          <w:tcPr>
            <w:tcW w:w="591" w:type="dxa"/>
          </w:tcPr>
          <w:p w:rsidR="00F41F71" w:rsidRDefault="00F41F71" w:rsidP="00F41F71">
            <w:pPr>
              <w:spacing w:before="144"/>
              <w:jc w:val="center"/>
              <w:rPr>
                <w:rFonts w:cs="Calibri"/>
                <w:spacing w:val="-1"/>
                <w:sz w:val="18"/>
                <w:szCs w:val="18"/>
              </w:rPr>
            </w:pPr>
            <w:r>
              <w:rPr>
                <w:rFonts w:cs="Calibri"/>
                <w:spacing w:val="-1"/>
                <w:sz w:val="18"/>
                <w:szCs w:val="18"/>
              </w:rPr>
              <w:t>55</w:t>
            </w:r>
          </w:p>
        </w:tc>
        <w:tc>
          <w:tcPr>
            <w:tcW w:w="830" w:type="dxa"/>
          </w:tcPr>
          <w:p w:rsidR="00F41F71" w:rsidRDefault="00F41F71" w:rsidP="00F41F71">
            <w:pPr>
              <w:spacing w:before="144"/>
              <w:jc w:val="center"/>
              <w:rPr>
                <w:rFonts w:cs="Calibri"/>
                <w:spacing w:val="-1"/>
                <w:sz w:val="18"/>
                <w:szCs w:val="18"/>
              </w:rPr>
            </w:pPr>
            <w:r>
              <w:rPr>
                <w:rFonts w:cs="Calibri"/>
                <w:spacing w:val="-1"/>
                <w:sz w:val="18"/>
                <w:szCs w:val="18"/>
              </w:rPr>
              <w:t>11</w:t>
            </w:r>
          </w:p>
        </w:tc>
        <w:tc>
          <w:tcPr>
            <w:tcW w:w="723" w:type="dxa"/>
          </w:tcPr>
          <w:p w:rsidR="00F41F71" w:rsidRDefault="00F41F71" w:rsidP="00F41F71">
            <w:pPr>
              <w:spacing w:before="144"/>
              <w:jc w:val="center"/>
              <w:rPr>
                <w:rFonts w:cs="Calibri"/>
                <w:spacing w:val="-1"/>
                <w:sz w:val="18"/>
                <w:szCs w:val="18"/>
              </w:rPr>
            </w:pPr>
            <w:r>
              <w:rPr>
                <w:rFonts w:cs="Calibri"/>
                <w:spacing w:val="-1"/>
                <w:sz w:val="18"/>
                <w:szCs w:val="18"/>
              </w:rPr>
              <w:t>29</w:t>
            </w:r>
          </w:p>
        </w:tc>
        <w:tc>
          <w:tcPr>
            <w:tcW w:w="813" w:type="dxa"/>
          </w:tcPr>
          <w:p w:rsidR="00F41F71" w:rsidRDefault="00F41F71" w:rsidP="00F41F71">
            <w:pPr>
              <w:spacing w:before="144"/>
              <w:jc w:val="center"/>
              <w:rPr>
                <w:rFonts w:cs="Calibri"/>
                <w:spacing w:val="-1"/>
                <w:sz w:val="18"/>
                <w:szCs w:val="18"/>
              </w:rPr>
            </w:pPr>
            <w:r>
              <w:rPr>
                <w:rFonts w:cs="Calibri"/>
                <w:spacing w:val="-1"/>
                <w:sz w:val="18"/>
                <w:szCs w:val="18"/>
              </w:rPr>
              <w:t>26</w:t>
            </w:r>
          </w:p>
        </w:tc>
        <w:tc>
          <w:tcPr>
            <w:tcW w:w="723" w:type="dxa"/>
          </w:tcPr>
          <w:p w:rsidR="00F41F71" w:rsidRDefault="00F41F71" w:rsidP="00F41F71">
            <w:pPr>
              <w:spacing w:before="144"/>
              <w:jc w:val="center"/>
              <w:rPr>
                <w:rFonts w:cs="Calibri"/>
                <w:spacing w:val="-1"/>
                <w:sz w:val="18"/>
                <w:szCs w:val="18"/>
              </w:rPr>
            </w:pPr>
            <w:r>
              <w:rPr>
                <w:rFonts w:cs="Calibri"/>
                <w:spacing w:val="-1"/>
                <w:sz w:val="18"/>
                <w:szCs w:val="18"/>
              </w:rPr>
              <w:t>44</w:t>
            </w:r>
          </w:p>
        </w:tc>
        <w:tc>
          <w:tcPr>
            <w:tcW w:w="813" w:type="dxa"/>
          </w:tcPr>
          <w:p w:rsidR="00F41F71" w:rsidRDefault="00F41F71" w:rsidP="00F41F71">
            <w:pPr>
              <w:spacing w:before="144"/>
              <w:jc w:val="center"/>
              <w:rPr>
                <w:rFonts w:cs="Calibri"/>
                <w:spacing w:val="-1"/>
                <w:sz w:val="18"/>
                <w:szCs w:val="18"/>
              </w:rPr>
            </w:pPr>
            <w:r>
              <w:rPr>
                <w:rFonts w:cs="Calibri"/>
                <w:spacing w:val="-1"/>
                <w:sz w:val="18"/>
                <w:szCs w:val="18"/>
              </w:rPr>
              <w:t>63</w:t>
            </w:r>
          </w:p>
        </w:tc>
        <w:tc>
          <w:tcPr>
            <w:tcW w:w="723" w:type="dxa"/>
          </w:tcPr>
          <w:p w:rsidR="00F41F71" w:rsidRDefault="00F41F71" w:rsidP="00F41F71">
            <w:pPr>
              <w:spacing w:before="144"/>
              <w:jc w:val="center"/>
              <w:rPr>
                <w:rFonts w:cs="Calibri"/>
                <w:spacing w:val="-1"/>
                <w:sz w:val="18"/>
                <w:szCs w:val="18"/>
              </w:rPr>
            </w:pPr>
            <w:r>
              <w:rPr>
                <w:rFonts w:cs="Calibri"/>
                <w:spacing w:val="-1"/>
                <w:sz w:val="18"/>
                <w:szCs w:val="18"/>
              </w:rPr>
              <w:t>40</w:t>
            </w:r>
          </w:p>
        </w:tc>
        <w:tc>
          <w:tcPr>
            <w:tcW w:w="813" w:type="dxa"/>
          </w:tcPr>
          <w:p w:rsidR="00F41F71" w:rsidRDefault="00F41F71" w:rsidP="00F41F71">
            <w:pPr>
              <w:spacing w:before="144"/>
              <w:jc w:val="center"/>
              <w:rPr>
                <w:rFonts w:cs="Calibri"/>
                <w:spacing w:val="-1"/>
                <w:sz w:val="18"/>
                <w:szCs w:val="18"/>
              </w:rPr>
            </w:pPr>
            <w:r>
              <w:rPr>
                <w:rFonts w:cs="Calibri"/>
                <w:spacing w:val="-1"/>
                <w:sz w:val="18"/>
                <w:szCs w:val="18"/>
              </w:rPr>
              <w:t>68</w:t>
            </w:r>
          </w:p>
        </w:tc>
        <w:tc>
          <w:tcPr>
            <w:tcW w:w="723" w:type="dxa"/>
          </w:tcPr>
          <w:p w:rsidR="00F41F71" w:rsidRDefault="00F41F71" w:rsidP="00F41F71">
            <w:pPr>
              <w:spacing w:before="144"/>
              <w:jc w:val="center"/>
              <w:rPr>
                <w:rFonts w:cs="Calibri"/>
                <w:spacing w:val="-1"/>
                <w:sz w:val="18"/>
                <w:szCs w:val="18"/>
              </w:rPr>
            </w:pPr>
            <w:r>
              <w:rPr>
                <w:rFonts w:cs="Calibri"/>
                <w:spacing w:val="-1"/>
                <w:sz w:val="18"/>
                <w:szCs w:val="18"/>
              </w:rPr>
              <w:t>27</w:t>
            </w:r>
          </w:p>
        </w:tc>
        <w:tc>
          <w:tcPr>
            <w:tcW w:w="744" w:type="dxa"/>
          </w:tcPr>
          <w:p w:rsidR="00F41F71" w:rsidRDefault="00F41F71" w:rsidP="00F41F71">
            <w:pPr>
              <w:spacing w:before="144"/>
              <w:jc w:val="center"/>
              <w:rPr>
                <w:rFonts w:cs="Calibri"/>
                <w:spacing w:val="-1"/>
                <w:sz w:val="18"/>
                <w:szCs w:val="18"/>
              </w:rPr>
            </w:pPr>
            <w:r>
              <w:rPr>
                <w:rFonts w:cs="Calibri"/>
                <w:spacing w:val="-1"/>
                <w:sz w:val="18"/>
                <w:szCs w:val="18"/>
              </w:rPr>
              <w:t>22</w:t>
            </w:r>
          </w:p>
        </w:tc>
      </w:tr>
      <w:tr w:rsidR="00F41F71" w:rsidTr="00F41F71">
        <w:tc>
          <w:tcPr>
            <w:tcW w:w="1507" w:type="dxa"/>
          </w:tcPr>
          <w:p w:rsidR="00F41F71" w:rsidRPr="00F41F71" w:rsidRDefault="00F41F71" w:rsidP="00F41F71">
            <w:pPr>
              <w:spacing w:before="144"/>
              <w:jc w:val="center"/>
              <w:rPr>
                <w:rFonts w:cs="Calibri"/>
                <w:b/>
                <w:spacing w:val="-1"/>
                <w:sz w:val="18"/>
                <w:szCs w:val="18"/>
              </w:rPr>
            </w:pPr>
            <w:r w:rsidRPr="00F41F71">
              <w:rPr>
                <w:rFonts w:cs="Calibri"/>
                <w:b/>
                <w:spacing w:val="-1"/>
                <w:sz w:val="18"/>
                <w:szCs w:val="18"/>
              </w:rPr>
              <w:t>Acromioclavicular joint dislocation</w:t>
            </w:r>
          </w:p>
        </w:tc>
        <w:tc>
          <w:tcPr>
            <w:tcW w:w="591" w:type="dxa"/>
          </w:tcPr>
          <w:p w:rsidR="00F41F71" w:rsidRDefault="00F41F71" w:rsidP="00F41F71">
            <w:pPr>
              <w:spacing w:before="144"/>
              <w:jc w:val="center"/>
              <w:rPr>
                <w:rFonts w:cs="Calibri"/>
                <w:spacing w:val="-1"/>
                <w:sz w:val="18"/>
                <w:szCs w:val="18"/>
              </w:rPr>
            </w:pPr>
            <w:r>
              <w:rPr>
                <w:rFonts w:cs="Calibri"/>
                <w:spacing w:val="-1"/>
                <w:sz w:val="18"/>
                <w:szCs w:val="18"/>
              </w:rPr>
              <w:t>19</w:t>
            </w:r>
          </w:p>
        </w:tc>
        <w:tc>
          <w:tcPr>
            <w:tcW w:w="830" w:type="dxa"/>
          </w:tcPr>
          <w:p w:rsidR="00F41F71" w:rsidRDefault="00F41F71" w:rsidP="00F41F71">
            <w:pPr>
              <w:spacing w:before="144"/>
              <w:jc w:val="center"/>
              <w:rPr>
                <w:rFonts w:cs="Calibri"/>
                <w:spacing w:val="-1"/>
                <w:sz w:val="18"/>
                <w:szCs w:val="18"/>
              </w:rPr>
            </w:pPr>
            <w:r>
              <w:rPr>
                <w:rFonts w:cs="Calibri"/>
                <w:spacing w:val="-1"/>
                <w:sz w:val="18"/>
                <w:szCs w:val="18"/>
              </w:rPr>
              <w:t>4</w:t>
            </w:r>
          </w:p>
        </w:tc>
        <w:tc>
          <w:tcPr>
            <w:tcW w:w="723" w:type="dxa"/>
          </w:tcPr>
          <w:p w:rsidR="00F41F71" w:rsidRDefault="00F41F71" w:rsidP="00F41F71">
            <w:pPr>
              <w:spacing w:before="144"/>
              <w:jc w:val="center"/>
              <w:rPr>
                <w:rFonts w:cs="Calibri"/>
                <w:spacing w:val="-1"/>
                <w:sz w:val="18"/>
                <w:szCs w:val="18"/>
              </w:rPr>
            </w:pPr>
            <w:r>
              <w:rPr>
                <w:rFonts w:cs="Calibri"/>
                <w:spacing w:val="-1"/>
                <w:sz w:val="18"/>
                <w:szCs w:val="18"/>
              </w:rPr>
              <w:t>17</w:t>
            </w:r>
          </w:p>
        </w:tc>
        <w:tc>
          <w:tcPr>
            <w:tcW w:w="813" w:type="dxa"/>
          </w:tcPr>
          <w:p w:rsidR="00F41F71" w:rsidRDefault="00F41F71" w:rsidP="00F41F71">
            <w:pPr>
              <w:spacing w:before="144"/>
              <w:jc w:val="center"/>
              <w:rPr>
                <w:rFonts w:cs="Calibri"/>
                <w:spacing w:val="-1"/>
                <w:sz w:val="18"/>
                <w:szCs w:val="18"/>
              </w:rPr>
            </w:pPr>
            <w:r>
              <w:rPr>
                <w:rFonts w:cs="Calibri"/>
                <w:spacing w:val="-1"/>
                <w:sz w:val="18"/>
                <w:szCs w:val="18"/>
              </w:rPr>
              <w:t>2</w:t>
            </w:r>
          </w:p>
        </w:tc>
        <w:tc>
          <w:tcPr>
            <w:tcW w:w="723" w:type="dxa"/>
          </w:tcPr>
          <w:p w:rsidR="00F41F71" w:rsidRDefault="00F41F71" w:rsidP="00F41F71">
            <w:pPr>
              <w:spacing w:before="144"/>
              <w:jc w:val="center"/>
              <w:rPr>
                <w:rFonts w:cs="Calibri"/>
                <w:spacing w:val="-1"/>
                <w:sz w:val="18"/>
                <w:szCs w:val="18"/>
              </w:rPr>
            </w:pPr>
            <w:r>
              <w:rPr>
                <w:rFonts w:cs="Calibri"/>
                <w:spacing w:val="-1"/>
                <w:sz w:val="18"/>
                <w:szCs w:val="18"/>
              </w:rPr>
              <w:t>37</w:t>
            </w:r>
          </w:p>
        </w:tc>
        <w:tc>
          <w:tcPr>
            <w:tcW w:w="813" w:type="dxa"/>
          </w:tcPr>
          <w:p w:rsidR="00F41F71" w:rsidRDefault="00F41F71" w:rsidP="00F41F71">
            <w:pPr>
              <w:spacing w:before="144"/>
              <w:jc w:val="center"/>
              <w:rPr>
                <w:rFonts w:cs="Calibri"/>
                <w:spacing w:val="-1"/>
                <w:sz w:val="18"/>
                <w:szCs w:val="18"/>
              </w:rPr>
            </w:pPr>
            <w:r>
              <w:rPr>
                <w:rFonts w:cs="Calibri"/>
                <w:spacing w:val="-1"/>
                <w:sz w:val="18"/>
                <w:szCs w:val="18"/>
              </w:rPr>
              <w:t>26</w:t>
            </w:r>
          </w:p>
        </w:tc>
        <w:tc>
          <w:tcPr>
            <w:tcW w:w="723" w:type="dxa"/>
          </w:tcPr>
          <w:p w:rsidR="00F41F71" w:rsidRDefault="00F41F71" w:rsidP="00F41F71">
            <w:pPr>
              <w:spacing w:before="144"/>
              <w:jc w:val="center"/>
              <w:rPr>
                <w:rFonts w:cs="Calibri"/>
                <w:spacing w:val="-1"/>
                <w:sz w:val="18"/>
                <w:szCs w:val="18"/>
              </w:rPr>
            </w:pPr>
            <w:r>
              <w:rPr>
                <w:rFonts w:cs="Calibri"/>
                <w:spacing w:val="-1"/>
                <w:sz w:val="18"/>
                <w:szCs w:val="18"/>
              </w:rPr>
              <w:t>31</w:t>
            </w:r>
          </w:p>
        </w:tc>
        <w:tc>
          <w:tcPr>
            <w:tcW w:w="813" w:type="dxa"/>
          </w:tcPr>
          <w:p w:rsidR="00F41F71" w:rsidRDefault="00F41F71" w:rsidP="00F41F71">
            <w:pPr>
              <w:spacing w:before="144"/>
              <w:jc w:val="center"/>
              <w:rPr>
                <w:rFonts w:cs="Calibri"/>
                <w:spacing w:val="-1"/>
                <w:sz w:val="18"/>
                <w:szCs w:val="18"/>
              </w:rPr>
            </w:pPr>
            <w:r>
              <w:rPr>
                <w:rFonts w:cs="Calibri"/>
                <w:spacing w:val="-1"/>
                <w:sz w:val="18"/>
                <w:szCs w:val="18"/>
              </w:rPr>
              <w:t>26</w:t>
            </w:r>
          </w:p>
        </w:tc>
        <w:tc>
          <w:tcPr>
            <w:tcW w:w="723" w:type="dxa"/>
          </w:tcPr>
          <w:p w:rsidR="00F41F71" w:rsidRDefault="00F41F71" w:rsidP="00F41F71">
            <w:pPr>
              <w:spacing w:before="144"/>
              <w:jc w:val="center"/>
              <w:rPr>
                <w:rFonts w:cs="Calibri"/>
                <w:spacing w:val="-1"/>
                <w:sz w:val="18"/>
                <w:szCs w:val="18"/>
              </w:rPr>
            </w:pPr>
            <w:r>
              <w:rPr>
                <w:rFonts w:cs="Calibri"/>
                <w:spacing w:val="-1"/>
                <w:sz w:val="18"/>
                <w:szCs w:val="18"/>
              </w:rPr>
              <w:t>15</w:t>
            </w:r>
          </w:p>
        </w:tc>
        <w:tc>
          <w:tcPr>
            <w:tcW w:w="744" w:type="dxa"/>
          </w:tcPr>
          <w:p w:rsidR="00F41F71" w:rsidRDefault="00F41F71" w:rsidP="00F41F71">
            <w:pPr>
              <w:spacing w:before="144"/>
              <w:jc w:val="center"/>
              <w:rPr>
                <w:rFonts w:cs="Calibri"/>
                <w:spacing w:val="-1"/>
                <w:sz w:val="18"/>
                <w:szCs w:val="18"/>
              </w:rPr>
            </w:pPr>
            <w:r>
              <w:rPr>
                <w:rFonts w:cs="Calibri"/>
                <w:spacing w:val="-1"/>
                <w:sz w:val="18"/>
                <w:szCs w:val="18"/>
              </w:rPr>
              <w:t>2</w:t>
            </w:r>
          </w:p>
        </w:tc>
      </w:tr>
      <w:tr w:rsidR="00F41F71" w:rsidTr="00F41F71">
        <w:tc>
          <w:tcPr>
            <w:tcW w:w="1507" w:type="dxa"/>
          </w:tcPr>
          <w:p w:rsidR="00F41F71" w:rsidRPr="00F41F71" w:rsidRDefault="00F41F71" w:rsidP="00F41F71">
            <w:pPr>
              <w:spacing w:before="144"/>
              <w:jc w:val="center"/>
              <w:rPr>
                <w:rFonts w:cs="Calibri"/>
                <w:b/>
                <w:spacing w:val="-1"/>
                <w:sz w:val="18"/>
                <w:szCs w:val="18"/>
              </w:rPr>
            </w:pPr>
            <w:r w:rsidRPr="00F41F71">
              <w:rPr>
                <w:rFonts w:cs="Calibri"/>
                <w:b/>
                <w:spacing w:val="-1"/>
                <w:sz w:val="18"/>
                <w:szCs w:val="18"/>
              </w:rPr>
              <w:t>Total</w:t>
            </w:r>
          </w:p>
        </w:tc>
        <w:tc>
          <w:tcPr>
            <w:tcW w:w="591" w:type="dxa"/>
          </w:tcPr>
          <w:p w:rsidR="00F41F71" w:rsidRDefault="00F41F71" w:rsidP="00F41F71">
            <w:pPr>
              <w:spacing w:before="144"/>
              <w:jc w:val="center"/>
              <w:rPr>
                <w:rFonts w:cs="Calibri"/>
                <w:spacing w:val="-1"/>
                <w:sz w:val="18"/>
                <w:szCs w:val="18"/>
              </w:rPr>
            </w:pPr>
            <w:r>
              <w:rPr>
                <w:rFonts w:cs="Calibri"/>
                <w:spacing w:val="-1"/>
                <w:sz w:val="18"/>
                <w:szCs w:val="18"/>
              </w:rPr>
              <w:t>504</w:t>
            </w:r>
          </w:p>
        </w:tc>
        <w:tc>
          <w:tcPr>
            <w:tcW w:w="830" w:type="dxa"/>
          </w:tcPr>
          <w:p w:rsidR="00F41F71" w:rsidRDefault="00F41F71" w:rsidP="00F41F71">
            <w:pPr>
              <w:spacing w:before="144"/>
              <w:jc w:val="center"/>
              <w:rPr>
                <w:rFonts w:cs="Calibri"/>
                <w:spacing w:val="-1"/>
                <w:sz w:val="18"/>
                <w:szCs w:val="18"/>
              </w:rPr>
            </w:pPr>
            <w:r>
              <w:rPr>
                <w:rFonts w:cs="Calibri"/>
                <w:spacing w:val="-1"/>
                <w:sz w:val="18"/>
                <w:szCs w:val="18"/>
              </w:rPr>
              <w:t>100</w:t>
            </w:r>
          </w:p>
        </w:tc>
        <w:tc>
          <w:tcPr>
            <w:tcW w:w="723" w:type="dxa"/>
          </w:tcPr>
          <w:p w:rsidR="00F41F71" w:rsidRDefault="00F41F71" w:rsidP="00F41F71">
            <w:pPr>
              <w:spacing w:before="144"/>
              <w:jc w:val="center"/>
              <w:rPr>
                <w:rFonts w:cs="Calibri"/>
                <w:spacing w:val="-1"/>
                <w:sz w:val="18"/>
                <w:szCs w:val="18"/>
              </w:rPr>
            </w:pPr>
            <w:r>
              <w:rPr>
                <w:rFonts w:cs="Calibri"/>
                <w:spacing w:val="-1"/>
                <w:sz w:val="18"/>
                <w:szCs w:val="18"/>
              </w:rPr>
              <w:t>208</w:t>
            </w:r>
          </w:p>
        </w:tc>
        <w:tc>
          <w:tcPr>
            <w:tcW w:w="813" w:type="dxa"/>
          </w:tcPr>
          <w:p w:rsidR="00F41F71" w:rsidRDefault="00F41F71" w:rsidP="00F41F71">
            <w:pPr>
              <w:spacing w:before="144"/>
              <w:jc w:val="center"/>
              <w:rPr>
                <w:rFonts w:cs="Calibri"/>
                <w:spacing w:val="-1"/>
                <w:sz w:val="18"/>
                <w:szCs w:val="18"/>
              </w:rPr>
            </w:pPr>
            <w:r>
              <w:rPr>
                <w:rFonts w:cs="Calibri"/>
                <w:spacing w:val="-1"/>
                <w:sz w:val="18"/>
                <w:szCs w:val="18"/>
              </w:rPr>
              <w:t>296</w:t>
            </w:r>
          </w:p>
        </w:tc>
        <w:tc>
          <w:tcPr>
            <w:tcW w:w="723" w:type="dxa"/>
          </w:tcPr>
          <w:p w:rsidR="00F41F71" w:rsidRDefault="00F41F71" w:rsidP="00F41F71">
            <w:pPr>
              <w:spacing w:before="144"/>
              <w:jc w:val="center"/>
              <w:rPr>
                <w:rFonts w:cs="Calibri"/>
                <w:spacing w:val="-1"/>
                <w:sz w:val="18"/>
                <w:szCs w:val="18"/>
              </w:rPr>
            </w:pPr>
          </w:p>
        </w:tc>
        <w:tc>
          <w:tcPr>
            <w:tcW w:w="813" w:type="dxa"/>
          </w:tcPr>
          <w:p w:rsidR="00F41F71" w:rsidRDefault="00F41F71" w:rsidP="00F41F71">
            <w:pPr>
              <w:spacing w:before="144"/>
              <w:jc w:val="center"/>
              <w:rPr>
                <w:rFonts w:cs="Calibri"/>
                <w:spacing w:val="-1"/>
                <w:sz w:val="18"/>
                <w:szCs w:val="18"/>
              </w:rPr>
            </w:pPr>
          </w:p>
        </w:tc>
        <w:tc>
          <w:tcPr>
            <w:tcW w:w="723" w:type="dxa"/>
          </w:tcPr>
          <w:p w:rsidR="00F41F71" w:rsidRDefault="00F41F71" w:rsidP="00F41F71">
            <w:pPr>
              <w:spacing w:before="144"/>
              <w:jc w:val="center"/>
              <w:rPr>
                <w:rFonts w:cs="Calibri"/>
                <w:spacing w:val="-1"/>
                <w:sz w:val="18"/>
                <w:szCs w:val="18"/>
              </w:rPr>
            </w:pPr>
          </w:p>
        </w:tc>
        <w:tc>
          <w:tcPr>
            <w:tcW w:w="813" w:type="dxa"/>
          </w:tcPr>
          <w:p w:rsidR="00F41F71" w:rsidRDefault="00F41F71" w:rsidP="00F41F71">
            <w:pPr>
              <w:spacing w:before="144"/>
              <w:jc w:val="center"/>
              <w:rPr>
                <w:rFonts w:cs="Calibri"/>
                <w:spacing w:val="-1"/>
                <w:sz w:val="18"/>
                <w:szCs w:val="18"/>
              </w:rPr>
            </w:pPr>
          </w:p>
        </w:tc>
        <w:tc>
          <w:tcPr>
            <w:tcW w:w="723" w:type="dxa"/>
          </w:tcPr>
          <w:p w:rsidR="00F41F71" w:rsidRDefault="00F41F71" w:rsidP="00F41F71">
            <w:pPr>
              <w:spacing w:before="144"/>
              <w:jc w:val="center"/>
              <w:rPr>
                <w:rFonts w:cs="Calibri"/>
                <w:spacing w:val="-1"/>
                <w:sz w:val="18"/>
                <w:szCs w:val="18"/>
              </w:rPr>
            </w:pPr>
            <w:r>
              <w:rPr>
                <w:rFonts w:cs="Calibri"/>
                <w:spacing w:val="-1"/>
                <w:sz w:val="18"/>
                <w:szCs w:val="18"/>
              </w:rPr>
              <w:t>190</w:t>
            </w:r>
          </w:p>
        </w:tc>
        <w:tc>
          <w:tcPr>
            <w:tcW w:w="744" w:type="dxa"/>
          </w:tcPr>
          <w:p w:rsidR="00F41F71" w:rsidRDefault="00F41F71" w:rsidP="00F41F71">
            <w:pPr>
              <w:spacing w:before="144"/>
              <w:jc w:val="center"/>
              <w:rPr>
                <w:rFonts w:cs="Calibri"/>
                <w:spacing w:val="-1"/>
                <w:sz w:val="18"/>
                <w:szCs w:val="18"/>
              </w:rPr>
            </w:pPr>
            <w:r>
              <w:rPr>
                <w:rFonts w:cs="Calibri"/>
                <w:spacing w:val="-1"/>
                <w:sz w:val="18"/>
                <w:szCs w:val="18"/>
              </w:rPr>
              <w:t>245</w:t>
            </w:r>
          </w:p>
        </w:tc>
      </w:tr>
    </w:tbl>
    <w:p w:rsidR="009E7A5E" w:rsidRDefault="009E7A5E" w:rsidP="009E7A5E">
      <w:pPr>
        <w:spacing w:before="144" w:line="240" w:lineRule="auto"/>
        <w:jc w:val="both"/>
        <w:rPr>
          <w:rFonts w:cs="Calibri"/>
          <w:spacing w:val="-1"/>
          <w:sz w:val="18"/>
          <w:szCs w:val="18"/>
        </w:rPr>
      </w:pPr>
      <w:r>
        <w:rPr>
          <w:rFonts w:cs="Calibri"/>
          <w:spacing w:val="-1"/>
          <w:sz w:val="18"/>
          <w:szCs w:val="18"/>
        </w:rPr>
        <w:t xml:space="preserve">Table 2, </w:t>
      </w:r>
      <w:r w:rsidR="00F41F71">
        <w:rPr>
          <w:rFonts w:cs="Calibri"/>
          <w:spacing w:val="-1"/>
          <w:sz w:val="18"/>
          <w:szCs w:val="18"/>
        </w:rPr>
        <w:t>recreated</w:t>
      </w:r>
      <w:r>
        <w:rPr>
          <w:rFonts w:cs="Calibri"/>
          <w:spacing w:val="-1"/>
          <w:sz w:val="18"/>
          <w:szCs w:val="18"/>
        </w:rPr>
        <w:t xml:space="preserve"> from Nordqvist and Petersson</w:t>
      </w:r>
      <w:r w:rsidRPr="008719CD">
        <w:rPr>
          <w:rFonts w:cs="Calibri"/>
          <w:spacing w:val="-1"/>
          <w:sz w:val="18"/>
          <w:szCs w:val="18"/>
        </w:rPr>
        <w:t xml:space="preserve"> </w:t>
      </w:r>
      <w:r>
        <w:rPr>
          <w:rFonts w:cs="Calibri"/>
          <w:spacing w:val="-1"/>
          <w:sz w:val="18"/>
          <w:szCs w:val="18"/>
        </w:rPr>
        <w:t xml:space="preserve">(1995). </w:t>
      </w:r>
      <w:r w:rsidR="00B231E8">
        <w:rPr>
          <w:rFonts w:cs="Calibri"/>
          <w:spacing w:val="-1"/>
          <w:sz w:val="18"/>
          <w:szCs w:val="18"/>
        </w:rPr>
        <w:t xml:space="preserve">Table showing a greater incidence of proximal humeral fractures among males, and more clavicular fractures among females, highlighting the differences in the prevalence in these based on the differing activities between the two groups. </w:t>
      </w:r>
    </w:p>
    <w:p w:rsidR="00803BFB" w:rsidRDefault="00285A11" w:rsidP="003B5900">
      <w:pPr>
        <w:spacing w:line="360" w:lineRule="auto"/>
        <w:jc w:val="both"/>
        <w:rPr>
          <w:sz w:val="24"/>
          <w:szCs w:val="24"/>
        </w:rPr>
      </w:pPr>
      <w:r w:rsidRPr="00285A11">
        <w:rPr>
          <w:rFonts w:cs="Calibri"/>
          <w:spacing w:val="-1"/>
          <w:sz w:val="24"/>
          <w:szCs w:val="24"/>
        </w:rPr>
        <w:t>Nordqvist and Petersson (1995) record proximal humeral fractures to be the most common shoulder injury in their clinical analysis of shoulder trauma in Sweden, fol</w:t>
      </w:r>
      <w:r w:rsidR="00BE5B7E">
        <w:rPr>
          <w:rFonts w:cs="Calibri"/>
          <w:spacing w:val="-1"/>
          <w:sz w:val="24"/>
          <w:szCs w:val="24"/>
        </w:rPr>
        <w:t xml:space="preserve">lowed by clavicular fractures. </w:t>
      </w:r>
      <w:r w:rsidRPr="00285A11">
        <w:rPr>
          <w:rFonts w:cs="Calibri"/>
          <w:spacing w:val="-1"/>
          <w:sz w:val="24"/>
          <w:szCs w:val="24"/>
        </w:rPr>
        <w:t>This is reflected in this study by the presence of fractures in these locations and the absence of breakages on the scapula, however just one fracture was</w:t>
      </w:r>
      <w:r w:rsidR="00DE25CC">
        <w:rPr>
          <w:rFonts w:cs="Calibri"/>
          <w:spacing w:val="-1"/>
          <w:sz w:val="24"/>
          <w:szCs w:val="24"/>
        </w:rPr>
        <w:t xml:space="preserve"> identified in each location</w:t>
      </w:r>
      <w:r w:rsidR="0029017A">
        <w:rPr>
          <w:rFonts w:cs="Calibri"/>
          <w:spacing w:val="-1"/>
          <w:sz w:val="24"/>
          <w:szCs w:val="24"/>
        </w:rPr>
        <w:t xml:space="preserve"> in the coffin sample</w:t>
      </w:r>
      <w:r w:rsidR="00BE5B7E">
        <w:rPr>
          <w:rFonts w:cs="Calibri"/>
          <w:spacing w:val="-1"/>
          <w:sz w:val="24"/>
          <w:szCs w:val="24"/>
        </w:rPr>
        <w:t xml:space="preserve">. </w:t>
      </w:r>
      <w:r w:rsidR="00DE25CC">
        <w:rPr>
          <w:rFonts w:cs="Calibri"/>
          <w:spacing w:val="-1"/>
          <w:sz w:val="24"/>
          <w:szCs w:val="24"/>
        </w:rPr>
        <w:t>Moreover, t</w:t>
      </w:r>
      <w:r w:rsidRPr="00285A11">
        <w:rPr>
          <w:rFonts w:cs="Calibri"/>
          <w:spacing w:val="-1"/>
          <w:sz w:val="24"/>
          <w:szCs w:val="24"/>
        </w:rPr>
        <w:t>he study of fractures was limited across this research by the process of ante-mortem healing and osteological remodelling, disallowing a true prevalence to be determined.  The</w:t>
      </w:r>
      <w:r w:rsidRPr="00285A11">
        <w:rPr>
          <w:sz w:val="24"/>
          <w:szCs w:val="24"/>
        </w:rPr>
        <w:t xml:space="preserve"> prevalence of fractures is highly variable across the archaeological literature </w:t>
      </w:r>
      <w:r w:rsidR="0029017A">
        <w:rPr>
          <w:sz w:val="24"/>
          <w:szCs w:val="24"/>
        </w:rPr>
        <w:t>because</w:t>
      </w:r>
      <w:r w:rsidRPr="00285A11">
        <w:rPr>
          <w:sz w:val="24"/>
          <w:szCs w:val="24"/>
        </w:rPr>
        <w:t xml:space="preserve"> </w:t>
      </w:r>
      <w:r w:rsidR="00AC51B5">
        <w:rPr>
          <w:sz w:val="24"/>
          <w:szCs w:val="24"/>
        </w:rPr>
        <w:t>of</w:t>
      </w:r>
      <w:r w:rsidRPr="00285A11">
        <w:rPr>
          <w:sz w:val="24"/>
          <w:szCs w:val="24"/>
        </w:rPr>
        <w:t xml:space="preserve"> this factor and due to the differing of activities temporally and geographically.  </w:t>
      </w:r>
    </w:p>
    <w:p w:rsidR="00285A11" w:rsidRPr="00285A11" w:rsidRDefault="00285A11" w:rsidP="003B5900">
      <w:pPr>
        <w:spacing w:line="360" w:lineRule="auto"/>
        <w:jc w:val="both"/>
        <w:rPr>
          <w:sz w:val="24"/>
          <w:szCs w:val="24"/>
        </w:rPr>
      </w:pPr>
      <w:r w:rsidRPr="00285A11">
        <w:rPr>
          <w:sz w:val="24"/>
          <w:szCs w:val="24"/>
        </w:rPr>
        <w:t>The single clavicular fracture observed in this assemblage was oblique across the centre of the element, whilst the</w:t>
      </w:r>
      <w:r w:rsidR="000F5527">
        <w:rPr>
          <w:sz w:val="24"/>
          <w:szCs w:val="24"/>
        </w:rPr>
        <w:t xml:space="preserve"> two</w:t>
      </w:r>
      <w:r w:rsidRPr="00285A11">
        <w:rPr>
          <w:sz w:val="24"/>
          <w:szCs w:val="24"/>
        </w:rPr>
        <w:t xml:space="preserve"> humeral fracture</w:t>
      </w:r>
      <w:r w:rsidR="000F5527">
        <w:rPr>
          <w:sz w:val="24"/>
          <w:szCs w:val="24"/>
        </w:rPr>
        <w:t>s, one in the coffin and one in the shroud 2c sample, were</w:t>
      </w:r>
      <w:r w:rsidRPr="00285A11">
        <w:rPr>
          <w:sz w:val="24"/>
          <w:szCs w:val="24"/>
        </w:rPr>
        <w:t xml:space="preserve"> located on the proximal shaft, distal to the humeral neck, affecting the shoulder joint due to </w:t>
      </w:r>
      <w:r w:rsidR="00DE25CC">
        <w:rPr>
          <w:sz w:val="24"/>
          <w:szCs w:val="24"/>
        </w:rPr>
        <w:t>their</w:t>
      </w:r>
      <w:r w:rsidRPr="00285A11">
        <w:rPr>
          <w:sz w:val="24"/>
          <w:szCs w:val="24"/>
        </w:rPr>
        <w:t xml:space="preserve"> proximity to the surrounding muscle</w:t>
      </w:r>
      <w:r w:rsidR="00BE5B7E">
        <w:rPr>
          <w:sz w:val="24"/>
          <w:szCs w:val="24"/>
        </w:rPr>
        <w:t xml:space="preserve">s and their attachment points. </w:t>
      </w:r>
      <w:r w:rsidRPr="00285A11">
        <w:rPr>
          <w:sz w:val="24"/>
          <w:szCs w:val="24"/>
        </w:rPr>
        <w:t xml:space="preserve">No scapula fractures were identified in the </w:t>
      </w:r>
      <w:r w:rsidR="00563705" w:rsidRPr="00285A11">
        <w:rPr>
          <w:sz w:val="24"/>
          <w:szCs w:val="24"/>
        </w:rPr>
        <w:t>analysis</w:t>
      </w:r>
      <w:r w:rsidR="009E7A5E">
        <w:rPr>
          <w:sz w:val="24"/>
          <w:szCs w:val="24"/>
        </w:rPr>
        <w:t>,</w:t>
      </w:r>
      <w:r w:rsidRPr="00285A11">
        <w:rPr>
          <w:sz w:val="24"/>
          <w:szCs w:val="24"/>
        </w:rPr>
        <w:t xml:space="preserve"> </w:t>
      </w:r>
      <w:r w:rsidR="00563705" w:rsidRPr="00285A11">
        <w:rPr>
          <w:sz w:val="24"/>
          <w:szCs w:val="24"/>
        </w:rPr>
        <w:t>however</w:t>
      </w:r>
      <w:r w:rsidRPr="00285A11">
        <w:rPr>
          <w:sz w:val="24"/>
          <w:szCs w:val="24"/>
        </w:rPr>
        <w:t xml:space="preserve"> the bone was frequently heavily fragmented</w:t>
      </w:r>
      <w:r w:rsidR="003C7F4F">
        <w:rPr>
          <w:sz w:val="24"/>
          <w:szCs w:val="24"/>
        </w:rPr>
        <w:t>,</w:t>
      </w:r>
      <w:r w:rsidRPr="00285A11">
        <w:rPr>
          <w:sz w:val="24"/>
          <w:szCs w:val="24"/>
        </w:rPr>
        <w:t xml:space="preserve"> resulting in the assessment of fractures onl</w:t>
      </w:r>
      <w:r w:rsidR="00AC51B5">
        <w:rPr>
          <w:sz w:val="24"/>
          <w:szCs w:val="24"/>
        </w:rPr>
        <w:t>y considering the glenoid fossa and</w:t>
      </w:r>
      <w:r w:rsidRPr="00285A11">
        <w:rPr>
          <w:sz w:val="24"/>
          <w:szCs w:val="24"/>
        </w:rPr>
        <w:t xml:space="preserve"> acromion and coronoid processes, reducing the capacity of the assessment to identify the true rate of ante-mortem fractures.  </w:t>
      </w:r>
    </w:p>
    <w:p w:rsidR="006A5517" w:rsidRPr="006A5517" w:rsidRDefault="006A5517" w:rsidP="003B5900">
      <w:pPr>
        <w:pStyle w:val="Heading2"/>
        <w:spacing w:line="360" w:lineRule="auto"/>
        <w:ind w:left="1080"/>
        <w:jc w:val="both"/>
        <w:rPr>
          <w:rFonts w:asciiTheme="minorHAnsi" w:hAnsiTheme="minorHAnsi"/>
          <w:b w:val="0"/>
        </w:rPr>
      </w:pPr>
      <w:bookmarkStart w:id="15" w:name="_Toc499046295"/>
      <w:r w:rsidRPr="006A5517">
        <w:rPr>
          <w:rFonts w:asciiTheme="minorHAnsi" w:hAnsiTheme="minorHAnsi"/>
          <w:b w:val="0"/>
        </w:rPr>
        <w:lastRenderedPageBreak/>
        <w:t>Biological Sex</w:t>
      </w:r>
      <w:bookmarkEnd w:id="15"/>
      <w:r w:rsidRPr="006A5517">
        <w:rPr>
          <w:rFonts w:asciiTheme="minorHAnsi" w:hAnsiTheme="minorHAnsi"/>
          <w:b w:val="0"/>
        </w:rPr>
        <w:t xml:space="preserve"> </w:t>
      </w:r>
    </w:p>
    <w:p w:rsidR="009E7A5E" w:rsidRPr="006A3133" w:rsidRDefault="006A3133" w:rsidP="009E7A5E">
      <w:pPr>
        <w:spacing w:line="360" w:lineRule="auto"/>
        <w:jc w:val="both"/>
        <w:rPr>
          <w:sz w:val="24"/>
          <w:szCs w:val="24"/>
        </w:rPr>
      </w:pPr>
      <w:r w:rsidRPr="006A3133">
        <w:rPr>
          <w:sz w:val="24"/>
          <w:szCs w:val="24"/>
        </w:rPr>
        <w:t xml:space="preserve">The technological boom caused by the </w:t>
      </w:r>
      <w:r w:rsidR="009E7A5E" w:rsidRPr="006A3133">
        <w:rPr>
          <w:sz w:val="24"/>
          <w:szCs w:val="24"/>
        </w:rPr>
        <w:t xml:space="preserve">Industrial Revolution increased occupation diversity, urbanising towns and the jobs undertaken by the inhabiting population.  This in-turn created nouveau demographic roles as labour was distributed between social groups, which may have </w:t>
      </w:r>
      <w:r w:rsidR="00141DD5">
        <w:rPr>
          <w:sz w:val="24"/>
          <w:szCs w:val="24"/>
        </w:rPr>
        <w:t>impacted society in</w:t>
      </w:r>
      <w:r w:rsidR="009E7A5E" w:rsidRPr="006A3133">
        <w:rPr>
          <w:sz w:val="24"/>
          <w:szCs w:val="24"/>
        </w:rPr>
        <w:t xml:space="preserve"> Chichester due to its strong links to the local port (Hart, 2012). </w:t>
      </w:r>
    </w:p>
    <w:p w:rsidR="00B231E8" w:rsidRPr="00285A11" w:rsidRDefault="006A3133" w:rsidP="00B231E8">
      <w:pPr>
        <w:spacing w:line="360" w:lineRule="auto"/>
        <w:jc w:val="both"/>
        <w:rPr>
          <w:sz w:val="24"/>
          <w:szCs w:val="24"/>
        </w:rPr>
      </w:pPr>
      <w:r w:rsidRPr="006A3133">
        <w:rPr>
          <w:sz w:val="24"/>
          <w:szCs w:val="24"/>
        </w:rPr>
        <w:t>The concepts of gender and biological sex are clearly defined in physical anthropology; the former being a social and cultural construct and the</w:t>
      </w:r>
      <w:r w:rsidR="00BE5B7E">
        <w:rPr>
          <w:sz w:val="24"/>
          <w:szCs w:val="24"/>
        </w:rPr>
        <w:t xml:space="preserve"> latter a biological absolute. </w:t>
      </w:r>
      <w:r w:rsidRPr="006A3133">
        <w:rPr>
          <w:sz w:val="24"/>
          <w:szCs w:val="24"/>
        </w:rPr>
        <w:t>Despite this, social definitions of gender dictated treatment and conceptions of males and females and impacted lifestyle across 18</w:t>
      </w:r>
      <w:r w:rsidRPr="006A3133">
        <w:rPr>
          <w:sz w:val="24"/>
          <w:szCs w:val="24"/>
          <w:vertAlign w:val="superscript"/>
        </w:rPr>
        <w:t>th</w:t>
      </w:r>
      <w:r w:rsidRPr="006A3133">
        <w:rPr>
          <w:sz w:val="24"/>
          <w:szCs w:val="24"/>
        </w:rPr>
        <w:t xml:space="preserve"> and 19</w:t>
      </w:r>
      <w:r w:rsidRPr="006A3133">
        <w:rPr>
          <w:sz w:val="24"/>
          <w:szCs w:val="24"/>
          <w:vertAlign w:val="superscript"/>
        </w:rPr>
        <w:t>th</w:t>
      </w:r>
      <w:r w:rsidRPr="006A3133">
        <w:rPr>
          <w:sz w:val="24"/>
          <w:szCs w:val="24"/>
        </w:rPr>
        <w:t xml:space="preserve"> century England, as opportunities were limited and defined by gender (Burnette, 1997).</w:t>
      </w:r>
      <w:r w:rsidRPr="009E7A5E">
        <w:rPr>
          <w:b/>
          <w:sz w:val="24"/>
          <w:szCs w:val="24"/>
        </w:rPr>
        <w:t xml:space="preserve"> </w:t>
      </w:r>
      <w:r>
        <w:rPr>
          <w:sz w:val="24"/>
          <w:szCs w:val="24"/>
        </w:rPr>
        <w:t>Indeed, in this analysis e</w:t>
      </w:r>
      <w:r w:rsidR="00B231E8">
        <w:rPr>
          <w:sz w:val="24"/>
          <w:szCs w:val="24"/>
        </w:rPr>
        <w:t>xpected and actual counts calculated in the Chi-Squared Tests found c</w:t>
      </w:r>
      <w:r w:rsidR="00B231E8" w:rsidRPr="00285A11">
        <w:rPr>
          <w:sz w:val="24"/>
          <w:szCs w:val="24"/>
        </w:rPr>
        <w:t xml:space="preserve">ounts of </w:t>
      </w:r>
      <w:r w:rsidR="00B231E8">
        <w:rPr>
          <w:sz w:val="24"/>
          <w:szCs w:val="24"/>
        </w:rPr>
        <w:t xml:space="preserve">all </w:t>
      </w:r>
      <w:r w:rsidR="00B231E8" w:rsidRPr="00285A11">
        <w:rPr>
          <w:sz w:val="24"/>
          <w:szCs w:val="24"/>
        </w:rPr>
        <w:t>the diseases across the analysis were uniformly higher than expected in the male sample</w:t>
      </w:r>
      <w:r w:rsidR="00B231E8">
        <w:rPr>
          <w:sz w:val="24"/>
          <w:szCs w:val="24"/>
        </w:rPr>
        <w:t xml:space="preserve"> and lower in the female sample.</w:t>
      </w:r>
      <w:r w:rsidR="00B231E8" w:rsidRPr="00285A11">
        <w:rPr>
          <w:sz w:val="24"/>
          <w:szCs w:val="24"/>
        </w:rPr>
        <w:t xml:space="preserve"> </w:t>
      </w:r>
      <w:r w:rsidR="00B231E8">
        <w:rPr>
          <w:sz w:val="24"/>
          <w:szCs w:val="24"/>
        </w:rPr>
        <w:t xml:space="preserve"> </w:t>
      </w:r>
      <w:r w:rsidR="00B231E8" w:rsidRPr="00285A11">
        <w:rPr>
          <w:sz w:val="24"/>
          <w:szCs w:val="24"/>
        </w:rPr>
        <w:t>This uniform skew</w:t>
      </w:r>
      <w:r w:rsidR="00B231E8">
        <w:rPr>
          <w:sz w:val="24"/>
          <w:szCs w:val="24"/>
        </w:rPr>
        <w:t xml:space="preserve"> </w:t>
      </w:r>
      <w:r w:rsidR="00B231E8" w:rsidRPr="00285A11">
        <w:rPr>
          <w:sz w:val="24"/>
          <w:szCs w:val="24"/>
        </w:rPr>
        <w:t>outlines all the diseases to have occurred at a higher than expected prevalence in males, suggesting sex to impact the occurrence of the disease</w:t>
      </w:r>
      <w:r w:rsidR="00B231E8">
        <w:rPr>
          <w:sz w:val="24"/>
          <w:szCs w:val="24"/>
        </w:rPr>
        <w:t>s</w:t>
      </w:r>
      <w:r w:rsidR="00B231E8" w:rsidRPr="00285A11">
        <w:rPr>
          <w:sz w:val="24"/>
          <w:szCs w:val="24"/>
        </w:rPr>
        <w:t xml:space="preserve"> </w:t>
      </w:r>
      <w:r w:rsidR="00B231E8">
        <w:rPr>
          <w:sz w:val="24"/>
          <w:szCs w:val="24"/>
        </w:rPr>
        <w:t>across</w:t>
      </w:r>
      <w:r w:rsidR="00B231E8" w:rsidRPr="00285A11">
        <w:rPr>
          <w:sz w:val="24"/>
          <w:szCs w:val="24"/>
        </w:rPr>
        <w:t xml:space="preserve"> this sample</w:t>
      </w:r>
      <w:r w:rsidR="00B231E8">
        <w:rPr>
          <w:sz w:val="24"/>
          <w:szCs w:val="24"/>
        </w:rPr>
        <w:t xml:space="preserve">, whilst </w:t>
      </w:r>
      <w:r w:rsidR="00B231E8" w:rsidRPr="00285A11">
        <w:rPr>
          <w:sz w:val="24"/>
          <w:szCs w:val="24"/>
        </w:rPr>
        <w:t xml:space="preserve">males </w:t>
      </w:r>
      <w:r w:rsidR="00B231E8">
        <w:rPr>
          <w:sz w:val="24"/>
          <w:szCs w:val="24"/>
        </w:rPr>
        <w:t xml:space="preserve">were shown to </w:t>
      </w:r>
      <w:r w:rsidR="00B231E8" w:rsidRPr="00285A11">
        <w:rPr>
          <w:sz w:val="24"/>
          <w:szCs w:val="24"/>
        </w:rPr>
        <w:t xml:space="preserve">have been at a </w:t>
      </w:r>
      <w:r w:rsidR="00B231E8">
        <w:rPr>
          <w:sz w:val="24"/>
          <w:szCs w:val="24"/>
        </w:rPr>
        <w:t>significantly greater risk of having</w:t>
      </w:r>
      <w:r w:rsidR="00B231E8" w:rsidRPr="00285A11">
        <w:rPr>
          <w:sz w:val="24"/>
          <w:szCs w:val="24"/>
        </w:rPr>
        <w:t xml:space="preserve"> GH</w:t>
      </w:r>
      <w:r w:rsidR="00B231E8">
        <w:rPr>
          <w:sz w:val="24"/>
          <w:szCs w:val="24"/>
        </w:rPr>
        <w:t>J</w:t>
      </w:r>
      <w:r w:rsidR="00B231E8" w:rsidRPr="00285A11">
        <w:rPr>
          <w:sz w:val="24"/>
          <w:szCs w:val="24"/>
        </w:rPr>
        <w:t xml:space="preserve"> and ACJ OA than females.  </w:t>
      </w:r>
    </w:p>
    <w:p w:rsidR="00803BFB" w:rsidRPr="00285A11" w:rsidRDefault="00803BFB" w:rsidP="00803BFB">
      <w:pPr>
        <w:spacing w:line="360" w:lineRule="auto"/>
        <w:jc w:val="both"/>
        <w:rPr>
          <w:sz w:val="24"/>
          <w:szCs w:val="24"/>
        </w:rPr>
      </w:pPr>
      <w:r>
        <w:rPr>
          <w:sz w:val="24"/>
          <w:szCs w:val="24"/>
        </w:rPr>
        <w:t xml:space="preserve">Occurring </w:t>
      </w:r>
      <w:r w:rsidRPr="00285A11">
        <w:rPr>
          <w:sz w:val="24"/>
          <w:szCs w:val="24"/>
        </w:rPr>
        <w:t>at a higher prevalence in males than females by over 5</w:t>
      </w:r>
      <w:r>
        <w:rPr>
          <w:sz w:val="24"/>
          <w:szCs w:val="24"/>
        </w:rPr>
        <w:t xml:space="preserve">0%, results showed males to have </w:t>
      </w:r>
      <w:r w:rsidR="006A3133">
        <w:rPr>
          <w:sz w:val="24"/>
          <w:szCs w:val="24"/>
        </w:rPr>
        <w:t>greater odds</w:t>
      </w:r>
      <w:r>
        <w:rPr>
          <w:sz w:val="24"/>
          <w:szCs w:val="24"/>
        </w:rPr>
        <w:t xml:space="preserve"> o</w:t>
      </w:r>
      <w:r w:rsidR="006A3133">
        <w:rPr>
          <w:sz w:val="24"/>
          <w:szCs w:val="24"/>
        </w:rPr>
        <w:t>f</w:t>
      </w:r>
      <w:r>
        <w:rPr>
          <w:sz w:val="24"/>
          <w:szCs w:val="24"/>
        </w:rPr>
        <w:t xml:space="preserve"> having ACJ and GH</w:t>
      </w:r>
      <w:r w:rsidR="00BE5B7E">
        <w:rPr>
          <w:sz w:val="24"/>
          <w:szCs w:val="24"/>
        </w:rPr>
        <w:t xml:space="preserve">J OA. </w:t>
      </w:r>
      <w:r w:rsidRPr="00285A11">
        <w:rPr>
          <w:sz w:val="24"/>
          <w:szCs w:val="24"/>
        </w:rPr>
        <w:t xml:space="preserve">This is contradictory to research by Verbrugge (1995) and Hanna </w:t>
      </w:r>
      <w:r w:rsidRPr="00285A11">
        <w:rPr>
          <w:i/>
          <w:sz w:val="24"/>
          <w:szCs w:val="24"/>
        </w:rPr>
        <w:t>et al.</w:t>
      </w:r>
      <w:r w:rsidRPr="00285A11">
        <w:rPr>
          <w:sz w:val="24"/>
          <w:szCs w:val="24"/>
        </w:rPr>
        <w:t xml:space="preserve"> (2009), stating females to have a higher prevalence of OA in </w:t>
      </w:r>
      <w:r>
        <w:rPr>
          <w:sz w:val="24"/>
          <w:szCs w:val="24"/>
        </w:rPr>
        <w:t xml:space="preserve">Spanish and American </w:t>
      </w:r>
      <w:r w:rsidRPr="00285A11">
        <w:rPr>
          <w:sz w:val="24"/>
          <w:szCs w:val="24"/>
        </w:rPr>
        <w:t>clinical assessments</w:t>
      </w:r>
      <w:r w:rsidR="00BE5B7E">
        <w:rPr>
          <w:sz w:val="24"/>
          <w:szCs w:val="24"/>
        </w:rPr>
        <w:t>.</w:t>
      </w:r>
      <w:r>
        <w:rPr>
          <w:sz w:val="24"/>
          <w:szCs w:val="24"/>
        </w:rPr>
        <w:t xml:space="preserve"> Waldron (1992) equally </w:t>
      </w:r>
      <w:r w:rsidRPr="00285A11">
        <w:rPr>
          <w:sz w:val="24"/>
          <w:szCs w:val="24"/>
        </w:rPr>
        <w:t xml:space="preserve">found OA to occur at a higher rate in </w:t>
      </w:r>
      <w:r>
        <w:rPr>
          <w:sz w:val="24"/>
          <w:szCs w:val="24"/>
        </w:rPr>
        <w:t xml:space="preserve">females (39.5%), than </w:t>
      </w:r>
      <w:r w:rsidRPr="00285A11">
        <w:rPr>
          <w:sz w:val="24"/>
          <w:szCs w:val="24"/>
        </w:rPr>
        <w:t>males</w:t>
      </w:r>
      <w:r>
        <w:rPr>
          <w:sz w:val="24"/>
          <w:szCs w:val="24"/>
        </w:rPr>
        <w:t xml:space="preserve"> (34.3%),</w:t>
      </w:r>
      <w:r w:rsidRPr="00285A11">
        <w:rPr>
          <w:sz w:val="24"/>
          <w:szCs w:val="24"/>
        </w:rPr>
        <w:t xml:space="preserve"> on skeletal remains from the Bla</w:t>
      </w:r>
      <w:r w:rsidR="00BE5B7E">
        <w:rPr>
          <w:sz w:val="24"/>
          <w:szCs w:val="24"/>
        </w:rPr>
        <w:t xml:space="preserve">ck Death plague pit in London. </w:t>
      </w:r>
      <w:r w:rsidRPr="00285A11">
        <w:rPr>
          <w:sz w:val="24"/>
          <w:szCs w:val="24"/>
        </w:rPr>
        <w:t xml:space="preserve">This </w:t>
      </w:r>
      <w:r>
        <w:rPr>
          <w:sz w:val="24"/>
          <w:szCs w:val="24"/>
        </w:rPr>
        <w:t>opposes</w:t>
      </w:r>
      <w:r w:rsidRPr="00285A11">
        <w:rPr>
          <w:sz w:val="24"/>
          <w:szCs w:val="24"/>
        </w:rPr>
        <w:t xml:space="preserve"> the data in this research, however the sample analysed by Waldron (1992) was </w:t>
      </w:r>
      <w:r>
        <w:rPr>
          <w:sz w:val="24"/>
          <w:szCs w:val="24"/>
        </w:rPr>
        <w:t>small, comprised of</w:t>
      </w:r>
      <w:r w:rsidRPr="00285A11">
        <w:rPr>
          <w:sz w:val="24"/>
          <w:szCs w:val="24"/>
        </w:rPr>
        <w:t xml:space="preserve"> 23 males an</w:t>
      </w:r>
      <w:r>
        <w:rPr>
          <w:sz w:val="24"/>
          <w:szCs w:val="24"/>
        </w:rPr>
        <w:t>d just 9 females, suggesting tho</w:t>
      </w:r>
      <w:r w:rsidRPr="00285A11">
        <w:rPr>
          <w:sz w:val="24"/>
          <w:szCs w:val="24"/>
        </w:rPr>
        <w:t xml:space="preserve">se </w:t>
      </w:r>
      <w:r>
        <w:rPr>
          <w:sz w:val="24"/>
          <w:szCs w:val="24"/>
        </w:rPr>
        <w:t>results</w:t>
      </w:r>
      <w:r w:rsidRPr="00285A11">
        <w:rPr>
          <w:sz w:val="24"/>
          <w:szCs w:val="24"/>
        </w:rPr>
        <w:t xml:space="preserve"> could alter if </w:t>
      </w:r>
      <w:r w:rsidR="00BE5B7E">
        <w:rPr>
          <w:sz w:val="24"/>
          <w:szCs w:val="24"/>
        </w:rPr>
        <w:t xml:space="preserve">further remains were analysed. </w:t>
      </w:r>
      <w:r>
        <w:rPr>
          <w:sz w:val="24"/>
          <w:szCs w:val="24"/>
        </w:rPr>
        <w:t>R</w:t>
      </w:r>
      <w:r w:rsidRPr="00285A11">
        <w:rPr>
          <w:sz w:val="24"/>
          <w:szCs w:val="24"/>
        </w:rPr>
        <w:t xml:space="preserve">esults from Spitalfields by Waldron (1990) </w:t>
      </w:r>
      <w:r>
        <w:rPr>
          <w:sz w:val="24"/>
          <w:szCs w:val="24"/>
        </w:rPr>
        <w:t xml:space="preserve">conversely </w:t>
      </w:r>
      <w:r w:rsidRPr="00E0467F">
        <w:rPr>
          <w:sz w:val="24"/>
          <w:szCs w:val="24"/>
        </w:rPr>
        <w:t>support the results found in this study, finding the ratio of shoulder OA to be 1.1:1 between</w:t>
      </w:r>
      <w:r w:rsidRPr="00285A11">
        <w:rPr>
          <w:sz w:val="24"/>
          <w:szCs w:val="24"/>
        </w:rPr>
        <w:t xml:space="preserve"> males and </w:t>
      </w:r>
      <w:r w:rsidR="00BE5B7E">
        <w:rPr>
          <w:sz w:val="24"/>
          <w:szCs w:val="24"/>
        </w:rPr>
        <w:t xml:space="preserve">females. </w:t>
      </w:r>
      <w:r w:rsidRPr="00E0467F">
        <w:rPr>
          <w:sz w:val="24"/>
          <w:szCs w:val="24"/>
        </w:rPr>
        <w:t xml:space="preserve">These studies show there to be great variability between the prevalence of OA between the sexes, with rates altering across studies.  The significantly higher rate of shoulder OA in males found in this study could be suggested to be related to physical activity differences between the sexes </w:t>
      </w:r>
      <w:r w:rsidRPr="00E0467F">
        <w:rPr>
          <w:rFonts w:cs="Calibri"/>
          <w:spacing w:val="-1"/>
          <w:sz w:val="24"/>
          <w:szCs w:val="24"/>
        </w:rPr>
        <w:lastRenderedPageBreak/>
        <w:t>(Stirland and Waldron, 1997)</w:t>
      </w:r>
      <w:r w:rsidRPr="00E0467F">
        <w:rPr>
          <w:sz w:val="24"/>
          <w:szCs w:val="24"/>
        </w:rPr>
        <w:t>, or due to a genetic predisposition in the males within the sample.</w:t>
      </w:r>
      <w:r w:rsidRPr="00285A11">
        <w:rPr>
          <w:sz w:val="24"/>
          <w:szCs w:val="24"/>
        </w:rPr>
        <w:t xml:space="preserve">  </w:t>
      </w:r>
    </w:p>
    <w:p w:rsidR="00803BFB" w:rsidRDefault="007156B3" w:rsidP="003B5900">
      <w:pPr>
        <w:spacing w:line="360" w:lineRule="auto"/>
        <w:jc w:val="both"/>
        <w:rPr>
          <w:sz w:val="24"/>
          <w:szCs w:val="24"/>
        </w:rPr>
      </w:pPr>
      <w:r>
        <w:rPr>
          <w:sz w:val="24"/>
          <w:szCs w:val="24"/>
        </w:rPr>
        <w:t xml:space="preserve">RCD </w:t>
      </w:r>
      <w:r w:rsidR="00141DD5">
        <w:rPr>
          <w:sz w:val="24"/>
          <w:szCs w:val="24"/>
        </w:rPr>
        <w:t xml:space="preserve">prevalence </w:t>
      </w:r>
      <w:r>
        <w:rPr>
          <w:sz w:val="24"/>
          <w:szCs w:val="24"/>
        </w:rPr>
        <w:t xml:space="preserve">was </w:t>
      </w:r>
      <w:r w:rsidR="0029017A">
        <w:rPr>
          <w:sz w:val="24"/>
          <w:szCs w:val="24"/>
        </w:rPr>
        <w:t>higher</w:t>
      </w:r>
      <w:r>
        <w:rPr>
          <w:sz w:val="24"/>
          <w:szCs w:val="24"/>
        </w:rPr>
        <w:t xml:space="preserve"> in</w:t>
      </w:r>
      <w:r w:rsidR="0029017A">
        <w:rPr>
          <w:sz w:val="24"/>
          <w:szCs w:val="24"/>
        </w:rPr>
        <w:t xml:space="preserve"> males</w:t>
      </w:r>
      <w:r w:rsidR="00285A11" w:rsidRPr="00285A11">
        <w:rPr>
          <w:sz w:val="24"/>
          <w:szCs w:val="24"/>
        </w:rPr>
        <w:t xml:space="preserve"> </w:t>
      </w:r>
      <w:r w:rsidR="00B56E55">
        <w:rPr>
          <w:sz w:val="24"/>
          <w:szCs w:val="24"/>
        </w:rPr>
        <w:t>(</w:t>
      </w:r>
      <w:r w:rsidR="00285A11" w:rsidRPr="00285A11">
        <w:rPr>
          <w:sz w:val="24"/>
          <w:szCs w:val="24"/>
        </w:rPr>
        <w:t>24%</w:t>
      </w:r>
      <w:r w:rsidR="00B56E55">
        <w:rPr>
          <w:sz w:val="24"/>
          <w:szCs w:val="24"/>
        </w:rPr>
        <w:t>)</w:t>
      </w:r>
      <w:r w:rsidR="0029017A">
        <w:rPr>
          <w:sz w:val="24"/>
          <w:szCs w:val="24"/>
        </w:rPr>
        <w:t xml:space="preserve"> than females</w:t>
      </w:r>
      <w:r w:rsidR="00285A11" w:rsidRPr="00285A11">
        <w:rPr>
          <w:sz w:val="24"/>
          <w:szCs w:val="24"/>
        </w:rPr>
        <w:t xml:space="preserve"> </w:t>
      </w:r>
      <w:r w:rsidR="00B56E55">
        <w:rPr>
          <w:sz w:val="24"/>
          <w:szCs w:val="24"/>
        </w:rPr>
        <w:t>(</w:t>
      </w:r>
      <w:r w:rsidR="00285A11" w:rsidRPr="00285A11">
        <w:rPr>
          <w:sz w:val="24"/>
          <w:szCs w:val="24"/>
        </w:rPr>
        <w:t>10%</w:t>
      </w:r>
      <w:r w:rsidR="00B56E55">
        <w:rPr>
          <w:sz w:val="24"/>
          <w:szCs w:val="24"/>
        </w:rPr>
        <w:t>)</w:t>
      </w:r>
      <w:r w:rsidR="00285A11" w:rsidRPr="00285A11">
        <w:rPr>
          <w:sz w:val="24"/>
          <w:szCs w:val="24"/>
        </w:rPr>
        <w:t xml:space="preserve">, which is contrary </w:t>
      </w:r>
      <w:r w:rsidR="00F931E8">
        <w:rPr>
          <w:sz w:val="24"/>
          <w:szCs w:val="24"/>
        </w:rPr>
        <w:t xml:space="preserve">to findings by Waldron (2009). </w:t>
      </w:r>
      <w:r w:rsidR="00285A11" w:rsidRPr="00285A11">
        <w:rPr>
          <w:sz w:val="24"/>
          <w:szCs w:val="24"/>
        </w:rPr>
        <w:t xml:space="preserve">Impingement similarly occurred at a higher prevalence in males </w:t>
      </w:r>
      <w:r w:rsidR="00BD7030">
        <w:rPr>
          <w:sz w:val="24"/>
          <w:szCs w:val="24"/>
        </w:rPr>
        <w:t xml:space="preserve">(8%) </w:t>
      </w:r>
      <w:r w:rsidR="00285A11" w:rsidRPr="00285A11">
        <w:rPr>
          <w:sz w:val="24"/>
          <w:szCs w:val="24"/>
        </w:rPr>
        <w:t xml:space="preserve">as no cases of impingement were observed on females, which is complemented by Yamamoto </w:t>
      </w:r>
      <w:r w:rsidR="00285A11" w:rsidRPr="00285A11">
        <w:rPr>
          <w:i/>
          <w:sz w:val="24"/>
          <w:szCs w:val="24"/>
        </w:rPr>
        <w:t>et al</w:t>
      </w:r>
      <w:r w:rsidR="00285A11" w:rsidRPr="00285A11">
        <w:rPr>
          <w:sz w:val="24"/>
          <w:szCs w:val="24"/>
        </w:rPr>
        <w:t xml:space="preserve">. (2010), who found </w:t>
      </w:r>
      <w:r w:rsidR="00B56E55">
        <w:rPr>
          <w:sz w:val="24"/>
          <w:szCs w:val="24"/>
        </w:rPr>
        <w:t>sex</w:t>
      </w:r>
      <w:r w:rsidR="00285A11" w:rsidRPr="00285A11">
        <w:rPr>
          <w:sz w:val="24"/>
          <w:szCs w:val="24"/>
        </w:rPr>
        <w:t xml:space="preserve"> to be a significant factor in the presence of rotator cuff tears</w:t>
      </w:r>
      <w:r w:rsidR="0029017A">
        <w:rPr>
          <w:sz w:val="24"/>
          <w:szCs w:val="24"/>
        </w:rPr>
        <w:t xml:space="preserve"> in Japan</w:t>
      </w:r>
      <w:r w:rsidR="00285A11" w:rsidRPr="00285A11">
        <w:rPr>
          <w:sz w:val="24"/>
          <w:szCs w:val="24"/>
        </w:rPr>
        <w:t xml:space="preserve">, (P=0.007).  </w:t>
      </w:r>
    </w:p>
    <w:p w:rsidR="00285A11" w:rsidRPr="00285A11" w:rsidRDefault="00285A11" w:rsidP="003B5900">
      <w:pPr>
        <w:spacing w:line="360" w:lineRule="auto"/>
        <w:jc w:val="both"/>
        <w:rPr>
          <w:sz w:val="24"/>
          <w:szCs w:val="24"/>
        </w:rPr>
      </w:pPr>
      <w:r w:rsidRPr="00285A11">
        <w:rPr>
          <w:sz w:val="24"/>
          <w:szCs w:val="24"/>
        </w:rPr>
        <w:t xml:space="preserve">The higher prevalence </w:t>
      </w:r>
      <w:r w:rsidR="00850E6B">
        <w:rPr>
          <w:sz w:val="24"/>
          <w:szCs w:val="24"/>
        </w:rPr>
        <w:t>of fractures</w:t>
      </w:r>
      <w:r w:rsidR="00F931E8">
        <w:rPr>
          <w:sz w:val="24"/>
          <w:szCs w:val="24"/>
        </w:rPr>
        <w:t xml:space="preserve"> </w:t>
      </w:r>
      <w:r w:rsidRPr="00285A11">
        <w:rPr>
          <w:sz w:val="24"/>
          <w:szCs w:val="24"/>
        </w:rPr>
        <w:t xml:space="preserve">in males in this </w:t>
      </w:r>
      <w:r w:rsidR="00CD7C51">
        <w:rPr>
          <w:sz w:val="24"/>
          <w:szCs w:val="24"/>
        </w:rPr>
        <w:t>study</w:t>
      </w:r>
      <w:r w:rsidRPr="00285A11">
        <w:rPr>
          <w:sz w:val="24"/>
          <w:szCs w:val="24"/>
        </w:rPr>
        <w:t xml:space="preserve"> is</w:t>
      </w:r>
      <w:r w:rsidR="00352E36">
        <w:rPr>
          <w:sz w:val="24"/>
          <w:szCs w:val="24"/>
        </w:rPr>
        <w:t xml:space="preserve"> not</w:t>
      </w:r>
      <w:r w:rsidRPr="00285A11">
        <w:rPr>
          <w:sz w:val="24"/>
          <w:szCs w:val="24"/>
        </w:rPr>
        <w:t xml:space="preserve"> deemed </w:t>
      </w:r>
      <w:r w:rsidR="00352E36">
        <w:rPr>
          <w:sz w:val="24"/>
          <w:szCs w:val="24"/>
        </w:rPr>
        <w:t>noteworthy</w:t>
      </w:r>
      <w:r w:rsidR="0081346E">
        <w:rPr>
          <w:sz w:val="24"/>
          <w:szCs w:val="24"/>
        </w:rPr>
        <w:t xml:space="preserve"> as just two</w:t>
      </w:r>
      <w:r w:rsidRPr="00285A11">
        <w:rPr>
          <w:sz w:val="24"/>
          <w:szCs w:val="24"/>
        </w:rPr>
        <w:t xml:space="preserve"> fractures were </w:t>
      </w:r>
      <w:r w:rsidR="0081346E">
        <w:rPr>
          <w:sz w:val="24"/>
          <w:szCs w:val="24"/>
        </w:rPr>
        <w:t>seen in the</w:t>
      </w:r>
      <w:r w:rsidR="004B1B6E">
        <w:rPr>
          <w:sz w:val="24"/>
          <w:szCs w:val="24"/>
        </w:rPr>
        <w:t xml:space="preserve"> coffin sample</w:t>
      </w:r>
      <w:r w:rsidRPr="00285A11">
        <w:rPr>
          <w:sz w:val="24"/>
          <w:szCs w:val="24"/>
        </w:rPr>
        <w:t>, suggesting shoulde</w:t>
      </w:r>
      <w:r w:rsidR="0029017A">
        <w:rPr>
          <w:sz w:val="24"/>
          <w:szCs w:val="24"/>
        </w:rPr>
        <w:t xml:space="preserve">r </w:t>
      </w:r>
      <w:r w:rsidR="00F931E8">
        <w:rPr>
          <w:sz w:val="24"/>
          <w:szCs w:val="24"/>
        </w:rPr>
        <w:t xml:space="preserve">fractures were not widespread. </w:t>
      </w:r>
      <w:r w:rsidR="0029017A">
        <w:rPr>
          <w:sz w:val="24"/>
          <w:szCs w:val="24"/>
        </w:rPr>
        <w:t xml:space="preserve">Moreover, </w:t>
      </w:r>
      <w:r w:rsidRPr="00285A11">
        <w:rPr>
          <w:sz w:val="24"/>
          <w:szCs w:val="24"/>
        </w:rPr>
        <w:t>healed fractures may have existed which were</w:t>
      </w:r>
      <w:r w:rsidR="0029017A">
        <w:rPr>
          <w:sz w:val="24"/>
          <w:szCs w:val="24"/>
        </w:rPr>
        <w:t xml:space="preserve"> unidentifiable, meaning conclusions </w:t>
      </w:r>
      <w:r w:rsidRPr="00285A11">
        <w:rPr>
          <w:sz w:val="24"/>
          <w:szCs w:val="24"/>
        </w:rPr>
        <w:t xml:space="preserve">of the </w:t>
      </w:r>
      <w:r w:rsidR="00F931E8">
        <w:rPr>
          <w:sz w:val="24"/>
          <w:szCs w:val="24"/>
        </w:rPr>
        <w:t>fracture’s</w:t>
      </w:r>
      <w:r w:rsidR="00352E36">
        <w:rPr>
          <w:sz w:val="24"/>
          <w:szCs w:val="24"/>
        </w:rPr>
        <w:t xml:space="preserve"> </w:t>
      </w:r>
      <w:r w:rsidRPr="00285A11">
        <w:rPr>
          <w:sz w:val="24"/>
          <w:szCs w:val="24"/>
        </w:rPr>
        <w:t xml:space="preserve">distribution </w:t>
      </w:r>
      <w:r w:rsidR="00B56E55">
        <w:rPr>
          <w:sz w:val="24"/>
          <w:szCs w:val="24"/>
        </w:rPr>
        <w:t>in the population are</w:t>
      </w:r>
      <w:r w:rsidRPr="00285A11">
        <w:rPr>
          <w:sz w:val="24"/>
          <w:szCs w:val="24"/>
        </w:rPr>
        <w:t xml:space="preserve"> indeterminable.  </w:t>
      </w:r>
    </w:p>
    <w:p w:rsidR="006A5517" w:rsidRPr="006A5517" w:rsidRDefault="006A5517" w:rsidP="003B5900">
      <w:pPr>
        <w:pStyle w:val="Heading2"/>
        <w:spacing w:line="360" w:lineRule="auto"/>
        <w:ind w:left="1080"/>
        <w:jc w:val="both"/>
        <w:rPr>
          <w:rFonts w:asciiTheme="minorHAnsi" w:hAnsiTheme="minorHAnsi"/>
          <w:b w:val="0"/>
        </w:rPr>
      </w:pPr>
      <w:bookmarkStart w:id="16" w:name="_Toc499046296"/>
      <w:r w:rsidRPr="006A5517">
        <w:rPr>
          <w:rFonts w:asciiTheme="minorHAnsi" w:hAnsiTheme="minorHAnsi"/>
          <w:b w:val="0"/>
        </w:rPr>
        <w:t>Biological Age</w:t>
      </w:r>
      <w:bookmarkEnd w:id="16"/>
    </w:p>
    <w:p w:rsidR="00285A11" w:rsidRPr="00285A11" w:rsidRDefault="00113A1D" w:rsidP="003B5900">
      <w:pPr>
        <w:spacing w:line="360" w:lineRule="auto"/>
        <w:jc w:val="both"/>
        <w:rPr>
          <w:sz w:val="24"/>
          <w:szCs w:val="24"/>
        </w:rPr>
      </w:pPr>
      <w:r>
        <w:rPr>
          <w:sz w:val="24"/>
          <w:szCs w:val="24"/>
        </w:rPr>
        <w:t xml:space="preserve">Results correspond to published literature finding </w:t>
      </w:r>
      <w:r w:rsidR="00285A11" w:rsidRPr="00285A11">
        <w:rPr>
          <w:sz w:val="24"/>
          <w:szCs w:val="24"/>
        </w:rPr>
        <w:t xml:space="preserve">age </w:t>
      </w:r>
      <w:r w:rsidR="0029017A">
        <w:rPr>
          <w:sz w:val="24"/>
          <w:szCs w:val="24"/>
        </w:rPr>
        <w:t>greatly influenced both</w:t>
      </w:r>
      <w:r w:rsidR="00285A11" w:rsidRPr="00285A11">
        <w:rPr>
          <w:sz w:val="24"/>
          <w:szCs w:val="24"/>
        </w:rPr>
        <w:t xml:space="preserve"> GH</w:t>
      </w:r>
      <w:r w:rsidR="00CB2812">
        <w:rPr>
          <w:sz w:val="24"/>
          <w:szCs w:val="24"/>
        </w:rPr>
        <w:t>J</w:t>
      </w:r>
      <w:r w:rsidR="00285A11" w:rsidRPr="00285A11">
        <w:rPr>
          <w:sz w:val="24"/>
          <w:szCs w:val="24"/>
        </w:rPr>
        <w:t xml:space="preserve"> OA </w:t>
      </w:r>
      <w:r w:rsidR="0029017A">
        <w:rPr>
          <w:sz w:val="24"/>
          <w:szCs w:val="24"/>
        </w:rPr>
        <w:t xml:space="preserve">and </w:t>
      </w:r>
      <w:r w:rsidR="00A37583" w:rsidRPr="00285A11">
        <w:rPr>
          <w:sz w:val="24"/>
          <w:szCs w:val="24"/>
        </w:rPr>
        <w:t>ACJ OA (</w:t>
      </w:r>
      <w:r w:rsidR="00F442B7">
        <w:rPr>
          <w:sz w:val="24"/>
          <w:szCs w:val="24"/>
        </w:rPr>
        <w:t>see figure 5</w:t>
      </w:r>
      <w:r w:rsidR="00A37583" w:rsidRPr="00285A11">
        <w:rPr>
          <w:sz w:val="24"/>
          <w:szCs w:val="24"/>
        </w:rPr>
        <w:t>)</w:t>
      </w:r>
      <w:r w:rsidR="00A37583">
        <w:rPr>
          <w:sz w:val="24"/>
          <w:szCs w:val="24"/>
        </w:rPr>
        <w:t xml:space="preserve">, </w:t>
      </w:r>
      <w:r w:rsidR="00285A11" w:rsidRPr="00285A11">
        <w:rPr>
          <w:sz w:val="24"/>
          <w:szCs w:val="24"/>
        </w:rPr>
        <w:t>as OA is a degenerative disease and found to increase uniformly with age across numerous modern clinical studies (</w:t>
      </w:r>
      <w:r w:rsidR="00285A11" w:rsidRPr="00285A11">
        <w:rPr>
          <w:rFonts w:cs="Calibri"/>
          <w:spacing w:val="-1"/>
          <w:sz w:val="24"/>
          <w:szCs w:val="24"/>
        </w:rPr>
        <w:t xml:space="preserve">Hanna </w:t>
      </w:r>
      <w:r w:rsidR="00285A11" w:rsidRPr="00285A11">
        <w:rPr>
          <w:rFonts w:cs="Calibri"/>
          <w:i/>
          <w:spacing w:val="-1"/>
          <w:sz w:val="24"/>
          <w:szCs w:val="24"/>
        </w:rPr>
        <w:t>et al</w:t>
      </w:r>
      <w:r w:rsidR="00285A11" w:rsidRPr="00285A11">
        <w:rPr>
          <w:rFonts w:cs="Calibri"/>
          <w:spacing w:val="-1"/>
          <w:sz w:val="24"/>
          <w:szCs w:val="24"/>
        </w:rPr>
        <w:t xml:space="preserve">., 2009; Prieto-Alhambra </w:t>
      </w:r>
      <w:r w:rsidR="00285A11" w:rsidRPr="00285A11">
        <w:rPr>
          <w:rFonts w:cs="Calibri"/>
          <w:i/>
          <w:spacing w:val="-1"/>
          <w:sz w:val="24"/>
          <w:szCs w:val="24"/>
        </w:rPr>
        <w:t>et al</w:t>
      </w:r>
      <w:r w:rsidR="00285A11" w:rsidRPr="00285A11">
        <w:rPr>
          <w:rFonts w:cs="Calibri"/>
          <w:spacing w:val="-1"/>
          <w:sz w:val="24"/>
          <w:szCs w:val="24"/>
        </w:rPr>
        <w:t xml:space="preserve">., 2014) </w:t>
      </w:r>
      <w:r w:rsidR="00285A11" w:rsidRPr="00D263A8">
        <w:rPr>
          <w:rFonts w:cs="Calibri"/>
          <w:spacing w:val="-1"/>
          <w:sz w:val="24"/>
          <w:szCs w:val="24"/>
        </w:rPr>
        <w:t>and archaeologically (</w:t>
      </w:r>
      <w:r w:rsidR="00285A11" w:rsidRPr="00285A11">
        <w:rPr>
          <w:rFonts w:cs="Calibri"/>
          <w:spacing w:val="-1"/>
          <w:sz w:val="24"/>
          <w:szCs w:val="24"/>
        </w:rPr>
        <w:t xml:space="preserve">Waldron, 2009).  </w:t>
      </w:r>
      <w:r w:rsidR="00802DDB">
        <w:rPr>
          <w:rFonts w:cs="Calibri"/>
          <w:spacing w:val="-1"/>
          <w:sz w:val="24"/>
          <w:szCs w:val="24"/>
        </w:rPr>
        <w:t xml:space="preserve">The </w:t>
      </w:r>
      <w:r w:rsidR="00BD7030">
        <w:rPr>
          <w:rFonts w:cs="Calibri"/>
          <w:spacing w:val="-1"/>
          <w:sz w:val="24"/>
          <w:szCs w:val="24"/>
        </w:rPr>
        <w:t>ORs</w:t>
      </w:r>
      <w:r w:rsidR="00802DDB">
        <w:rPr>
          <w:rFonts w:cs="Calibri"/>
          <w:spacing w:val="-1"/>
          <w:sz w:val="24"/>
          <w:szCs w:val="24"/>
        </w:rPr>
        <w:t xml:space="preserve"> equally suggest age to have had a greater influence on GHJ</w:t>
      </w:r>
      <w:r w:rsidR="00C230B6">
        <w:rPr>
          <w:rFonts w:cs="Calibri"/>
          <w:spacing w:val="-1"/>
          <w:sz w:val="24"/>
          <w:szCs w:val="24"/>
        </w:rPr>
        <w:t xml:space="preserve"> OA</w:t>
      </w:r>
      <w:r w:rsidR="00802DDB">
        <w:rPr>
          <w:rFonts w:cs="Calibri"/>
          <w:spacing w:val="-1"/>
          <w:sz w:val="24"/>
          <w:szCs w:val="24"/>
        </w:rPr>
        <w:t>, as the ratio is hi</w:t>
      </w:r>
      <w:r w:rsidR="00F931E8">
        <w:rPr>
          <w:rFonts w:cs="Calibri"/>
          <w:spacing w:val="-1"/>
          <w:sz w:val="24"/>
          <w:szCs w:val="24"/>
        </w:rPr>
        <w:t>gher in this area than the ACJ.</w:t>
      </w:r>
      <w:r w:rsidR="00802DDB">
        <w:rPr>
          <w:rFonts w:cs="Calibri"/>
          <w:spacing w:val="-1"/>
          <w:sz w:val="24"/>
          <w:szCs w:val="24"/>
        </w:rPr>
        <w:t xml:space="preserve"> </w:t>
      </w:r>
      <w:r w:rsidR="00C230B6">
        <w:rPr>
          <w:rFonts w:cs="Calibri"/>
          <w:spacing w:val="-1"/>
          <w:sz w:val="24"/>
          <w:szCs w:val="24"/>
        </w:rPr>
        <w:t>In the</w:t>
      </w:r>
      <w:r w:rsidR="00802DDB">
        <w:rPr>
          <w:rFonts w:cs="Calibri"/>
          <w:spacing w:val="-1"/>
          <w:sz w:val="24"/>
          <w:szCs w:val="24"/>
        </w:rPr>
        <w:t xml:space="preserve"> a</w:t>
      </w:r>
      <w:r w:rsidR="00285A11" w:rsidRPr="00285A11">
        <w:rPr>
          <w:sz w:val="24"/>
          <w:szCs w:val="24"/>
        </w:rPr>
        <w:t>ge</w:t>
      </w:r>
      <w:r w:rsidR="00BD7030">
        <w:rPr>
          <w:sz w:val="24"/>
          <w:szCs w:val="24"/>
        </w:rPr>
        <w:t>-specific OA analysi</w:t>
      </w:r>
      <w:r w:rsidR="00802DDB">
        <w:rPr>
          <w:sz w:val="24"/>
          <w:szCs w:val="24"/>
        </w:rPr>
        <w:t>s u</w:t>
      </w:r>
      <w:r w:rsidR="00285A11" w:rsidRPr="00285A11">
        <w:rPr>
          <w:sz w:val="24"/>
          <w:szCs w:val="24"/>
        </w:rPr>
        <w:t>ndertaken by Waldron (1992) on skeletal remains from the Bla</w:t>
      </w:r>
      <w:r w:rsidR="00802DDB">
        <w:rPr>
          <w:sz w:val="24"/>
          <w:szCs w:val="24"/>
        </w:rPr>
        <w:t xml:space="preserve">ck Death plague pit in London, </w:t>
      </w:r>
      <w:r w:rsidR="00285A11" w:rsidRPr="00285A11">
        <w:rPr>
          <w:sz w:val="24"/>
          <w:szCs w:val="24"/>
        </w:rPr>
        <w:t xml:space="preserve">OA </w:t>
      </w:r>
      <w:r w:rsidR="00802DDB">
        <w:rPr>
          <w:sz w:val="24"/>
          <w:szCs w:val="24"/>
        </w:rPr>
        <w:t xml:space="preserve">was equally found </w:t>
      </w:r>
      <w:r w:rsidR="00285A11" w:rsidRPr="00285A11">
        <w:rPr>
          <w:sz w:val="24"/>
          <w:szCs w:val="24"/>
        </w:rPr>
        <w:t xml:space="preserve">to increase in prevalence with age, as seen in this </w:t>
      </w:r>
      <w:r w:rsidR="00CD7C51">
        <w:rPr>
          <w:sz w:val="24"/>
          <w:szCs w:val="24"/>
        </w:rPr>
        <w:t>study</w:t>
      </w:r>
      <w:r w:rsidR="00285A11" w:rsidRPr="00285A11">
        <w:rPr>
          <w:sz w:val="24"/>
          <w:szCs w:val="24"/>
        </w:rPr>
        <w:t>, supporting the link between degeneration with advancing</w:t>
      </w:r>
      <w:r w:rsidR="00F931E8">
        <w:rPr>
          <w:sz w:val="24"/>
          <w:szCs w:val="24"/>
        </w:rPr>
        <w:t xml:space="preserve"> age and the prevalence of OA. </w:t>
      </w:r>
    </w:p>
    <w:p w:rsidR="00285A11" w:rsidRPr="00285A11" w:rsidRDefault="00285A11" w:rsidP="003B5900">
      <w:pPr>
        <w:spacing w:line="360" w:lineRule="auto"/>
        <w:jc w:val="both"/>
        <w:rPr>
          <w:rFonts w:cs="Calibri"/>
          <w:spacing w:val="-1"/>
          <w:sz w:val="24"/>
          <w:szCs w:val="24"/>
        </w:rPr>
      </w:pPr>
      <w:r w:rsidRPr="00285A11">
        <w:rPr>
          <w:sz w:val="24"/>
          <w:szCs w:val="24"/>
        </w:rPr>
        <w:t>Impingement and fractures were not statistically significant</w:t>
      </w:r>
      <w:r w:rsidR="0081346E">
        <w:rPr>
          <w:sz w:val="24"/>
          <w:szCs w:val="24"/>
        </w:rPr>
        <w:t xml:space="preserve"> in this </w:t>
      </w:r>
      <w:r w:rsidR="00CD7C51">
        <w:rPr>
          <w:sz w:val="24"/>
          <w:szCs w:val="24"/>
        </w:rPr>
        <w:t>study</w:t>
      </w:r>
      <w:r w:rsidRPr="00285A11">
        <w:rPr>
          <w:sz w:val="24"/>
          <w:szCs w:val="24"/>
        </w:rPr>
        <w:t xml:space="preserve"> and were found to decrease in prevalence with increasing age, contradicting the pattern of OA. </w:t>
      </w:r>
      <w:r w:rsidR="00802DDB">
        <w:rPr>
          <w:rFonts w:cs="Calibri"/>
          <w:spacing w:val="-1"/>
          <w:sz w:val="24"/>
          <w:szCs w:val="24"/>
        </w:rPr>
        <w:t>N</w:t>
      </w:r>
      <w:r w:rsidR="00802DDB" w:rsidRPr="00285A11">
        <w:rPr>
          <w:rFonts w:cs="Calibri"/>
          <w:spacing w:val="-1"/>
          <w:sz w:val="24"/>
          <w:szCs w:val="24"/>
        </w:rPr>
        <w:t xml:space="preserve">o </w:t>
      </w:r>
      <w:r w:rsidR="00802DDB">
        <w:rPr>
          <w:rFonts w:cs="Calibri"/>
          <w:spacing w:val="-1"/>
          <w:sz w:val="24"/>
          <w:szCs w:val="24"/>
        </w:rPr>
        <w:t xml:space="preserve">humeral </w:t>
      </w:r>
      <w:r w:rsidR="00802DDB" w:rsidRPr="00285A11">
        <w:rPr>
          <w:rFonts w:cs="Calibri"/>
          <w:spacing w:val="-1"/>
          <w:sz w:val="24"/>
          <w:szCs w:val="24"/>
        </w:rPr>
        <w:t xml:space="preserve">fractures were found in the 40+ group in this </w:t>
      </w:r>
      <w:r w:rsidR="00CD7C51">
        <w:rPr>
          <w:rFonts w:cs="Calibri"/>
          <w:spacing w:val="-1"/>
          <w:sz w:val="24"/>
          <w:szCs w:val="24"/>
        </w:rPr>
        <w:t>study</w:t>
      </w:r>
      <w:r w:rsidR="00BD7030">
        <w:rPr>
          <w:rFonts w:cs="Calibri"/>
          <w:spacing w:val="-1"/>
          <w:sz w:val="24"/>
          <w:szCs w:val="24"/>
        </w:rPr>
        <w:t>, contrary to findings</w:t>
      </w:r>
      <w:r w:rsidR="00802DDB">
        <w:rPr>
          <w:rFonts w:cs="Calibri"/>
          <w:spacing w:val="-1"/>
          <w:sz w:val="24"/>
          <w:szCs w:val="24"/>
        </w:rPr>
        <w:t xml:space="preserve"> by </w:t>
      </w:r>
      <w:r w:rsidRPr="00285A11">
        <w:rPr>
          <w:rFonts w:cs="Calibri"/>
          <w:spacing w:val="-1"/>
          <w:sz w:val="24"/>
          <w:szCs w:val="24"/>
        </w:rPr>
        <w:t>Nordqvist and Petersson (1995)</w:t>
      </w:r>
      <w:r w:rsidR="00802DDB">
        <w:rPr>
          <w:rFonts w:cs="Calibri"/>
          <w:spacing w:val="-1"/>
          <w:sz w:val="24"/>
          <w:szCs w:val="24"/>
        </w:rPr>
        <w:t>, who</w:t>
      </w:r>
      <w:r w:rsidRPr="00285A11">
        <w:rPr>
          <w:rFonts w:cs="Calibri"/>
          <w:spacing w:val="-1"/>
          <w:sz w:val="24"/>
          <w:szCs w:val="24"/>
        </w:rPr>
        <w:t xml:space="preserve"> found proximal humeral fractures to be most prevalent in the elderly population in Swedish Malm</w:t>
      </w:r>
      <w:r w:rsidRPr="00285A11">
        <w:rPr>
          <w:rFonts w:cstheme="minorHAnsi"/>
          <w:spacing w:val="-1"/>
          <w:sz w:val="24"/>
          <w:szCs w:val="24"/>
        </w:rPr>
        <w:t>ö</w:t>
      </w:r>
      <w:r w:rsidRPr="00285A11">
        <w:rPr>
          <w:rFonts w:cs="Calibri"/>
          <w:spacing w:val="-1"/>
          <w:sz w:val="24"/>
          <w:szCs w:val="24"/>
        </w:rPr>
        <w:t>, with the mean ag</w:t>
      </w:r>
      <w:r w:rsidR="00802DDB">
        <w:rPr>
          <w:rFonts w:cs="Calibri"/>
          <w:spacing w:val="-1"/>
          <w:sz w:val="24"/>
          <w:szCs w:val="24"/>
        </w:rPr>
        <w:t xml:space="preserve">e 63 in males and 71 in females. The Swedish study </w:t>
      </w:r>
      <w:r w:rsidR="006969F4" w:rsidRPr="00285A11">
        <w:rPr>
          <w:rFonts w:cs="Calibri"/>
          <w:spacing w:val="-1"/>
          <w:sz w:val="24"/>
          <w:szCs w:val="24"/>
        </w:rPr>
        <w:t xml:space="preserve">associated </w:t>
      </w:r>
      <w:r w:rsidRPr="00285A11">
        <w:rPr>
          <w:rFonts w:cs="Calibri"/>
          <w:spacing w:val="-1"/>
          <w:sz w:val="24"/>
          <w:szCs w:val="24"/>
        </w:rPr>
        <w:t>the increase in fractures with age to decreased bone density and increased likelihood of falling in old a</w:t>
      </w:r>
      <w:r w:rsidR="00802DDB">
        <w:rPr>
          <w:rFonts w:cs="Calibri"/>
          <w:spacing w:val="-1"/>
          <w:sz w:val="24"/>
          <w:szCs w:val="24"/>
        </w:rPr>
        <w:t xml:space="preserve">ge, however </w:t>
      </w:r>
      <w:r w:rsidR="009C6D03">
        <w:rPr>
          <w:rFonts w:cs="Calibri"/>
          <w:spacing w:val="-1"/>
          <w:sz w:val="24"/>
          <w:szCs w:val="24"/>
        </w:rPr>
        <w:t xml:space="preserve">the study found </w:t>
      </w:r>
      <w:r w:rsidRPr="00285A11">
        <w:rPr>
          <w:rFonts w:cs="Calibri"/>
          <w:spacing w:val="-1"/>
          <w:sz w:val="24"/>
          <w:szCs w:val="24"/>
        </w:rPr>
        <w:t>clavicle fractures</w:t>
      </w:r>
      <w:r w:rsidR="00802DDB">
        <w:rPr>
          <w:rFonts w:cs="Calibri"/>
          <w:spacing w:val="-1"/>
          <w:sz w:val="24"/>
          <w:szCs w:val="24"/>
        </w:rPr>
        <w:t xml:space="preserve"> to occur</w:t>
      </w:r>
      <w:r w:rsidRPr="00285A11">
        <w:rPr>
          <w:rFonts w:cs="Calibri"/>
          <w:spacing w:val="-1"/>
          <w:sz w:val="24"/>
          <w:szCs w:val="24"/>
        </w:rPr>
        <w:t xml:space="preserve"> at a higher incidence in young individuals, with the mean age 23 in males and 33 in females, proposedly due to a</w:t>
      </w:r>
      <w:r w:rsidR="00F931E8">
        <w:rPr>
          <w:rFonts w:cs="Calibri"/>
          <w:spacing w:val="-1"/>
          <w:sz w:val="24"/>
          <w:szCs w:val="24"/>
        </w:rPr>
        <w:t xml:space="preserve">ctivities. </w:t>
      </w:r>
      <w:r w:rsidR="006969F4">
        <w:rPr>
          <w:rFonts w:cs="Calibri"/>
          <w:spacing w:val="-1"/>
          <w:sz w:val="24"/>
          <w:szCs w:val="24"/>
        </w:rPr>
        <w:t>Clavicular results</w:t>
      </w:r>
      <w:r w:rsidRPr="00285A11">
        <w:rPr>
          <w:rFonts w:cs="Calibri"/>
          <w:spacing w:val="-1"/>
          <w:sz w:val="24"/>
          <w:szCs w:val="24"/>
        </w:rPr>
        <w:t xml:space="preserve"> </w:t>
      </w:r>
      <w:r w:rsidR="006969F4">
        <w:rPr>
          <w:rFonts w:cs="Calibri"/>
          <w:spacing w:val="-1"/>
          <w:sz w:val="24"/>
          <w:szCs w:val="24"/>
        </w:rPr>
        <w:t xml:space="preserve">in this </w:t>
      </w:r>
      <w:r w:rsidR="00CD7C51">
        <w:rPr>
          <w:rFonts w:cs="Calibri"/>
          <w:spacing w:val="-1"/>
          <w:sz w:val="24"/>
          <w:szCs w:val="24"/>
        </w:rPr>
        <w:lastRenderedPageBreak/>
        <w:t>study</w:t>
      </w:r>
      <w:r w:rsidR="006969F4">
        <w:rPr>
          <w:rFonts w:cs="Calibri"/>
          <w:spacing w:val="-1"/>
          <w:sz w:val="24"/>
          <w:szCs w:val="24"/>
        </w:rPr>
        <w:t xml:space="preserve"> </w:t>
      </w:r>
      <w:r w:rsidR="00802DDB">
        <w:rPr>
          <w:rFonts w:cs="Calibri"/>
          <w:spacing w:val="-1"/>
          <w:sz w:val="24"/>
          <w:szCs w:val="24"/>
        </w:rPr>
        <w:t>accord with that</w:t>
      </w:r>
      <w:r w:rsidRPr="00285A11">
        <w:rPr>
          <w:rFonts w:cs="Calibri"/>
          <w:spacing w:val="-1"/>
          <w:sz w:val="24"/>
          <w:szCs w:val="24"/>
        </w:rPr>
        <w:t xml:space="preserve"> </w:t>
      </w:r>
      <w:r w:rsidR="00802DDB">
        <w:rPr>
          <w:rFonts w:cs="Calibri"/>
          <w:spacing w:val="-1"/>
          <w:sz w:val="24"/>
          <w:szCs w:val="24"/>
        </w:rPr>
        <w:t xml:space="preserve">result, </w:t>
      </w:r>
      <w:r w:rsidRPr="00285A11">
        <w:rPr>
          <w:rFonts w:cs="Calibri"/>
          <w:spacing w:val="-1"/>
          <w:sz w:val="24"/>
          <w:szCs w:val="24"/>
        </w:rPr>
        <w:t>occurring more commo</w:t>
      </w:r>
      <w:r w:rsidR="00F931E8">
        <w:rPr>
          <w:rFonts w:cs="Calibri"/>
          <w:spacing w:val="-1"/>
          <w:sz w:val="24"/>
          <w:szCs w:val="24"/>
        </w:rPr>
        <w:t xml:space="preserve">nly in the younger population. </w:t>
      </w:r>
      <w:r w:rsidRPr="00285A11">
        <w:rPr>
          <w:rFonts w:cs="Calibri"/>
          <w:spacing w:val="-1"/>
          <w:sz w:val="24"/>
          <w:szCs w:val="24"/>
        </w:rPr>
        <w:t xml:space="preserve">This higher occurrence of fractures in the younger population, </w:t>
      </w:r>
      <w:r w:rsidRPr="00285A11">
        <w:rPr>
          <w:sz w:val="24"/>
          <w:szCs w:val="24"/>
        </w:rPr>
        <w:t>despite the increased risk of fracture</w:t>
      </w:r>
      <w:r w:rsidR="00A37583">
        <w:rPr>
          <w:sz w:val="24"/>
          <w:szCs w:val="24"/>
        </w:rPr>
        <w:t>s</w:t>
      </w:r>
      <w:r w:rsidRPr="00285A11">
        <w:rPr>
          <w:sz w:val="24"/>
          <w:szCs w:val="24"/>
        </w:rPr>
        <w:t xml:space="preserve"> occurring due to osteoporosis, </w:t>
      </w:r>
      <w:r w:rsidRPr="00AD22CB">
        <w:rPr>
          <w:sz w:val="24"/>
          <w:szCs w:val="24"/>
        </w:rPr>
        <w:t xml:space="preserve">degeneration of stability and muscular atrophy in advancing age, </w:t>
      </w:r>
      <w:r w:rsidRPr="00AD22CB">
        <w:rPr>
          <w:rFonts w:cs="Calibri"/>
          <w:spacing w:val="-1"/>
          <w:sz w:val="24"/>
          <w:szCs w:val="24"/>
        </w:rPr>
        <w:t xml:space="preserve">could </w:t>
      </w:r>
      <w:r w:rsidR="00802DDB" w:rsidRPr="00AD22CB">
        <w:rPr>
          <w:rFonts w:cs="Calibri"/>
          <w:spacing w:val="-1"/>
          <w:sz w:val="24"/>
          <w:szCs w:val="24"/>
        </w:rPr>
        <w:t xml:space="preserve">thus suggest the fracture was </w:t>
      </w:r>
      <w:r w:rsidR="00AD22CB" w:rsidRPr="00AD22CB">
        <w:rPr>
          <w:rFonts w:cs="Calibri"/>
          <w:spacing w:val="-1"/>
          <w:sz w:val="24"/>
          <w:szCs w:val="24"/>
        </w:rPr>
        <w:t xml:space="preserve">caused by trauma from </w:t>
      </w:r>
      <w:r w:rsidRPr="00AD22CB">
        <w:rPr>
          <w:rFonts w:cs="Calibri"/>
          <w:spacing w:val="-1"/>
          <w:sz w:val="24"/>
          <w:szCs w:val="24"/>
        </w:rPr>
        <w:t>activities</w:t>
      </w:r>
      <w:r w:rsidR="00AD22CB" w:rsidRPr="00AD22CB">
        <w:rPr>
          <w:rFonts w:cs="Calibri"/>
          <w:spacing w:val="-1"/>
          <w:sz w:val="24"/>
          <w:szCs w:val="24"/>
        </w:rPr>
        <w:t>, such as a physical job</w:t>
      </w:r>
      <w:r w:rsidRPr="00AD22CB">
        <w:rPr>
          <w:rFonts w:cs="Calibri"/>
          <w:spacing w:val="-1"/>
          <w:sz w:val="24"/>
          <w:szCs w:val="24"/>
        </w:rPr>
        <w:t xml:space="preserve">, however </w:t>
      </w:r>
      <w:r w:rsidR="009C6D03" w:rsidRPr="00AD22CB">
        <w:rPr>
          <w:rFonts w:cs="Calibri"/>
          <w:spacing w:val="-1"/>
          <w:sz w:val="24"/>
          <w:szCs w:val="24"/>
        </w:rPr>
        <w:t>due to</w:t>
      </w:r>
      <w:r w:rsidRPr="00AD22CB">
        <w:rPr>
          <w:rFonts w:cs="Calibri"/>
          <w:spacing w:val="-1"/>
          <w:sz w:val="24"/>
          <w:szCs w:val="24"/>
        </w:rPr>
        <w:t xml:space="preserve"> the </w:t>
      </w:r>
      <w:r w:rsidR="00C05E12" w:rsidRPr="00AD22CB">
        <w:rPr>
          <w:rFonts w:cs="Calibri"/>
          <w:spacing w:val="-1"/>
          <w:sz w:val="24"/>
          <w:szCs w:val="24"/>
        </w:rPr>
        <w:t>nature</w:t>
      </w:r>
      <w:r w:rsidRPr="00AD22CB">
        <w:rPr>
          <w:rFonts w:cs="Calibri"/>
          <w:spacing w:val="-1"/>
          <w:sz w:val="24"/>
          <w:szCs w:val="24"/>
        </w:rPr>
        <w:t xml:space="preserve"> of</w:t>
      </w:r>
      <w:r w:rsidRPr="00285A11">
        <w:rPr>
          <w:rFonts w:cs="Calibri"/>
          <w:spacing w:val="-1"/>
          <w:sz w:val="24"/>
          <w:szCs w:val="24"/>
        </w:rPr>
        <w:t xml:space="preserve"> </w:t>
      </w:r>
      <w:r w:rsidR="00C05E12">
        <w:rPr>
          <w:rFonts w:cs="Calibri"/>
          <w:spacing w:val="-1"/>
          <w:sz w:val="24"/>
          <w:szCs w:val="24"/>
        </w:rPr>
        <w:t xml:space="preserve">osteological </w:t>
      </w:r>
      <w:r w:rsidRPr="00285A11">
        <w:rPr>
          <w:rFonts w:cs="Calibri"/>
          <w:spacing w:val="-1"/>
          <w:sz w:val="24"/>
          <w:szCs w:val="24"/>
        </w:rPr>
        <w:t>healing and the lack of documentation</w:t>
      </w:r>
      <w:r w:rsidR="009C6D03">
        <w:rPr>
          <w:rFonts w:cs="Calibri"/>
          <w:spacing w:val="-1"/>
          <w:sz w:val="24"/>
          <w:szCs w:val="24"/>
        </w:rPr>
        <w:t xml:space="preserve">, </w:t>
      </w:r>
      <w:r w:rsidRPr="00E0467F">
        <w:rPr>
          <w:rFonts w:cs="Calibri"/>
          <w:spacing w:val="-1"/>
          <w:sz w:val="24"/>
          <w:szCs w:val="24"/>
        </w:rPr>
        <w:t>this causation cannot be identified.</w:t>
      </w:r>
      <w:r w:rsidRPr="00285A11">
        <w:rPr>
          <w:rFonts w:cs="Calibri"/>
          <w:spacing w:val="-1"/>
          <w:sz w:val="24"/>
          <w:szCs w:val="24"/>
        </w:rPr>
        <w:t xml:space="preserve"> </w:t>
      </w:r>
    </w:p>
    <w:p w:rsidR="00285A11" w:rsidRPr="006969F4" w:rsidRDefault="00285A11" w:rsidP="003B5900">
      <w:pPr>
        <w:spacing w:line="360" w:lineRule="auto"/>
        <w:jc w:val="both"/>
        <w:rPr>
          <w:sz w:val="24"/>
          <w:szCs w:val="24"/>
        </w:rPr>
      </w:pPr>
      <w:r w:rsidRPr="00285A11">
        <w:rPr>
          <w:sz w:val="24"/>
          <w:szCs w:val="24"/>
        </w:rPr>
        <w:t xml:space="preserve">The prevalence of RCD increased with age in this study, however the increase was not </w:t>
      </w:r>
      <w:r w:rsidRPr="00AD22CB">
        <w:rPr>
          <w:sz w:val="24"/>
          <w:szCs w:val="24"/>
        </w:rPr>
        <w:t>stati</w:t>
      </w:r>
      <w:r w:rsidR="00AD22CB" w:rsidRPr="00AD22CB">
        <w:rPr>
          <w:sz w:val="24"/>
          <w:szCs w:val="24"/>
        </w:rPr>
        <w:t>sti</w:t>
      </w:r>
      <w:r w:rsidRPr="00AD22CB">
        <w:rPr>
          <w:sz w:val="24"/>
          <w:szCs w:val="24"/>
        </w:rPr>
        <w:t>cal</w:t>
      </w:r>
      <w:r w:rsidR="006969F4" w:rsidRPr="00AD22CB">
        <w:rPr>
          <w:sz w:val="24"/>
          <w:szCs w:val="24"/>
        </w:rPr>
        <w:t>ly</w:t>
      </w:r>
      <w:r w:rsidR="006969F4">
        <w:rPr>
          <w:sz w:val="24"/>
          <w:szCs w:val="24"/>
        </w:rPr>
        <w:t xml:space="preserve"> significant, suggesting it to be</w:t>
      </w:r>
      <w:r w:rsidR="00F931E8">
        <w:rPr>
          <w:sz w:val="24"/>
          <w:szCs w:val="24"/>
        </w:rPr>
        <w:t xml:space="preserve"> unaffected by age. </w:t>
      </w:r>
      <w:r w:rsidRPr="00285A11">
        <w:rPr>
          <w:sz w:val="24"/>
          <w:szCs w:val="24"/>
        </w:rPr>
        <w:t xml:space="preserve">This is again contrary to research by Yamamoto </w:t>
      </w:r>
      <w:r w:rsidRPr="00285A11">
        <w:rPr>
          <w:i/>
          <w:sz w:val="24"/>
          <w:szCs w:val="24"/>
        </w:rPr>
        <w:t>et al</w:t>
      </w:r>
      <w:r w:rsidRPr="00285A11">
        <w:rPr>
          <w:sz w:val="24"/>
          <w:szCs w:val="24"/>
        </w:rPr>
        <w:t>. (2010), who found age to be a significant factor in the presence of RCD</w:t>
      </w:r>
      <w:r w:rsidR="00AD22CB">
        <w:rPr>
          <w:sz w:val="24"/>
          <w:szCs w:val="24"/>
        </w:rPr>
        <w:t xml:space="preserve"> </w:t>
      </w:r>
      <w:r w:rsidRPr="00285A11">
        <w:rPr>
          <w:sz w:val="24"/>
          <w:szCs w:val="24"/>
        </w:rPr>
        <w:t>(P&lt; 0.001).</w:t>
      </w:r>
    </w:p>
    <w:p w:rsidR="00285A11" w:rsidRDefault="00285A11" w:rsidP="003B5900">
      <w:pPr>
        <w:pStyle w:val="ListParagraph"/>
        <w:spacing w:line="240" w:lineRule="auto"/>
        <w:jc w:val="both"/>
      </w:pPr>
      <w:r>
        <w:rPr>
          <w:noProof/>
          <w:lang w:eastAsia="en-GB"/>
        </w:rPr>
        <w:drawing>
          <wp:inline distT="0" distB="0" distL="0" distR="0">
            <wp:extent cx="3302000" cy="273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l="53145" t="27896" r="18115" b="29779"/>
                    <a:stretch>
                      <a:fillRect/>
                    </a:stretch>
                  </pic:blipFill>
                  <pic:spPr bwMode="auto">
                    <a:xfrm>
                      <a:off x="0" y="0"/>
                      <a:ext cx="3302000" cy="2730500"/>
                    </a:xfrm>
                    <a:prstGeom prst="rect">
                      <a:avLst/>
                    </a:prstGeom>
                    <a:noFill/>
                    <a:ln>
                      <a:noFill/>
                    </a:ln>
                  </pic:spPr>
                </pic:pic>
              </a:graphicData>
            </a:graphic>
          </wp:inline>
        </w:drawing>
      </w:r>
    </w:p>
    <w:p w:rsidR="00285A11" w:rsidRPr="00285A11" w:rsidRDefault="00285A11" w:rsidP="003B5900">
      <w:pPr>
        <w:spacing w:line="240" w:lineRule="auto"/>
        <w:ind w:left="360"/>
        <w:jc w:val="both"/>
        <w:rPr>
          <w:sz w:val="18"/>
          <w:szCs w:val="18"/>
        </w:rPr>
      </w:pPr>
      <w:r w:rsidRPr="00285A11">
        <w:rPr>
          <w:sz w:val="18"/>
          <w:szCs w:val="18"/>
        </w:rPr>
        <w:t xml:space="preserve">Figure 25.  Prevalence of RCTs in the Japanese sample separated by age group.  Taken from Yamamoto </w:t>
      </w:r>
      <w:r w:rsidRPr="00285A11">
        <w:rPr>
          <w:i/>
          <w:sz w:val="18"/>
          <w:szCs w:val="18"/>
        </w:rPr>
        <w:t>et al</w:t>
      </w:r>
      <w:r w:rsidRPr="00285A11">
        <w:rPr>
          <w:sz w:val="18"/>
          <w:szCs w:val="18"/>
        </w:rPr>
        <w:t>. (2010).  RCT</w:t>
      </w:r>
      <w:r w:rsidR="0081346E">
        <w:rPr>
          <w:sz w:val="18"/>
          <w:szCs w:val="18"/>
        </w:rPr>
        <w:t>s</w:t>
      </w:r>
      <w:r w:rsidR="00113A1D">
        <w:rPr>
          <w:sz w:val="18"/>
          <w:szCs w:val="18"/>
        </w:rPr>
        <w:t xml:space="preserve"> (</w:t>
      </w:r>
      <w:r w:rsidRPr="00285A11">
        <w:rPr>
          <w:sz w:val="18"/>
          <w:szCs w:val="18"/>
        </w:rPr>
        <w:t>rotator cuff tear</w:t>
      </w:r>
      <w:r w:rsidR="0081346E">
        <w:rPr>
          <w:sz w:val="18"/>
          <w:szCs w:val="18"/>
        </w:rPr>
        <w:t>s</w:t>
      </w:r>
      <w:r w:rsidR="00113A1D">
        <w:rPr>
          <w:sz w:val="18"/>
          <w:szCs w:val="18"/>
        </w:rPr>
        <w:t>)</w:t>
      </w:r>
      <w:r w:rsidR="0081346E">
        <w:rPr>
          <w:sz w:val="18"/>
          <w:szCs w:val="18"/>
        </w:rPr>
        <w:t xml:space="preserve"> are</w:t>
      </w:r>
      <w:r w:rsidRPr="00285A11">
        <w:rPr>
          <w:sz w:val="18"/>
          <w:szCs w:val="18"/>
        </w:rPr>
        <w:t xml:space="preserve"> seen to increa</w:t>
      </w:r>
      <w:r w:rsidR="0081346E">
        <w:rPr>
          <w:sz w:val="18"/>
          <w:szCs w:val="18"/>
        </w:rPr>
        <w:t>se with age, which complements the RCD r</w:t>
      </w:r>
      <w:r w:rsidRPr="00285A11">
        <w:rPr>
          <w:sz w:val="18"/>
          <w:szCs w:val="18"/>
        </w:rPr>
        <w:t xml:space="preserve">esults in this </w:t>
      </w:r>
      <w:r w:rsidR="00CD7C51">
        <w:rPr>
          <w:sz w:val="18"/>
          <w:szCs w:val="18"/>
        </w:rPr>
        <w:t>study</w:t>
      </w:r>
      <w:r w:rsidRPr="00285A11">
        <w:rPr>
          <w:sz w:val="18"/>
          <w:szCs w:val="18"/>
        </w:rPr>
        <w:t xml:space="preserve">, however contradicts the </w:t>
      </w:r>
      <w:r w:rsidR="0081346E">
        <w:rPr>
          <w:sz w:val="18"/>
          <w:szCs w:val="18"/>
        </w:rPr>
        <w:t xml:space="preserve">impingement </w:t>
      </w:r>
      <w:r w:rsidRPr="00285A11">
        <w:rPr>
          <w:sz w:val="18"/>
          <w:szCs w:val="18"/>
        </w:rPr>
        <w:t>results</w:t>
      </w:r>
      <w:r w:rsidR="0081346E">
        <w:rPr>
          <w:sz w:val="18"/>
          <w:szCs w:val="18"/>
        </w:rPr>
        <w:t xml:space="preserve"> </w:t>
      </w:r>
      <w:r w:rsidRPr="00285A11">
        <w:rPr>
          <w:sz w:val="18"/>
          <w:szCs w:val="18"/>
        </w:rPr>
        <w:t>in this study</w:t>
      </w:r>
      <w:r w:rsidR="0081346E">
        <w:rPr>
          <w:sz w:val="18"/>
          <w:szCs w:val="18"/>
        </w:rPr>
        <w:t>,</w:t>
      </w:r>
      <w:r w:rsidRPr="00285A11">
        <w:rPr>
          <w:sz w:val="18"/>
          <w:szCs w:val="18"/>
        </w:rPr>
        <w:t xml:space="preserve"> which decreased. </w:t>
      </w:r>
    </w:p>
    <w:p w:rsidR="00285A11" w:rsidRPr="00285A11" w:rsidRDefault="00285A11" w:rsidP="003B5900">
      <w:pPr>
        <w:spacing w:line="360" w:lineRule="auto"/>
        <w:jc w:val="both"/>
        <w:rPr>
          <w:sz w:val="24"/>
          <w:szCs w:val="24"/>
        </w:rPr>
      </w:pPr>
      <w:r w:rsidRPr="00285A11">
        <w:rPr>
          <w:sz w:val="24"/>
          <w:szCs w:val="24"/>
        </w:rPr>
        <w:t xml:space="preserve">Research from ultrasound scanning by (Tempelhof </w:t>
      </w:r>
      <w:r w:rsidRPr="00285A11">
        <w:rPr>
          <w:i/>
          <w:sz w:val="24"/>
          <w:szCs w:val="24"/>
        </w:rPr>
        <w:t>et al</w:t>
      </w:r>
      <w:r w:rsidRPr="00285A11">
        <w:rPr>
          <w:sz w:val="24"/>
          <w:szCs w:val="24"/>
        </w:rPr>
        <w:t>., 1999) outlined RCD to have a prevalence of 13% in modern individuals aged 50-59, 20% in individuals aged 60-69, and 31% i</w:t>
      </w:r>
      <w:r w:rsidR="00F931E8">
        <w:rPr>
          <w:sz w:val="24"/>
          <w:szCs w:val="24"/>
        </w:rPr>
        <w:t xml:space="preserve">n individuals aged 70-79. </w:t>
      </w:r>
      <w:r w:rsidRPr="00285A11">
        <w:rPr>
          <w:sz w:val="24"/>
          <w:szCs w:val="24"/>
        </w:rPr>
        <w:t xml:space="preserve">This high prevalence in individuals over the age of 50 is supported by the high </w:t>
      </w:r>
      <w:r w:rsidR="006969F4">
        <w:rPr>
          <w:sz w:val="24"/>
          <w:szCs w:val="24"/>
        </w:rPr>
        <w:t>prevalence</w:t>
      </w:r>
      <w:r w:rsidRPr="00285A11">
        <w:rPr>
          <w:sz w:val="24"/>
          <w:szCs w:val="24"/>
        </w:rPr>
        <w:t xml:space="preserve"> in individuals over </w:t>
      </w:r>
      <w:r w:rsidR="00AF373A">
        <w:rPr>
          <w:sz w:val="24"/>
          <w:szCs w:val="24"/>
        </w:rPr>
        <w:t xml:space="preserve">the age of </w:t>
      </w:r>
      <w:r w:rsidRPr="00285A11">
        <w:rPr>
          <w:sz w:val="24"/>
          <w:szCs w:val="24"/>
        </w:rPr>
        <w:t>40</w:t>
      </w:r>
      <w:r w:rsidR="00AF373A">
        <w:rPr>
          <w:sz w:val="24"/>
          <w:szCs w:val="24"/>
        </w:rPr>
        <w:t xml:space="preserve"> in this </w:t>
      </w:r>
      <w:r w:rsidR="00CD7C51">
        <w:rPr>
          <w:sz w:val="24"/>
          <w:szCs w:val="24"/>
        </w:rPr>
        <w:t>study</w:t>
      </w:r>
      <w:r w:rsidRPr="002F75D3">
        <w:rPr>
          <w:sz w:val="24"/>
          <w:szCs w:val="24"/>
        </w:rPr>
        <w:t>, 24%,</w:t>
      </w:r>
      <w:r w:rsidRPr="00285A11">
        <w:rPr>
          <w:sz w:val="24"/>
          <w:szCs w:val="24"/>
        </w:rPr>
        <w:t xml:space="preserve"> and as the prevalen</w:t>
      </w:r>
      <w:r w:rsidR="00F931E8">
        <w:rPr>
          <w:sz w:val="24"/>
          <w:szCs w:val="24"/>
        </w:rPr>
        <w:t xml:space="preserve">ce increased with age by 118%. </w:t>
      </w:r>
      <w:r w:rsidRPr="00285A11">
        <w:rPr>
          <w:sz w:val="24"/>
          <w:szCs w:val="24"/>
        </w:rPr>
        <w:t xml:space="preserve">Clement </w:t>
      </w:r>
      <w:r w:rsidRPr="00285A11">
        <w:rPr>
          <w:i/>
          <w:sz w:val="24"/>
          <w:szCs w:val="24"/>
        </w:rPr>
        <w:t xml:space="preserve">et al. </w:t>
      </w:r>
      <w:r w:rsidRPr="00285A11">
        <w:rPr>
          <w:sz w:val="24"/>
          <w:szCs w:val="24"/>
        </w:rPr>
        <w:t xml:space="preserve">(2012) further support this, citing degenerative rotator cuff tears to predominately occur in individuals aged </w:t>
      </w:r>
      <w:r w:rsidRPr="00974B66">
        <w:rPr>
          <w:sz w:val="24"/>
          <w:szCs w:val="24"/>
        </w:rPr>
        <w:t>&gt;</w:t>
      </w:r>
      <w:r w:rsidRPr="00285A11">
        <w:rPr>
          <w:sz w:val="24"/>
          <w:szCs w:val="24"/>
        </w:rPr>
        <w:t xml:space="preserve">50.  Despite the non-significant result recorded in this </w:t>
      </w:r>
      <w:r w:rsidR="00CD7C51">
        <w:rPr>
          <w:sz w:val="24"/>
          <w:szCs w:val="24"/>
        </w:rPr>
        <w:t>study</w:t>
      </w:r>
      <w:r w:rsidRPr="00285A11">
        <w:rPr>
          <w:sz w:val="24"/>
          <w:szCs w:val="24"/>
        </w:rPr>
        <w:t xml:space="preserve">, the prevalence accords with </w:t>
      </w:r>
      <w:r w:rsidR="00AF373A">
        <w:rPr>
          <w:sz w:val="24"/>
          <w:szCs w:val="24"/>
        </w:rPr>
        <w:lastRenderedPageBreak/>
        <w:t>external research</w:t>
      </w:r>
      <w:r w:rsidRPr="00285A11">
        <w:rPr>
          <w:sz w:val="24"/>
          <w:szCs w:val="24"/>
        </w:rPr>
        <w:t xml:space="preserve"> </w:t>
      </w:r>
      <w:r w:rsidR="00AF373A">
        <w:rPr>
          <w:sz w:val="24"/>
          <w:szCs w:val="24"/>
        </w:rPr>
        <w:t>a</w:t>
      </w:r>
      <w:r w:rsidRPr="00285A11">
        <w:rPr>
          <w:sz w:val="24"/>
          <w:szCs w:val="24"/>
        </w:rPr>
        <w:t xml:space="preserve">s RCD is largely </w:t>
      </w:r>
      <w:r w:rsidR="00AF373A">
        <w:rPr>
          <w:sz w:val="24"/>
          <w:szCs w:val="24"/>
        </w:rPr>
        <w:t>influenced</w:t>
      </w:r>
      <w:r w:rsidRPr="00285A11">
        <w:rPr>
          <w:sz w:val="24"/>
          <w:szCs w:val="24"/>
        </w:rPr>
        <w:t xml:space="preserve"> by natural</w:t>
      </w:r>
      <w:r w:rsidR="00AF373A">
        <w:rPr>
          <w:sz w:val="24"/>
          <w:szCs w:val="24"/>
        </w:rPr>
        <w:t xml:space="preserve"> age-related</w:t>
      </w:r>
      <w:r w:rsidRPr="00285A11">
        <w:rPr>
          <w:sz w:val="24"/>
          <w:szCs w:val="24"/>
        </w:rPr>
        <w:t xml:space="preserve"> degeneration (Clement </w:t>
      </w:r>
      <w:r w:rsidRPr="00285A11">
        <w:rPr>
          <w:i/>
          <w:sz w:val="24"/>
          <w:szCs w:val="24"/>
        </w:rPr>
        <w:t>et al.,</w:t>
      </w:r>
      <w:r w:rsidRPr="00285A11">
        <w:rPr>
          <w:sz w:val="24"/>
          <w:szCs w:val="24"/>
        </w:rPr>
        <w:t xml:space="preserve"> 2012).</w:t>
      </w:r>
    </w:p>
    <w:p w:rsidR="00285A11" w:rsidRPr="00285A11" w:rsidRDefault="006969F4" w:rsidP="003B5900">
      <w:pPr>
        <w:spacing w:line="360" w:lineRule="auto"/>
        <w:jc w:val="both"/>
        <w:rPr>
          <w:rFonts w:ascii="Times New Roman" w:hAnsi="Times New Roman" w:cs="Times New Roman"/>
          <w:sz w:val="24"/>
          <w:szCs w:val="24"/>
        </w:rPr>
      </w:pPr>
      <w:r>
        <w:rPr>
          <w:sz w:val="24"/>
          <w:szCs w:val="24"/>
        </w:rPr>
        <w:t xml:space="preserve">In relation to the expected and actual counts calculated in the Chi-Squared Tests, counts of </w:t>
      </w:r>
      <w:r w:rsidR="00285A11" w:rsidRPr="00285A11">
        <w:rPr>
          <w:sz w:val="24"/>
          <w:szCs w:val="24"/>
        </w:rPr>
        <w:t xml:space="preserve">both </w:t>
      </w:r>
      <w:r w:rsidR="00AF373A">
        <w:rPr>
          <w:sz w:val="24"/>
          <w:szCs w:val="24"/>
        </w:rPr>
        <w:t>GH</w:t>
      </w:r>
      <w:r w:rsidR="00CB2812">
        <w:rPr>
          <w:sz w:val="24"/>
          <w:szCs w:val="24"/>
        </w:rPr>
        <w:t>J</w:t>
      </w:r>
      <w:r w:rsidR="00285A11" w:rsidRPr="00285A11">
        <w:rPr>
          <w:sz w:val="24"/>
          <w:szCs w:val="24"/>
        </w:rPr>
        <w:t xml:space="preserve"> and ACJ </w:t>
      </w:r>
      <w:r w:rsidR="00AF373A">
        <w:rPr>
          <w:sz w:val="24"/>
          <w:szCs w:val="24"/>
        </w:rPr>
        <w:t xml:space="preserve">OA </w:t>
      </w:r>
      <w:r w:rsidR="00285A11" w:rsidRPr="00285A11">
        <w:rPr>
          <w:sz w:val="24"/>
          <w:szCs w:val="24"/>
        </w:rPr>
        <w:t xml:space="preserve">were higher than </w:t>
      </w:r>
      <w:r w:rsidR="00AF373A">
        <w:rPr>
          <w:sz w:val="24"/>
          <w:szCs w:val="24"/>
        </w:rPr>
        <w:t xml:space="preserve">the </w:t>
      </w:r>
      <w:r w:rsidR="00285A11" w:rsidRPr="00285A11">
        <w:rPr>
          <w:sz w:val="24"/>
          <w:szCs w:val="24"/>
        </w:rPr>
        <w:t xml:space="preserve">expected </w:t>
      </w:r>
      <w:r w:rsidR="00285A11">
        <w:rPr>
          <w:sz w:val="24"/>
          <w:szCs w:val="24"/>
        </w:rPr>
        <w:t xml:space="preserve">count </w:t>
      </w:r>
      <w:r w:rsidR="00610DC3">
        <w:rPr>
          <w:sz w:val="24"/>
          <w:szCs w:val="24"/>
        </w:rPr>
        <w:t>in the 40+</w:t>
      </w:r>
      <w:r w:rsidR="00285A11" w:rsidRPr="00285A11">
        <w:rPr>
          <w:sz w:val="24"/>
          <w:szCs w:val="24"/>
        </w:rPr>
        <w:t xml:space="preserve"> age group, by 5 in GH</w:t>
      </w:r>
      <w:r w:rsidR="00CB2812">
        <w:rPr>
          <w:sz w:val="24"/>
          <w:szCs w:val="24"/>
        </w:rPr>
        <w:t>J</w:t>
      </w:r>
      <w:r w:rsidR="00610DC3">
        <w:rPr>
          <w:sz w:val="24"/>
          <w:szCs w:val="24"/>
        </w:rPr>
        <w:t xml:space="preserve"> OA and by 4.5 in ACJ OA. </w:t>
      </w:r>
      <w:r w:rsidR="00285A11" w:rsidRPr="00285A11">
        <w:rPr>
          <w:sz w:val="24"/>
          <w:szCs w:val="24"/>
        </w:rPr>
        <w:t>These counts were lower than expected in the 20-39 age group of both disease</w:t>
      </w:r>
      <w:r w:rsidR="00C05E12">
        <w:rPr>
          <w:sz w:val="24"/>
          <w:szCs w:val="24"/>
        </w:rPr>
        <w:t>s</w:t>
      </w:r>
      <w:r w:rsidR="00285A11" w:rsidRPr="00285A11">
        <w:rPr>
          <w:sz w:val="24"/>
          <w:szCs w:val="24"/>
        </w:rPr>
        <w:t xml:space="preserve">, </w:t>
      </w:r>
      <w:r w:rsidR="00136CDC">
        <w:rPr>
          <w:sz w:val="24"/>
          <w:szCs w:val="24"/>
        </w:rPr>
        <w:t>according with the OR</w:t>
      </w:r>
      <w:r w:rsidR="009A44EA">
        <w:rPr>
          <w:sz w:val="24"/>
          <w:szCs w:val="24"/>
        </w:rPr>
        <w:t xml:space="preserve">s </w:t>
      </w:r>
      <w:r w:rsidR="00610DC3">
        <w:rPr>
          <w:sz w:val="24"/>
          <w:szCs w:val="24"/>
        </w:rPr>
        <w:t>within the sample.</w:t>
      </w:r>
      <w:r w:rsidR="00285A11" w:rsidRPr="00285A11">
        <w:rPr>
          <w:sz w:val="24"/>
          <w:szCs w:val="24"/>
        </w:rPr>
        <w:t xml:space="preserve"> RCD counts were </w:t>
      </w:r>
      <w:r w:rsidR="00FD7E4F">
        <w:rPr>
          <w:sz w:val="24"/>
          <w:szCs w:val="24"/>
        </w:rPr>
        <w:t xml:space="preserve">also </w:t>
      </w:r>
      <w:r w:rsidR="00285A11" w:rsidRPr="00285A11">
        <w:rPr>
          <w:sz w:val="24"/>
          <w:szCs w:val="24"/>
        </w:rPr>
        <w:t>higher</w:t>
      </w:r>
      <w:r w:rsidR="00AF373A">
        <w:rPr>
          <w:sz w:val="24"/>
          <w:szCs w:val="24"/>
        </w:rPr>
        <w:t xml:space="preserve"> than expected</w:t>
      </w:r>
      <w:r w:rsidR="00285A11" w:rsidRPr="00285A11">
        <w:rPr>
          <w:sz w:val="24"/>
          <w:szCs w:val="24"/>
        </w:rPr>
        <w:t xml:space="preserve"> in the 40+ group by 2.3, a trend which was followed by impingement, but contradicted by the fractures, with the count</w:t>
      </w:r>
      <w:r w:rsidR="00AF373A">
        <w:rPr>
          <w:sz w:val="24"/>
          <w:szCs w:val="24"/>
        </w:rPr>
        <w:t>s</w:t>
      </w:r>
      <w:r w:rsidR="00285A11" w:rsidRPr="00285A11">
        <w:rPr>
          <w:sz w:val="24"/>
          <w:szCs w:val="24"/>
        </w:rPr>
        <w:t xml:space="preserve"> lower than expected in the 40+ group, and hi</w:t>
      </w:r>
      <w:r w:rsidR="00AF373A">
        <w:rPr>
          <w:sz w:val="24"/>
          <w:szCs w:val="24"/>
        </w:rPr>
        <w:t>gher in the younger group.  These fracture results</w:t>
      </w:r>
      <w:r w:rsidR="00285A11" w:rsidRPr="00285A11">
        <w:rPr>
          <w:sz w:val="24"/>
          <w:szCs w:val="24"/>
        </w:rPr>
        <w:t xml:space="preserve"> could</w:t>
      </w:r>
      <w:r w:rsidR="009C6D03">
        <w:rPr>
          <w:sz w:val="24"/>
          <w:szCs w:val="24"/>
        </w:rPr>
        <w:t>, however,</w:t>
      </w:r>
      <w:r w:rsidR="00285A11" w:rsidRPr="00285A11">
        <w:rPr>
          <w:sz w:val="24"/>
          <w:szCs w:val="24"/>
        </w:rPr>
        <w:t xml:space="preserve"> be </w:t>
      </w:r>
      <w:r w:rsidR="00FD28A9">
        <w:rPr>
          <w:sz w:val="24"/>
          <w:szCs w:val="24"/>
        </w:rPr>
        <w:t>influenced by</w:t>
      </w:r>
      <w:r w:rsidR="00285A11" w:rsidRPr="00285A11">
        <w:rPr>
          <w:sz w:val="24"/>
          <w:szCs w:val="24"/>
        </w:rPr>
        <w:t xml:space="preserve"> osteological ‘self-healing’, which </w:t>
      </w:r>
      <w:r w:rsidR="00F7097D">
        <w:rPr>
          <w:sz w:val="24"/>
          <w:szCs w:val="24"/>
        </w:rPr>
        <w:t xml:space="preserve">does not occur </w:t>
      </w:r>
      <w:r w:rsidR="00285A11" w:rsidRPr="00285A11">
        <w:rPr>
          <w:sz w:val="24"/>
          <w:szCs w:val="24"/>
        </w:rPr>
        <w:t>in the other diseases</w:t>
      </w:r>
      <w:r w:rsidR="00F7097D">
        <w:rPr>
          <w:sz w:val="24"/>
          <w:szCs w:val="24"/>
        </w:rPr>
        <w:t xml:space="preserve">, </w:t>
      </w:r>
      <w:r w:rsidR="00FD28A9">
        <w:rPr>
          <w:sz w:val="24"/>
          <w:szCs w:val="24"/>
        </w:rPr>
        <w:t>altering</w:t>
      </w:r>
      <w:r w:rsidR="00F7097D">
        <w:rPr>
          <w:sz w:val="24"/>
          <w:szCs w:val="24"/>
        </w:rPr>
        <w:t xml:space="preserve"> its prevalence between the age groups</w:t>
      </w:r>
      <w:r w:rsidR="00285A11" w:rsidRPr="00285A11">
        <w:rPr>
          <w:sz w:val="24"/>
          <w:szCs w:val="24"/>
        </w:rPr>
        <w:t xml:space="preserve">.  </w:t>
      </w:r>
      <w:r w:rsidR="00F7097D">
        <w:rPr>
          <w:sz w:val="24"/>
          <w:szCs w:val="24"/>
        </w:rPr>
        <w:t>Considering this</w:t>
      </w:r>
      <w:r w:rsidR="00285A11" w:rsidRPr="00285A11">
        <w:rPr>
          <w:sz w:val="24"/>
          <w:szCs w:val="24"/>
        </w:rPr>
        <w:t>, this research has shown normative association</w:t>
      </w:r>
      <w:r w:rsidR="00F7097D">
        <w:rPr>
          <w:sz w:val="24"/>
          <w:szCs w:val="24"/>
        </w:rPr>
        <w:t>s</w:t>
      </w:r>
      <w:r w:rsidR="00285A11" w:rsidRPr="00285A11">
        <w:rPr>
          <w:sz w:val="24"/>
          <w:szCs w:val="24"/>
        </w:rPr>
        <w:t xml:space="preserve"> between the diseases and age</w:t>
      </w:r>
      <w:r w:rsidR="00C230B6">
        <w:rPr>
          <w:sz w:val="24"/>
          <w:szCs w:val="24"/>
        </w:rPr>
        <w:t xml:space="preserve"> in this assemblage</w:t>
      </w:r>
      <w:r w:rsidR="00285A11" w:rsidRPr="00285A11">
        <w:rPr>
          <w:sz w:val="24"/>
          <w:szCs w:val="24"/>
        </w:rPr>
        <w:t xml:space="preserve">, as the degenerative disease OA </w:t>
      </w:r>
      <w:r w:rsidR="00F7097D">
        <w:rPr>
          <w:sz w:val="24"/>
          <w:szCs w:val="24"/>
        </w:rPr>
        <w:t xml:space="preserve">significantly </w:t>
      </w:r>
      <w:r w:rsidR="00285A11" w:rsidRPr="00285A11">
        <w:rPr>
          <w:sz w:val="24"/>
          <w:szCs w:val="24"/>
        </w:rPr>
        <w:t xml:space="preserve">increased with age, whilst </w:t>
      </w:r>
      <w:r w:rsidR="009A44EA">
        <w:rPr>
          <w:sz w:val="24"/>
          <w:szCs w:val="24"/>
        </w:rPr>
        <w:t>the rotator cuff tears</w:t>
      </w:r>
      <w:r w:rsidR="00F7097D">
        <w:rPr>
          <w:sz w:val="24"/>
          <w:szCs w:val="24"/>
        </w:rPr>
        <w:t xml:space="preserve"> </w:t>
      </w:r>
      <w:r w:rsidR="00285A11" w:rsidRPr="00285A11">
        <w:rPr>
          <w:sz w:val="24"/>
          <w:szCs w:val="24"/>
        </w:rPr>
        <w:t>occurred at a higher</w:t>
      </w:r>
      <w:r w:rsidR="00F7097D">
        <w:rPr>
          <w:sz w:val="24"/>
          <w:szCs w:val="24"/>
        </w:rPr>
        <w:t xml:space="preserve"> rate than expected</w:t>
      </w:r>
      <w:r w:rsidR="00285A11" w:rsidRPr="00285A11">
        <w:rPr>
          <w:sz w:val="24"/>
          <w:szCs w:val="24"/>
        </w:rPr>
        <w:t xml:space="preserve"> in the older age group, outlining degeneration to be a common trend with</w:t>
      </w:r>
      <w:r w:rsidR="009A44EA">
        <w:rPr>
          <w:sz w:val="24"/>
          <w:szCs w:val="24"/>
        </w:rPr>
        <w:t>in</w:t>
      </w:r>
      <w:r w:rsidR="00285A11" w:rsidRPr="00285A11">
        <w:rPr>
          <w:sz w:val="24"/>
          <w:szCs w:val="24"/>
        </w:rPr>
        <w:t xml:space="preserve"> the </w:t>
      </w:r>
      <w:r w:rsidR="009A44EA">
        <w:rPr>
          <w:sz w:val="24"/>
          <w:szCs w:val="24"/>
        </w:rPr>
        <w:t xml:space="preserve">prevalence of the </w:t>
      </w:r>
      <w:r w:rsidR="00285A11" w:rsidRPr="00285A11">
        <w:rPr>
          <w:sz w:val="24"/>
          <w:szCs w:val="24"/>
        </w:rPr>
        <w:t xml:space="preserve">assessed lesions.  </w:t>
      </w:r>
    </w:p>
    <w:p w:rsidR="006A5517" w:rsidRPr="006A5517" w:rsidRDefault="006A5517" w:rsidP="003B5900">
      <w:pPr>
        <w:pStyle w:val="Heading2"/>
        <w:spacing w:line="360" w:lineRule="auto"/>
        <w:ind w:left="1080"/>
        <w:jc w:val="both"/>
        <w:rPr>
          <w:rFonts w:asciiTheme="minorHAnsi" w:hAnsiTheme="minorHAnsi"/>
          <w:b w:val="0"/>
        </w:rPr>
      </w:pPr>
      <w:bookmarkStart w:id="17" w:name="_Toc499046297"/>
      <w:r w:rsidRPr="006A5517">
        <w:rPr>
          <w:rFonts w:asciiTheme="minorHAnsi" w:hAnsiTheme="minorHAnsi"/>
          <w:b w:val="0"/>
        </w:rPr>
        <w:t>Biological Age and Sex</w:t>
      </w:r>
      <w:bookmarkEnd w:id="17"/>
    </w:p>
    <w:p w:rsidR="00264436" w:rsidRPr="00264436" w:rsidRDefault="00264436" w:rsidP="003B5900">
      <w:pPr>
        <w:spacing w:line="360" w:lineRule="auto"/>
        <w:jc w:val="both"/>
        <w:rPr>
          <w:sz w:val="24"/>
          <w:szCs w:val="24"/>
        </w:rPr>
      </w:pPr>
      <w:r w:rsidRPr="00264436">
        <w:rPr>
          <w:sz w:val="24"/>
          <w:szCs w:val="24"/>
        </w:rPr>
        <w:t>When the factors of biological age and sex were assessed together</w:t>
      </w:r>
      <w:r w:rsidR="009D6726">
        <w:rPr>
          <w:sz w:val="24"/>
          <w:szCs w:val="24"/>
        </w:rPr>
        <w:t xml:space="preserve"> within the coffin sample</w:t>
      </w:r>
      <w:r w:rsidRPr="00264436">
        <w:rPr>
          <w:sz w:val="24"/>
          <w:szCs w:val="24"/>
        </w:rPr>
        <w:t>, GH</w:t>
      </w:r>
      <w:r w:rsidR="00CB2812">
        <w:rPr>
          <w:sz w:val="24"/>
          <w:szCs w:val="24"/>
        </w:rPr>
        <w:t>J</w:t>
      </w:r>
      <w:r w:rsidRPr="00264436">
        <w:rPr>
          <w:sz w:val="24"/>
          <w:szCs w:val="24"/>
        </w:rPr>
        <w:t xml:space="preserve"> OA increased with age at a similar rate in males</w:t>
      </w:r>
      <w:r w:rsidR="00A26CBE">
        <w:rPr>
          <w:sz w:val="24"/>
          <w:szCs w:val="24"/>
        </w:rPr>
        <w:t xml:space="preserve"> </w:t>
      </w:r>
      <w:r w:rsidRPr="00264436">
        <w:rPr>
          <w:sz w:val="24"/>
          <w:szCs w:val="24"/>
        </w:rPr>
        <w:t>(142%)</w:t>
      </w:r>
      <w:r w:rsidR="00AD22CB">
        <w:rPr>
          <w:sz w:val="24"/>
          <w:szCs w:val="24"/>
        </w:rPr>
        <w:t xml:space="preserve"> </w:t>
      </w:r>
      <w:r w:rsidRPr="00264436">
        <w:rPr>
          <w:sz w:val="24"/>
          <w:szCs w:val="24"/>
        </w:rPr>
        <w:t xml:space="preserve">and females (141%), however </w:t>
      </w:r>
      <w:r w:rsidR="00F7097D">
        <w:rPr>
          <w:sz w:val="24"/>
          <w:szCs w:val="24"/>
        </w:rPr>
        <w:t>the prevalence of</w:t>
      </w:r>
      <w:r w:rsidRPr="00264436">
        <w:rPr>
          <w:sz w:val="24"/>
          <w:szCs w:val="24"/>
        </w:rPr>
        <w:t xml:space="preserve"> ACJ OA increased more rapidly </w:t>
      </w:r>
      <w:r w:rsidR="00743DB5">
        <w:rPr>
          <w:sz w:val="24"/>
          <w:szCs w:val="24"/>
        </w:rPr>
        <w:t xml:space="preserve">with age </w:t>
      </w:r>
      <w:r w:rsidRPr="00264436">
        <w:rPr>
          <w:sz w:val="24"/>
          <w:szCs w:val="24"/>
        </w:rPr>
        <w:t>in males (102%)</w:t>
      </w:r>
      <w:r w:rsidR="00F7097D">
        <w:rPr>
          <w:sz w:val="24"/>
          <w:szCs w:val="24"/>
        </w:rPr>
        <w:t>,</w:t>
      </w:r>
      <w:r w:rsidR="00610DC3">
        <w:rPr>
          <w:sz w:val="24"/>
          <w:szCs w:val="24"/>
        </w:rPr>
        <w:t xml:space="preserve"> than in females (40%). </w:t>
      </w:r>
      <w:r w:rsidRPr="00264436">
        <w:rPr>
          <w:sz w:val="24"/>
          <w:szCs w:val="24"/>
        </w:rPr>
        <w:t xml:space="preserve">This suggests </w:t>
      </w:r>
      <w:r w:rsidR="00113A1D">
        <w:rPr>
          <w:sz w:val="24"/>
          <w:szCs w:val="24"/>
        </w:rPr>
        <w:t xml:space="preserve">occurrence of </w:t>
      </w:r>
      <w:r w:rsidRPr="00264436">
        <w:rPr>
          <w:sz w:val="24"/>
          <w:szCs w:val="24"/>
        </w:rPr>
        <w:t xml:space="preserve">ACJ OA was </w:t>
      </w:r>
      <w:r w:rsidR="00113A1D">
        <w:rPr>
          <w:sz w:val="24"/>
          <w:szCs w:val="24"/>
        </w:rPr>
        <w:t xml:space="preserve">associated with increasing age in fewer cases </w:t>
      </w:r>
      <w:r w:rsidRPr="00264436">
        <w:rPr>
          <w:sz w:val="24"/>
          <w:szCs w:val="24"/>
        </w:rPr>
        <w:t xml:space="preserve">in females, however the rate of </w:t>
      </w:r>
      <w:r w:rsidR="009052F1">
        <w:rPr>
          <w:sz w:val="24"/>
          <w:szCs w:val="24"/>
        </w:rPr>
        <w:t xml:space="preserve">female </w:t>
      </w:r>
      <w:r w:rsidRPr="00264436">
        <w:rPr>
          <w:sz w:val="24"/>
          <w:szCs w:val="24"/>
        </w:rPr>
        <w:t>ACJ OA in the 20-39 age group was higher than the rate of GH</w:t>
      </w:r>
      <w:r w:rsidR="00461E57">
        <w:rPr>
          <w:sz w:val="24"/>
          <w:szCs w:val="24"/>
        </w:rPr>
        <w:t>J</w:t>
      </w:r>
      <w:r w:rsidRPr="00264436">
        <w:rPr>
          <w:sz w:val="24"/>
          <w:szCs w:val="24"/>
        </w:rPr>
        <w:t xml:space="preserve"> OA in </w:t>
      </w:r>
      <w:r w:rsidR="00A26CBE">
        <w:rPr>
          <w:sz w:val="24"/>
          <w:szCs w:val="24"/>
        </w:rPr>
        <w:t xml:space="preserve">both </w:t>
      </w:r>
      <w:r w:rsidR="00542548">
        <w:rPr>
          <w:sz w:val="24"/>
          <w:szCs w:val="24"/>
        </w:rPr>
        <w:t xml:space="preserve">the </w:t>
      </w:r>
      <w:r w:rsidR="00A26CBE">
        <w:rPr>
          <w:sz w:val="24"/>
          <w:szCs w:val="24"/>
        </w:rPr>
        <w:t xml:space="preserve">male and female </w:t>
      </w:r>
      <w:r w:rsidR="009052F1">
        <w:rPr>
          <w:sz w:val="24"/>
          <w:szCs w:val="24"/>
        </w:rPr>
        <w:t>20-39-year-old</w:t>
      </w:r>
      <w:r w:rsidR="00542548">
        <w:rPr>
          <w:sz w:val="24"/>
          <w:szCs w:val="24"/>
        </w:rPr>
        <w:t xml:space="preserve"> group</w:t>
      </w:r>
      <w:r w:rsidRPr="00264436">
        <w:rPr>
          <w:sz w:val="24"/>
          <w:szCs w:val="24"/>
        </w:rPr>
        <w:t xml:space="preserve">, </w:t>
      </w:r>
      <w:r w:rsidR="00FD7E4F" w:rsidRPr="00264436">
        <w:rPr>
          <w:sz w:val="24"/>
          <w:szCs w:val="24"/>
        </w:rPr>
        <w:t>signifying</w:t>
      </w:r>
      <w:r w:rsidRPr="00264436">
        <w:rPr>
          <w:sz w:val="24"/>
          <w:szCs w:val="24"/>
        </w:rPr>
        <w:t xml:space="preserve"> the smaller increase in females could be due to the high rate in younger females.  The </w:t>
      </w:r>
      <w:r w:rsidR="000C6B24">
        <w:rPr>
          <w:sz w:val="24"/>
          <w:szCs w:val="24"/>
        </w:rPr>
        <w:t>difference in the ACJ</w:t>
      </w:r>
      <w:r w:rsidR="00FD7E4F">
        <w:rPr>
          <w:sz w:val="24"/>
          <w:szCs w:val="24"/>
        </w:rPr>
        <w:t xml:space="preserve"> OA prevalence-</w:t>
      </w:r>
      <w:r w:rsidRPr="00264436">
        <w:rPr>
          <w:sz w:val="24"/>
          <w:szCs w:val="24"/>
        </w:rPr>
        <w:t xml:space="preserve">increase </w:t>
      </w:r>
      <w:r w:rsidR="000C6B24">
        <w:rPr>
          <w:sz w:val="24"/>
          <w:szCs w:val="24"/>
        </w:rPr>
        <w:t>with age between the sexes</w:t>
      </w:r>
      <w:r w:rsidRPr="00264436">
        <w:rPr>
          <w:sz w:val="24"/>
          <w:szCs w:val="24"/>
        </w:rPr>
        <w:t xml:space="preserve"> could alternately be </w:t>
      </w:r>
      <w:r w:rsidR="00F7097D">
        <w:rPr>
          <w:sz w:val="24"/>
          <w:szCs w:val="24"/>
        </w:rPr>
        <w:t xml:space="preserve">suggested to be </w:t>
      </w:r>
      <w:r w:rsidRPr="00264436">
        <w:rPr>
          <w:sz w:val="24"/>
          <w:szCs w:val="24"/>
        </w:rPr>
        <w:t xml:space="preserve">due to factors such as biological predisposition or wear and tear due to </w:t>
      </w:r>
      <w:r w:rsidR="000C6B24">
        <w:rPr>
          <w:sz w:val="24"/>
          <w:szCs w:val="24"/>
        </w:rPr>
        <w:t>gender-</w:t>
      </w:r>
      <w:r w:rsidRPr="00264436">
        <w:rPr>
          <w:sz w:val="24"/>
          <w:szCs w:val="24"/>
        </w:rPr>
        <w:t>differences in joint usage</w:t>
      </w:r>
      <w:r w:rsidR="00F7097D">
        <w:rPr>
          <w:sz w:val="24"/>
          <w:szCs w:val="24"/>
        </w:rPr>
        <w:t xml:space="preserve">, with males potentially </w:t>
      </w:r>
      <w:r w:rsidR="000C6B24">
        <w:rPr>
          <w:sz w:val="24"/>
          <w:szCs w:val="24"/>
        </w:rPr>
        <w:t>using the joint a greater amount in life</w:t>
      </w:r>
      <w:r w:rsidR="008805AE">
        <w:rPr>
          <w:sz w:val="24"/>
          <w:szCs w:val="24"/>
        </w:rPr>
        <w:t>,</w:t>
      </w:r>
      <w:r w:rsidR="000C6B24">
        <w:rPr>
          <w:sz w:val="24"/>
          <w:szCs w:val="24"/>
        </w:rPr>
        <w:t xml:space="preserve"> </w:t>
      </w:r>
      <w:r w:rsidR="00542548">
        <w:rPr>
          <w:sz w:val="24"/>
          <w:szCs w:val="24"/>
        </w:rPr>
        <w:t>accelerating</w:t>
      </w:r>
      <w:r w:rsidR="000C6B24">
        <w:rPr>
          <w:sz w:val="24"/>
          <w:szCs w:val="24"/>
        </w:rPr>
        <w:t xml:space="preserve"> </w:t>
      </w:r>
      <w:r w:rsidR="00542548">
        <w:rPr>
          <w:sz w:val="24"/>
          <w:szCs w:val="24"/>
        </w:rPr>
        <w:t>degeneration, a</w:t>
      </w:r>
      <w:r w:rsidR="000C6B24">
        <w:rPr>
          <w:sz w:val="24"/>
          <w:szCs w:val="24"/>
        </w:rPr>
        <w:t xml:space="preserve">s seen in the vertebrae of Mary Rose sailors </w:t>
      </w:r>
      <w:r w:rsidR="000C6B24">
        <w:rPr>
          <w:rFonts w:cs="Calibri"/>
          <w:spacing w:val="-1"/>
          <w:sz w:val="24"/>
          <w:szCs w:val="24"/>
        </w:rPr>
        <w:t>(Stirland and Waldron, 1997).</w:t>
      </w:r>
    </w:p>
    <w:p w:rsidR="00A26CBE" w:rsidRDefault="00264436" w:rsidP="003B5900">
      <w:pPr>
        <w:spacing w:line="360" w:lineRule="auto"/>
        <w:jc w:val="both"/>
        <w:rPr>
          <w:sz w:val="24"/>
          <w:szCs w:val="24"/>
        </w:rPr>
      </w:pPr>
      <w:r w:rsidRPr="00264436">
        <w:rPr>
          <w:sz w:val="24"/>
          <w:szCs w:val="24"/>
        </w:rPr>
        <w:t>Despite the similar prevalence of GH</w:t>
      </w:r>
      <w:r w:rsidR="00461E57">
        <w:rPr>
          <w:sz w:val="24"/>
          <w:szCs w:val="24"/>
        </w:rPr>
        <w:t>J</w:t>
      </w:r>
      <w:r w:rsidRPr="00264436">
        <w:rPr>
          <w:sz w:val="24"/>
          <w:szCs w:val="24"/>
        </w:rPr>
        <w:t xml:space="preserve"> OA in males and females,</w:t>
      </w:r>
      <w:r w:rsidR="000C6B24">
        <w:rPr>
          <w:sz w:val="24"/>
          <w:szCs w:val="24"/>
        </w:rPr>
        <w:t xml:space="preserve"> in relation to the expected and actual counts calculated in the Chi-Squared Tests</w:t>
      </w:r>
      <w:r w:rsidRPr="00264436">
        <w:rPr>
          <w:sz w:val="24"/>
          <w:szCs w:val="24"/>
        </w:rPr>
        <w:t xml:space="preserve"> the counts of GH</w:t>
      </w:r>
      <w:r w:rsidR="00461E57">
        <w:rPr>
          <w:sz w:val="24"/>
          <w:szCs w:val="24"/>
        </w:rPr>
        <w:t>J</w:t>
      </w:r>
      <w:r w:rsidRPr="00264436">
        <w:rPr>
          <w:sz w:val="24"/>
          <w:szCs w:val="24"/>
        </w:rPr>
        <w:t xml:space="preserve"> OA </w:t>
      </w:r>
      <w:r w:rsidRPr="00264436">
        <w:rPr>
          <w:sz w:val="24"/>
          <w:szCs w:val="24"/>
        </w:rPr>
        <w:lastRenderedPageBreak/>
        <w:t xml:space="preserve">were lower than expected </w:t>
      </w:r>
      <w:r w:rsidR="000C6B24">
        <w:rPr>
          <w:sz w:val="24"/>
          <w:szCs w:val="24"/>
        </w:rPr>
        <w:t>i</w:t>
      </w:r>
      <w:r w:rsidRPr="00264436">
        <w:rPr>
          <w:sz w:val="24"/>
          <w:szCs w:val="24"/>
        </w:rPr>
        <w:t xml:space="preserve">n both young females by 3.7, and older females by 0.7, whilst the counts were equally lower than expected in young males, by 1.3, but higher in older males by 5.7.  This suggests age was specifically associated </w:t>
      </w:r>
      <w:r w:rsidR="000C6B24">
        <w:rPr>
          <w:sz w:val="24"/>
          <w:szCs w:val="24"/>
        </w:rPr>
        <w:t>with GH</w:t>
      </w:r>
      <w:r w:rsidR="00461E57">
        <w:rPr>
          <w:sz w:val="24"/>
          <w:szCs w:val="24"/>
        </w:rPr>
        <w:t>J</w:t>
      </w:r>
      <w:r w:rsidR="000C6B24">
        <w:rPr>
          <w:sz w:val="24"/>
          <w:szCs w:val="24"/>
        </w:rPr>
        <w:t xml:space="preserve"> OA in </w:t>
      </w:r>
      <w:r w:rsidR="00735DCE">
        <w:rPr>
          <w:sz w:val="24"/>
          <w:szCs w:val="24"/>
        </w:rPr>
        <w:t>older</w:t>
      </w:r>
      <w:r w:rsidR="000C6B24">
        <w:rPr>
          <w:sz w:val="24"/>
          <w:szCs w:val="24"/>
        </w:rPr>
        <w:t xml:space="preserve"> males and</w:t>
      </w:r>
      <w:r w:rsidRPr="00264436">
        <w:rPr>
          <w:sz w:val="24"/>
          <w:szCs w:val="24"/>
        </w:rPr>
        <w:t xml:space="preserve"> </w:t>
      </w:r>
      <w:r w:rsidR="000C6B24">
        <w:rPr>
          <w:sz w:val="24"/>
          <w:szCs w:val="24"/>
        </w:rPr>
        <w:t xml:space="preserve">was less influential </w:t>
      </w:r>
      <w:r w:rsidRPr="00264436">
        <w:rPr>
          <w:sz w:val="24"/>
          <w:szCs w:val="24"/>
        </w:rPr>
        <w:t>in older fe</w:t>
      </w:r>
      <w:r w:rsidR="00610DC3">
        <w:rPr>
          <w:sz w:val="24"/>
          <w:szCs w:val="24"/>
        </w:rPr>
        <w:t>males and the young population.</w:t>
      </w:r>
      <w:r w:rsidRPr="00264436">
        <w:rPr>
          <w:sz w:val="24"/>
          <w:szCs w:val="24"/>
        </w:rPr>
        <w:t xml:space="preserve"> This is supported by the OR results, showing males to have </w:t>
      </w:r>
      <w:r w:rsidR="009B0F89">
        <w:rPr>
          <w:sz w:val="24"/>
          <w:szCs w:val="24"/>
        </w:rPr>
        <w:t>had 4.8 greater odds of having GH</w:t>
      </w:r>
      <w:r w:rsidR="00461E57">
        <w:rPr>
          <w:sz w:val="24"/>
          <w:szCs w:val="24"/>
        </w:rPr>
        <w:t>J</w:t>
      </w:r>
      <w:r w:rsidR="009B0F89">
        <w:rPr>
          <w:sz w:val="24"/>
          <w:szCs w:val="24"/>
        </w:rPr>
        <w:t xml:space="preserve"> OA </w:t>
      </w:r>
      <w:r w:rsidRPr="00264436">
        <w:rPr>
          <w:sz w:val="24"/>
          <w:szCs w:val="24"/>
        </w:rPr>
        <w:t>from the 20-39 age group to the 40+ age group, whilst the results were not statistically significant in females, showing no association between female</w:t>
      </w:r>
      <w:r w:rsidR="009B0F89">
        <w:rPr>
          <w:sz w:val="24"/>
          <w:szCs w:val="24"/>
        </w:rPr>
        <w:t>’</w:t>
      </w:r>
      <w:r w:rsidRPr="00264436">
        <w:rPr>
          <w:sz w:val="24"/>
          <w:szCs w:val="24"/>
        </w:rPr>
        <w:t>s age and the presence of GH</w:t>
      </w:r>
      <w:r w:rsidR="00461E57">
        <w:rPr>
          <w:sz w:val="24"/>
          <w:szCs w:val="24"/>
        </w:rPr>
        <w:t>J</w:t>
      </w:r>
      <w:r w:rsidR="00610DC3">
        <w:rPr>
          <w:sz w:val="24"/>
          <w:szCs w:val="24"/>
        </w:rPr>
        <w:t xml:space="preserve"> OA.</w:t>
      </w:r>
    </w:p>
    <w:p w:rsidR="009052F1" w:rsidRPr="00F15E0A" w:rsidRDefault="00743DB5" w:rsidP="003B5900">
      <w:pPr>
        <w:spacing w:line="360" w:lineRule="auto"/>
        <w:jc w:val="both"/>
        <w:rPr>
          <w:rFonts w:cs="Calibri"/>
          <w:spacing w:val="-1"/>
          <w:sz w:val="24"/>
          <w:szCs w:val="24"/>
        </w:rPr>
      </w:pPr>
      <w:r>
        <w:rPr>
          <w:sz w:val="24"/>
          <w:szCs w:val="24"/>
        </w:rPr>
        <w:t>This was mirrored in ACJ OA as</w:t>
      </w:r>
      <w:r w:rsidR="00A26CBE">
        <w:rPr>
          <w:sz w:val="24"/>
          <w:szCs w:val="24"/>
        </w:rPr>
        <w:t xml:space="preserve"> 20-39-year-old </w:t>
      </w:r>
      <w:r w:rsidR="00264436" w:rsidRPr="00264436">
        <w:rPr>
          <w:sz w:val="24"/>
          <w:szCs w:val="24"/>
        </w:rPr>
        <w:t xml:space="preserve">females also had a lower than expected </w:t>
      </w:r>
      <w:r w:rsidR="008805AE">
        <w:rPr>
          <w:sz w:val="24"/>
          <w:szCs w:val="24"/>
        </w:rPr>
        <w:t xml:space="preserve">disease </w:t>
      </w:r>
      <w:r w:rsidR="00264436" w:rsidRPr="00264436">
        <w:rPr>
          <w:sz w:val="24"/>
          <w:szCs w:val="24"/>
        </w:rPr>
        <w:t>count, 3.6, which was equa</w:t>
      </w:r>
      <w:r w:rsidR="00A26CBE">
        <w:rPr>
          <w:sz w:val="24"/>
          <w:szCs w:val="24"/>
        </w:rPr>
        <w:t>lly seen in young males, 0.9</w:t>
      </w:r>
      <w:r w:rsidR="000F2270">
        <w:rPr>
          <w:sz w:val="24"/>
          <w:szCs w:val="24"/>
        </w:rPr>
        <w:t xml:space="preserve">, in comparison to the rates </w:t>
      </w:r>
      <w:r>
        <w:rPr>
          <w:sz w:val="24"/>
          <w:szCs w:val="24"/>
        </w:rPr>
        <w:t xml:space="preserve">that </w:t>
      </w:r>
      <w:r w:rsidR="000F2270">
        <w:rPr>
          <w:sz w:val="24"/>
          <w:szCs w:val="24"/>
        </w:rPr>
        <w:t xml:space="preserve">were </w:t>
      </w:r>
      <w:r w:rsidR="00264436" w:rsidRPr="00264436">
        <w:rPr>
          <w:sz w:val="24"/>
          <w:szCs w:val="24"/>
        </w:rPr>
        <w:t>higher than ex</w:t>
      </w:r>
      <w:r w:rsidR="00A26CBE">
        <w:rPr>
          <w:sz w:val="24"/>
          <w:szCs w:val="24"/>
        </w:rPr>
        <w:t>pected in elderly males</w:t>
      </w:r>
      <w:r w:rsidR="00610DC3">
        <w:rPr>
          <w:sz w:val="24"/>
          <w:szCs w:val="24"/>
        </w:rPr>
        <w:t xml:space="preserve"> by 6.7. </w:t>
      </w:r>
      <w:r>
        <w:rPr>
          <w:sz w:val="24"/>
          <w:szCs w:val="24"/>
        </w:rPr>
        <w:t>Again, t</w:t>
      </w:r>
      <w:r w:rsidR="00264436" w:rsidRPr="00264436">
        <w:rPr>
          <w:sz w:val="24"/>
          <w:szCs w:val="24"/>
        </w:rPr>
        <w:t xml:space="preserve">he ACJ OA </w:t>
      </w:r>
      <w:r w:rsidR="00264436" w:rsidRPr="002F75D3">
        <w:rPr>
          <w:sz w:val="24"/>
          <w:szCs w:val="24"/>
        </w:rPr>
        <w:t>OR</w:t>
      </w:r>
      <w:r w:rsidR="00264436" w:rsidRPr="00264436">
        <w:rPr>
          <w:sz w:val="24"/>
          <w:szCs w:val="24"/>
        </w:rPr>
        <w:t xml:space="preserve"> was not statistically significant</w:t>
      </w:r>
      <w:r>
        <w:rPr>
          <w:sz w:val="24"/>
          <w:szCs w:val="24"/>
        </w:rPr>
        <w:t xml:space="preserve"> in females</w:t>
      </w:r>
      <w:r w:rsidR="00264436" w:rsidRPr="00264436">
        <w:rPr>
          <w:sz w:val="24"/>
          <w:szCs w:val="24"/>
        </w:rPr>
        <w:t xml:space="preserve">, signifying the increase in disease prevalence </w:t>
      </w:r>
      <w:r>
        <w:rPr>
          <w:sz w:val="24"/>
          <w:szCs w:val="24"/>
        </w:rPr>
        <w:t xml:space="preserve">with age </w:t>
      </w:r>
      <w:r w:rsidR="00264436" w:rsidRPr="00264436">
        <w:rPr>
          <w:sz w:val="24"/>
          <w:szCs w:val="24"/>
        </w:rPr>
        <w:t xml:space="preserve">to be more significant in males.  </w:t>
      </w:r>
      <w:r w:rsidR="009052F1">
        <w:rPr>
          <w:rFonts w:cs="Calibri"/>
          <w:spacing w:val="-1"/>
          <w:sz w:val="24"/>
          <w:szCs w:val="24"/>
        </w:rPr>
        <w:t xml:space="preserve">These results differ to findings on the rates of arthritis </w:t>
      </w:r>
      <w:r w:rsidR="00735DCE">
        <w:rPr>
          <w:rFonts w:cs="Calibri"/>
          <w:spacing w:val="-1"/>
          <w:sz w:val="24"/>
          <w:szCs w:val="24"/>
        </w:rPr>
        <w:t xml:space="preserve">from the American National Health Interview Survey </w:t>
      </w:r>
      <w:r w:rsidR="009052F1">
        <w:rPr>
          <w:rFonts w:cs="Calibri"/>
          <w:spacing w:val="-1"/>
          <w:sz w:val="24"/>
          <w:szCs w:val="24"/>
        </w:rPr>
        <w:t xml:space="preserve">by </w:t>
      </w:r>
      <w:r w:rsidR="009052F1" w:rsidRPr="00961D7C">
        <w:rPr>
          <w:rFonts w:cs="Calibri"/>
          <w:spacing w:val="-1"/>
          <w:sz w:val="24"/>
          <w:szCs w:val="24"/>
        </w:rPr>
        <w:t>Verbrugge</w:t>
      </w:r>
      <w:r w:rsidR="008805AE">
        <w:rPr>
          <w:rFonts w:cs="Calibri"/>
          <w:spacing w:val="-1"/>
          <w:sz w:val="24"/>
          <w:szCs w:val="24"/>
        </w:rPr>
        <w:t xml:space="preserve"> (1995)</w:t>
      </w:r>
      <w:r w:rsidR="009052F1">
        <w:rPr>
          <w:rFonts w:cs="Calibri"/>
          <w:spacing w:val="-1"/>
          <w:sz w:val="24"/>
          <w:szCs w:val="24"/>
        </w:rPr>
        <w:t xml:space="preserve">, who cited females to have a greater rate of arthritis in </w:t>
      </w:r>
      <w:r w:rsidR="009C6D03">
        <w:rPr>
          <w:rFonts w:cs="Calibri"/>
          <w:spacing w:val="-1"/>
          <w:sz w:val="24"/>
          <w:szCs w:val="24"/>
        </w:rPr>
        <w:t>youth</w:t>
      </w:r>
      <w:r w:rsidR="009052F1">
        <w:rPr>
          <w:rFonts w:cs="Calibri"/>
          <w:spacing w:val="-1"/>
          <w:sz w:val="24"/>
          <w:szCs w:val="24"/>
        </w:rPr>
        <w:t xml:space="preserve">, and for the prevalence gap between the </w:t>
      </w:r>
      <w:r>
        <w:rPr>
          <w:rFonts w:cs="Calibri"/>
          <w:spacing w:val="-1"/>
          <w:sz w:val="24"/>
          <w:szCs w:val="24"/>
        </w:rPr>
        <w:t>sexes to decrease</w:t>
      </w:r>
      <w:r w:rsidR="009C6D03">
        <w:rPr>
          <w:rFonts w:cs="Calibri"/>
          <w:spacing w:val="-1"/>
          <w:sz w:val="24"/>
          <w:szCs w:val="24"/>
        </w:rPr>
        <w:t xml:space="preserve"> as age advances</w:t>
      </w:r>
      <w:r w:rsidR="00610DC3">
        <w:rPr>
          <w:rFonts w:cs="Calibri"/>
          <w:spacing w:val="-1"/>
          <w:sz w:val="24"/>
          <w:szCs w:val="24"/>
        </w:rPr>
        <w:t xml:space="preserve">. </w:t>
      </w:r>
      <w:r w:rsidR="00735DCE">
        <w:rPr>
          <w:rFonts w:cs="Calibri"/>
          <w:spacing w:val="-1"/>
          <w:sz w:val="24"/>
          <w:szCs w:val="24"/>
        </w:rPr>
        <w:t>Disease</w:t>
      </w:r>
      <w:r w:rsidR="009052F1">
        <w:rPr>
          <w:rFonts w:cs="Calibri"/>
          <w:spacing w:val="-1"/>
          <w:sz w:val="24"/>
          <w:szCs w:val="24"/>
        </w:rPr>
        <w:t xml:space="preserve"> prevalence difference between the </w:t>
      </w:r>
      <w:r w:rsidR="00042EFC">
        <w:rPr>
          <w:rFonts w:cs="Calibri"/>
          <w:spacing w:val="-1"/>
          <w:sz w:val="24"/>
          <w:szCs w:val="24"/>
        </w:rPr>
        <w:t>sexes</w:t>
      </w:r>
      <w:r w:rsidR="009052F1">
        <w:rPr>
          <w:rFonts w:cs="Calibri"/>
          <w:spacing w:val="-1"/>
          <w:sz w:val="24"/>
          <w:szCs w:val="24"/>
        </w:rPr>
        <w:t xml:space="preserve"> does not </w:t>
      </w:r>
      <w:r w:rsidR="009052F1" w:rsidRPr="00F15E0A">
        <w:rPr>
          <w:rFonts w:cs="Calibri"/>
          <w:spacing w:val="-1"/>
          <w:sz w:val="24"/>
          <w:szCs w:val="24"/>
        </w:rPr>
        <w:t xml:space="preserve">decrease with age in this </w:t>
      </w:r>
      <w:r w:rsidR="00CD7C51" w:rsidRPr="00F15E0A">
        <w:rPr>
          <w:rFonts w:cs="Calibri"/>
          <w:spacing w:val="-1"/>
          <w:sz w:val="24"/>
          <w:szCs w:val="24"/>
        </w:rPr>
        <w:t>study</w:t>
      </w:r>
      <w:r w:rsidR="009052F1" w:rsidRPr="00F15E0A">
        <w:rPr>
          <w:rFonts w:cs="Calibri"/>
          <w:spacing w:val="-1"/>
          <w:sz w:val="24"/>
          <w:szCs w:val="24"/>
        </w:rPr>
        <w:t>, and the rates are still significantly higher in males in the 40+ age group</w:t>
      </w:r>
      <w:r w:rsidR="002B7CEF" w:rsidRPr="00F15E0A">
        <w:rPr>
          <w:rFonts w:cs="Calibri"/>
          <w:spacing w:val="-1"/>
          <w:sz w:val="24"/>
          <w:szCs w:val="24"/>
        </w:rPr>
        <w:t>, suggesting a significant causal factor was influencing the disease occurrence in males.</w:t>
      </w:r>
    </w:p>
    <w:p w:rsidR="00F15E0A" w:rsidRDefault="00B231E8" w:rsidP="00F15E0A">
      <w:pPr>
        <w:spacing w:before="144" w:line="360" w:lineRule="auto"/>
        <w:jc w:val="both"/>
        <w:rPr>
          <w:sz w:val="24"/>
          <w:szCs w:val="24"/>
        </w:rPr>
      </w:pPr>
      <w:r w:rsidRPr="00F15E0A">
        <w:rPr>
          <w:rFonts w:cs="Arial"/>
          <w:color w:val="222222"/>
          <w:sz w:val="24"/>
          <w:szCs w:val="24"/>
          <w:shd w:val="clear" w:color="auto" w:fill="FFFFFF"/>
        </w:rPr>
        <w:t xml:space="preserve">The results by Nordqvist and Petersson (1995) from </w:t>
      </w:r>
      <w:r w:rsidRPr="00F15E0A">
        <w:rPr>
          <w:rFonts w:cs="Calibri"/>
          <w:spacing w:val="-1"/>
          <w:sz w:val="24"/>
          <w:szCs w:val="24"/>
        </w:rPr>
        <w:t xml:space="preserve">Malmö general hospital, Sweden, 1987, </w:t>
      </w:r>
      <w:r w:rsidRPr="00F15E0A">
        <w:rPr>
          <w:sz w:val="24"/>
          <w:szCs w:val="24"/>
        </w:rPr>
        <w:t xml:space="preserve">altered significantly between </w:t>
      </w:r>
      <w:r w:rsidR="003A22C5">
        <w:rPr>
          <w:sz w:val="24"/>
          <w:szCs w:val="24"/>
        </w:rPr>
        <w:t>age and sex</w:t>
      </w:r>
      <w:r w:rsidR="00C511AE">
        <w:rPr>
          <w:sz w:val="24"/>
          <w:szCs w:val="24"/>
        </w:rPr>
        <w:t xml:space="preserve"> groups.</w:t>
      </w:r>
      <w:r w:rsidRPr="00F15E0A">
        <w:rPr>
          <w:sz w:val="24"/>
          <w:szCs w:val="24"/>
        </w:rPr>
        <w:t xml:space="preserve"> </w:t>
      </w:r>
      <w:r w:rsidR="00F15E0A">
        <w:rPr>
          <w:rFonts w:cs="Arial"/>
          <w:color w:val="222222"/>
          <w:sz w:val="24"/>
          <w:szCs w:val="24"/>
          <w:shd w:val="clear" w:color="auto" w:fill="FFFFFF"/>
        </w:rPr>
        <w:t>Nordqvist and Petersson</w:t>
      </w:r>
      <w:r w:rsidR="00F15E0A" w:rsidRPr="000A770F">
        <w:rPr>
          <w:rFonts w:cs="Arial"/>
          <w:color w:val="222222"/>
          <w:sz w:val="24"/>
          <w:szCs w:val="24"/>
          <w:shd w:val="clear" w:color="auto" w:fill="FFFFFF"/>
        </w:rPr>
        <w:t xml:space="preserve"> </w:t>
      </w:r>
      <w:r w:rsidR="00F15E0A">
        <w:rPr>
          <w:rFonts w:cs="Arial"/>
          <w:color w:val="222222"/>
          <w:sz w:val="24"/>
          <w:szCs w:val="24"/>
          <w:shd w:val="clear" w:color="auto" w:fill="FFFFFF"/>
        </w:rPr>
        <w:t>(</w:t>
      </w:r>
      <w:r w:rsidR="00F15E0A" w:rsidRPr="000A770F">
        <w:rPr>
          <w:rFonts w:cs="Arial"/>
          <w:color w:val="222222"/>
          <w:sz w:val="24"/>
          <w:szCs w:val="24"/>
          <w:shd w:val="clear" w:color="auto" w:fill="FFFFFF"/>
        </w:rPr>
        <w:t>1995)</w:t>
      </w:r>
      <w:r w:rsidR="00F15E0A" w:rsidRPr="000A770F">
        <w:rPr>
          <w:rFonts w:cs="Calibri"/>
          <w:spacing w:val="-1"/>
          <w:sz w:val="24"/>
          <w:szCs w:val="24"/>
        </w:rPr>
        <w:t xml:space="preserve"> </w:t>
      </w:r>
      <w:r w:rsidR="00F15E0A">
        <w:rPr>
          <w:rFonts w:cs="Calibri"/>
          <w:spacing w:val="-1"/>
          <w:sz w:val="24"/>
          <w:szCs w:val="24"/>
        </w:rPr>
        <w:t xml:space="preserve">associated age differences </w:t>
      </w:r>
      <w:r w:rsidR="00F15E0A" w:rsidRPr="000A770F">
        <w:rPr>
          <w:sz w:val="24"/>
          <w:szCs w:val="24"/>
        </w:rPr>
        <w:t xml:space="preserve">to </w:t>
      </w:r>
      <w:r w:rsidR="00F15E0A">
        <w:rPr>
          <w:sz w:val="24"/>
          <w:szCs w:val="24"/>
        </w:rPr>
        <w:t>physiological stability,</w:t>
      </w:r>
      <w:r w:rsidR="00F15E0A" w:rsidRPr="000A770F">
        <w:rPr>
          <w:sz w:val="24"/>
          <w:szCs w:val="24"/>
        </w:rPr>
        <w:t xml:space="preserve"> skeletal density and behavioural differences</w:t>
      </w:r>
      <w:r w:rsidR="00F15E0A">
        <w:rPr>
          <w:sz w:val="24"/>
          <w:szCs w:val="24"/>
        </w:rPr>
        <w:t xml:space="preserve"> between age groups,</w:t>
      </w:r>
      <w:r w:rsidR="00F15E0A" w:rsidRPr="000A770F">
        <w:rPr>
          <w:sz w:val="24"/>
          <w:szCs w:val="24"/>
        </w:rPr>
        <w:t xml:space="preserve"> as actions </w:t>
      </w:r>
      <w:r w:rsidR="00F15E0A">
        <w:rPr>
          <w:sz w:val="24"/>
          <w:szCs w:val="24"/>
        </w:rPr>
        <w:t>were</w:t>
      </w:r>
      <w:r w:rsidR="00F15E0A" w:rsidRPr="000A770F">
        <w:rPr>
          <w:sz w:val="24"/>
          <w:szCs w:val="24"/>
        </w:rPr>
        <w:t xml:space="preserve"> the primary factor affecting disease incidence between the sex </w:t>
      </w:r>
      <w:r w:rsidR="00F15E0A">
        <w:rPr>
          <w:sz w:val="24"/>
          <w:szCs w:val="24"/>
        </w:rPr>
        <w:t xml:space="preserve">and age </w:t>
      </w:r>
      <w:r w:rsidR="00C511AE">
        <w:rPr>
          <w:sz w:val="24"/>
          <w:szCs w:val="24"/>
        </w:rPr>
        <w:t xml:space="preserve">categories. </w:t>
      </w:r>
      <w:r w:rsidR="00F15E0A" w:rsidRPr="000A770F">
        <w:rPr>
          <w:sz w:val="24"/>
          <w:szCs w:val="24"/>
        </w:rPr>
        <w:t xml:space="preserve">This is supported </w:t>
      </w:r>
      <w:r w:rsidR="00F15E0A">
        <w:rPr>
          <w:sz w:val="24"/>
          <w:szCs w:val="24"/>
        </w:rPr>
        <w:t>by</w:t>
      </w:r>
      <w:r w:rsidR="00F15E0A" w:rsidRPr="000A770F">
        <w:rPr>
          <w:rFonts w:cs="Calibri"/>
          <w:spacing w:val="-1"/>
          <w:sz w:val="24"/>
          <w:szCs w:val="24"/>
        </w:rPr>
        <w:t xml:space="preserve"> Simonet </w:t>
      </w:r>
      <w:r w:rsidR="00F15E0A" w:rsidRPr="000A770F">
        <w:rPr>
          <w:rFonts w:cs="Calibri"/>
          <w:i/>
          <w:spacing w:val="-1"/>
          <w:sz w:val="24"/>
          <w:szCs w:val="24"/>
        </w:rPr>
        <w:t>et al</w:t>
      </w:r>
      <w:r w:rsidR="00F15E0A" w:rsidRPr="000A770F">
        <w:rPr>
          <w:rFonts w:cs="Calibri"/>
          <w:spacing w:val="-1"/>
          <w:sz w:val="24"/>
          <w:szCs w:val="24"/>
        </w:rPr>
        <w:t>. (1984)</w:t>
      </w:r>
      <w:r w:rsidR="00F15E0A">
        <w:rPr>
          <w:rFonts w:cs="Calibri"/>
          <w:spacing w:val="-1"/>
          <w:sz w:val="24"/>
          <w:szCs w:val="24"/>
        </w:rPr>
        <w:t>, who</w:t>
      </w:r>
      <w:r w:rsidR="00F15E0A" w:rsidRPr="000A770F">
        <w:rPr>
          <w:rFonts w:cs="Calibri"/>
          <w:spacing w:val="-1"/>
          <w:sz w:val="24"/>
          <w:szCs w:val="24"/>
        </w:rPr>
        <w:t xml:space="preserve"> reported the overall incidence of traumatic shoulder dislocation in Olmsted County, Minnesota, to be significantly greater among younger men than women</w:t>
      </w:r>
      <w:r w:rsidR="00F15E0A">
        <w:rPr>
          <w:rFonts w:cs="Calibri"/>
          <w:spacing w:val="-1"/>
          <w:sz w:val="24"/>
          <w:szCs w:val="24"/>
        </w:rPr>
        <w:t xml:space="preserve"> of all ages</w:t>
      </w:r>
      <w:r w:rsidR="00F15E0A" w:rsidRPr="000A770F">
        <w:rPr>
          <w:rFonts w:cs="Calibri"/>
          <w:spacing w:val="-1"/>
          <w:sz w:val="24"/>
          <w:szCs w:val="24"/>
        </w:rPr>
        <w:t>.</w:t>
      </w:r>
      <w:r w:rsidR="00F15E0A" w:rsidRPr="000A770F">
        <w:rPr>
          <w:sz w:val="24"/>
          <w:szCs w:val="24"/>
        </w:rPr>
        <w:t xml:space="preserve">  </w:t>
      </w:r>
    </w:p>
    <w:p w:rsidR="00B231E8" w:rsidRPr="00F15E0A" w:rsidRDefault="00B231E8" w:rsidP="00B231E8">
      <w:pPr>
        <w:spacing w:before="144" w:line="360" w:lineRule="auto"/>
        <w:jc w:val="both"/>
        <w:rPr>
          <w:rFonts w:cs="Calibri"/>
          <w:spacing w:val="-1"/>
          <w:sz w:val="24"/>
          <w:szCs w:val="24"/>
        </w:rPr>
      </w:pPr>
      <w:r w:rsidRPr="00F15E0A">
        <w:rPr>
          <w:sz w:val="24"/>
          <w:szCs w:val="24"/>
        </w:rPr>
        <w:t xml:space="preserve">In relation to biological sex, </w:t>
      </w:r>
      <w:r w:rsidR="00F15E0A">
        <w:rPr>
          <w:rFonts w:cs="Arial"/>
          <w:color w:val="222222"/>
          <w:sz w:val="24"/>
          <w:szCs w:val="24"/>
          <w:shd w:val="clear" w:color="auto" w:fill="FFFFFF"/>
        </w:rPr>
        <w:t>Nordqvist and Petersson</w:t>
      </w:r>
      <w:r w:rsidR="00F15E0A" w:rsidRPr="000A770F">
        <w:rPr>
          <w:rFonts w:cs="Arial"/>
          <w:color w:val="222222"/>
          <w:sz w:val="24"/>
          <w:szCs w:val="24"/>
          <w:shd w:val="clear" w:color="auto" w:fill="FFFFFF"/>
        </w:rPr>
        <w:t xml:space="preserve"> </w:t>
      </w:r>
      <w:r w:rsidR="00F15E0A">
        <w:rPr>
          <w:rFonts w:cs="Arial"/>
          <w:color w:val="222222"/>
          <w:sz w:val="24"/>
          <w:szCs w:val="24"/>
          <w:shd w:val="clear" w:color="auto" w:fill="FFFFFF"/>
        </w:rPr>
        <w:t>(</w:t>
      </w:r>
      <w:r w:rsidR="00F15E0A" w:rsidRPr="000A770F">
        <w:rPr>
          <w:rFonts w:cs="Arial"/>
          <w:color w:val="222222"/>
          <w:sz w:val="24"/>
          <w:szCs w:val="24"/>
          <w:shd w:val="clear" w:color="auto" w:fill="FFFFFF"/>
        </w:rPr>
        <w:t>1995)</w:t>
      </w:r>
      <w:r w:rsidR="00F15E0A" w:rsidRPr="000A770F">
        <w:rPr>
          <w:rFonts w:cs="Calibri"/>
          <w:spacing w:val="-1"/>
          <w:sz w:val="24"/>
          <w:szCs w:val="24"/>
        </w:rPr>
        <w:t xml:space="preserve"> </w:t>
      </w:r>
      <w:r w:rsidR="00F15E0A">
        <w:rPr>
          <w:rFonts w:cs="Calibri"/>
          <w:spacing w:val="-1"/>
          <w:sz w:val="24"/>
          <w:szCs w:val="24"/>
        </w:rPr>
        <w:t xml:space="preserve">found </w:t>
      </w:r>
      <w:r w:rsidRPr="00F15E0A">
        <w:rPr>
          <w:sz w:val="24"/>
          <w:szCs w:val="24"/>
        </w:rPr>
        <w:t xml:space="preserve">males exhibited a larger prevalence of clavicle and scapula fractures and dislocations than females, which was attributed to lifestyle differences in the paper as male traumas were linked to </w:t>
      </w:r>
      <w:r w:rsidR="00C511AE">
        <w:rPr>
          <w:sz w:val="24"/>
          <w:szCs w:val="24"/>
        </w:rPr>
        <w:t xml:space="preserve">traffic and sporting injuries. </w:t>
      </w:r>
      <w:r w:rsidRPr="00F15E0A">
        <w:rPr>
          <w:sz w:val="24"/>
          <w:szCs w:val="24"/>
        </w:rPr>
        <w:t>35% of shoulder dislocations in adults were sports related, illuminating a trend of physicality impacting disease and ge</w:t>
      </w:r>
      <w:r w:rsidR="00C511AE">
        <w:rPr>
          <w:sz w:val="24"/>
          <w:szCs w:val="24"/>
        </w:rPr>
        <w:t>nder as a variable within this.</w:t>
      </w:r>
      <w:r w:rsidRPr="00F15E0A">
        <w:rPr>
          <w:sz w:val="24"/>
          <w:szCs w:val="24"/>
        </w:rPr>
        <w:t xml:space="preserve"> </w:t>
      </w:r>
      <w:r w:rsidRPr="00F15E0A">
        <w:rPr>
          <w:sz w:val="24"/>
          <w:szCs w:val="24"/>
        </w:rPr>
        <w:lastRenderedPageBreak/>
        <w:t xml:space="preserve">Age was similarly substantial as 83% of injuries within the elderly population were caused by falls, whilst 49% of the shoulder injuries in children were due to playing or sporting accidents </w:t>
      </w:r>
      <w:r w:rsidRPr="00F15E0A">
        <w:rPr>
          <w:rFonts w:cs="Calibri"/>
          <w:spacing w:val="-1"/>
          <w:sz w:val="24"/>
          <w:szCs w:val="24"/>
        </w:rPr>
        <w:t>(</w:t>
      </w:r>
      <w:r w:rsidRPr="00F15E0A">
        <w:rPr>
          <w:rFonts w:cs="Arial"/>
          <w:color w:val="222222"/>
          <w:sz w:val="24"/>
          <w:szCs w:val="24"/>
          <w:shd w:val="clear" w:color="auto" w:fill="FFFFFF"/>
        </w:rPr>
        <w:t>Nordqvist and Petersson, 1995).</w:t>
      </w:r>
      <w:r w:rsidRPr="00F15E0A">
        <w:rPr>
          <w:rFonts w:cs="Calibri"/>
          <w:spacing w:val="-1"/>
          <w:sz w:val="24"/>
          <w:szCs w:val="24"/>
        </w:rPr>
        <w:t xml:space="preserve"> </w:t>
      </w:r>
      <w:r w:rsidRPr="00F15E0A">
        <w:rPr>
          <w:sz w:val="24"/>
          <w:szCs w:val="24"/>
        </w:rPr>
        <w:t xml:space="preserve">Elderly females had the highest trauma incidence, associated with the large elderly female population and the high prevalence of osteoporosis in females aged &gt;70 </w:t>
      </w:r>
      <w:r w:rsidRPr="00F15E0A">
        <w:rPr>
          <w:rFonts w:cs="Calibri"/>
          <w:spacing w:val="-1"/>
          <w:sz w:val="24"/>
          <w:szCs w:val="24"/>
        </w:rPr>
        <w:t>(</w:t>
      </w:r>
      <w:r w:rsidRPr="00F15E0A">
        <w:rPr>
          <w:rFonts w:cs="Arial"/>
          <w:color w:val="222222"/>
          <w:sz w:val="24"/>
          <w:szCs w:val="24"/>
          <w:shd w:val="clear" w:color="auto" w:fill="FFFFFF"/>
        </w:rPr>
        <w:t>Nordqvist and Petersson, 1995).</w:t>
      </w:r>
      <w:r w:rsidRPr="00F15E0A">
        <w:rPr>
          <w:rFonts w:cs="Calibri"/>
          <w:spacing w:val="-1"/>
          <w:sz w:val="24"/>
          <w:szCs w:val="24"/>
        </w:rPr>
        <w:t xml:space="preserve">  </w:t>
      </w:r>
    </w:p>
    <w:p w:rsidR="00264436" w:rsidRDefault="00F15E0A" w:rsidP="003B5900">
      <w:pPr>
        <w:spacing w:line="360" w:lineRule="auto"/>
        <w:jc w:val="both"/>
        <w:rPr>
          <w:sz w:val="24"/>
          <w:szCs w:val="24"/>
        </w:rPr>
      </w:pPr>
      <w:r w:rsidRPr="00F15E0A">
        <w:rPr>
          <w:sz w:val="24"/>
          <w:szCs w:val="24"/>
        </w:rPr>
        <w:t xml:space="preserve">Despite the results by </w:t>
      </w:r>
      <w:r w:rsidRPr="00F15E0A">
        <w:rPr>
          <w:rFonts w:cs="Arial"/>
          <w:color w:val="222222"/>
          <w:sz w:val="24"/>
          <w:szCs w:val="24"/>
          <w:shd w:val="clear" w:color="auto" w:fill="FFFFFF"/>
        </w:rPr>
        <w:t xml:space="preserve">Nordqvist and Petersson (1995) </w:t>
      </w:r>
      <w:r w:rsidR="00264436" w:rsidRPr="00F15E0A">
        <w:rPr>
          <w:sz w:val="24"/>
          <w:szCs w:val="24"/>
        </w:rPr>
        <w:t>RCD, impingement and the fractures were not significant</w:t>
      </w:r>
      <w:r w:rsidR="00743DB5" w:rsidRPr="00F15E0A">
        <w:rPr>
          <w:sz w:val="24"/>
          <w:szCs w:val="24"/>
        </w:rPr>
        <w:t xml:space="preserve">ly associated with </w:t>
      </w:r>
      <w:r w:rsidR="00264436" w:rsidRPr="00F15E0A">
        <w:rPr>
          <w:sz w:val="24"/>
          <w:szCs w:val="24"/>
        </w:rPr>
        <w:t xml:space="preserve">age </w:t>
      </w:r>
      <w:r w:rsidR="00743DB5" w:rsidRPr="00F15E0A">
        <w:rPr>
          <w:sz w:val="24"/>
          <w:szCs w:val="24"/>
        </w:rPr>
        <w:t xml:space="preserve">and sex, however, </w:t>
      </w:r>
      <w:r w:rsidR="00264436" w:rsidRPr="00F15E0A">
        <w:rPr>
          <w:sz w:val="24"/>
          <w:szCs w:val="24"/>
        </w:rPr>
        <w:t xml:space="preserve">the prevalence of RCD increased </w:t>
      </w:r>
      <w:r w:rsidR="008805AE" w:rsidRPr="00F15E0A">
        <w:rPr>
          <w:sz w:val="24"/>
          <w:szCs w:val="24"/>
        </w:rPr>
        <w:t>at a greater rate with age in females (133%),</w:t>
      </w:r>
      <w:r w:rsidR="008805AE">
        <w:rPr>
          <w:sz w:val="24"/>
          <w:szCs w:val="24"/>
        </w:rPr>
        <w:t xml:space="preserve"> than</w:t>
      </w:r>
      <w:r w:rsidR="00264436" w:rsidRPr="00264436">
        <w:rPr>
          <w:sz w:val="24"/>
          <w:szCs w:val="24"/>
        </w:rPr>
        <w:t xml:space="preserve"> males (100%). This could suggest females to have </w:t>
      </w:r>
      <w:r w:rsidR="009B0F89">
        <w:rPr>
          <w:sz w:val="24"/>
          <w:szCs w:val="24"/>
        </w:rPr>
        <w:t xml:space="preserve">had </w:t>
      </w:r>
      <w:r w:rsidR="00264436" w:rsidRPr="00264436">
        <w:rPr>
          <w:sz w:val="24"/>
          <w:szCs w:val="24"/>
        </w:rPr>
        <w:t xml:space="preserve">a greater risk </w:t>
      </w:r>
      <w:r w:rsidR="00735DCE">
        <w:rPr>
          <w:sz w:val="24"/>
          <w:szCs w:val="24"/>
        </w:rPr>
        <w:t>of</w:t>
      </w:r>
      <w:r w:rsidR="00264436" w:rsidRPr="00264436">
        <w:rPr>
          <w:sz w:val="24"/>
          <w:szCs w:val="24"/>
        </w:rPr>
        <w:t xml:space="preserve"> attaining RCD as degeneration developed, or to have </w:t>
      </w:r>
      <w:r w:rsidR="009B0F89">
        <w:rPr>
          <w:sz w:val="24"/>
          <w:szCs w:val="24"/>
        </w:rPr>
        <w:t xml:space="preserve">had </w:t>
      </w:r>
      <w:r w:rsidR="00264436" w:rsidRPr="00264436">
        <w:rPr>
          <w:sz w:val="24"/>
          <w:szCs w:val="24"/>
        </w:rPr>
        <w:t>a higher predisposition</w:t>
      </w:r>
      <w:r w:rsidR="002B7CEF">
        <w:rPr>
          <w:sz w:val="24"/>
          <w:szCs w:val="24"/>
        </w:rPr>
        <w:t xml:space="preserve"> to the disease</w:t>
      </w:r>
      <w:r w:rsidR="00C511AE">
        <w:rPr>
          <w:sz w:val="24"/>
          <w:szCs w:val="24"/>
        </w:rPr>
        <w:t>.</w:t>
      </w:r>
      <w:r w:rsidR="00264436" w:rsidRPr="00264436">
        <w:rPr>
          <w:sz w:val="24"/>
          <w:szCs w:val="24"/>
        </w:rPr>
        <w:t xml:space="preserve"> Conversely, the rate of impingement decreased with age in males by 54%, whilst no impingement cases were observed in females, as w</w:t>
      </w:r>
      <w:r w:rsidR="00C511AE">
        <w:rPr>
          <w:sz w:val="24"/>
          <w:szCs w:val="24"/>
        </w:rPr>
        <w:t xml:space="preserve">as seen in the fractures data. </w:t>
      </w:r>
      <w:r w:rsidR="00264436" w:rsidRPr="00264436">
        <w:rPr>
          <w:sz w:val="24"/>
          <w:szCs w:val="24"/>
        </w:rPr>
        <w:t xml:space="preserve">The absence of fractures in females complements findings by Simonet </w:t>
      </w:r>
      <w:r w:rsidR="00264436" w:rsidRPr="00264436">
        <w:rPr>
          <w:i/>
          <w:sz w:val="24"/>
          <w:szCs w:val="24"/>
        </w:rPr>
        <w:t>et al</w:t>
      </w:r>
      <w:r w:rsidR="00264436" w:rsidRPr="00264436">
        <w:rPr>
          <w:sz w:val="24"/>
          <w:szCs w:val="24"/>
        </w:rPr>
        <w:t xml:space="preserve">. (1984), who reported the overall incidence of </w:t>
      </w:r>
      <w:r w:rsidR="008805AE">
        <w:rPr>
          <w:sz w:val="24"/>
          <w:szCs w:val="24"/>
        </w:rPr>
        <w:t>shoulder trauma</w:t>
      </w:r>
      <w:r w:rsidR="00264436" w:rsidRPr="00264436">
        <w:rPr>
          <w:sz w:val="24"/>
          <w:szCs w:val="24"/>
        </w:rPr>
        <w:t xml:space="preserve"> in Olmsted County, Minnesota, to be significantly greate</w:t>
      </w:r>
      <w:r w:rsidR="00C511AE">
        <w:rPr>
          <w:sz w:val="24"/>
          <w:szCs w:val="24"/>
        </w:rPr>
        <w:t>r among younger men than women.</w:t>
      </w:r>
      <w:r w:rsidR="00264436" w:rsidRPr="00264436">
        <w:rPr>
          <w:sz w:val="24"/>
          <w:szCs w:val="24"/>
        </w:rPr>
        <w:t xml:space="preserve"> Aforementioned, this has been highly variable across societies, however</w:t>
      </w:r>
      <w:r w:rsidR="00DC37C6">
        <w:rPr>
          <w:sz w:val="24"/>
          <w:szCs w:val="24"/>
        </w:rPr>
        <w:t>, and the fractures were not significant in this research</w:t>
      </w:r>
      <w:r w:rsidR="00264436" w:rsidRPr="00264436">
        <w:rPr>
          <w:sz w:val="24"/>
          <w:szCs w:val="24"/>
        </w:rPr>
        <w:t>.</w:t>
      </w:r>
      <w:r w:rsidR="00C511AE">
        <w:rPr>
          <w:sz w:val="24"/>
          <w:szCs w:val="24"/>
        </w:rPr>
        <w:t xml:space="preserve"> </w:t>
      </w:r>
      <w:r w:rsidR="00DC37C6">
        <w:rPr>
          <w:sz w:val="24"/>
          <w:szCs w:val="24"/>
        </w:rPr>
        <w:t>Despite this,</w:t>
      </w:r>
      <w:r w:rsidR="00264436" w:rsidRPr="00264436">
        <w:rPr>
          <w:sz w:val="24"/>
          <w:szCs w:val="24"/>
        </w:rPr>
        <w:t xml:space="preserve"> </w:t>
      </w:r>
      <w:r w:rsidR="00DC37C6">
        <w:rPr>
          <w:sz w:val="24"/>
          <w:szCs w:val="24"/>
        </w:rPr>
        <w:t xml:space="preserve">the </w:t>
      </w:r>
      <w:r w:rsidR="00264436" w:rsidRPr="00264436">
        <w:rPr>
          <w:sz w:val="24"/>
          <w:szCs w:val="24"/>
        </w:rPr>
        <w:t xml:space="preserve">assessment has shown the diseases </w:t>
      </w:r>
      <w:r w:rsidR="00FD28A9">
        <w:rPr>
          <w:sz w:val="24"/>
          <w:szCs w:val="24"/>
        </w:rPr>
        <w:t xml:space="preserve">analysed </w:t>
      </w:r>
      <w:r w:rsidR="00264436" w:rsidRPr="00264436">
        <w:rPr>
          <w:sz w:val="24"/>
          <w:szCs w:val="24"/>
        </w:rPr>
        <w:t>to be influenced by the combined factors of age and sex, with these factors affect</w:t>
      </w:r>
      <w:r w:rsidR="00C511AE">
        <w:rPr>
          <w:sz w:val="24"/>
          <w:szCs w:val="24"/>
        </w:rPr>
        <w:t>ing each disease differently.</w:t>
      </w:r>
    </w:p>
    <w:p w:rsidR="006A5517" w:rsidRDefault="00EC01F8" w:rsidP="003B5900">
      <w:pPr>
        <w:pStyle w:val="Heading2"/>
        <w:spacing w:line="360" w:lineRule="auto"/>
        <w:ind w:left="1080"/>
        <w:jc w:val="both"/>
        <w:rPr>
          <w:rFonts w:asciiTheme="minorHAnsi" w:hAnsiTheme="minorHAnsi"/>
          <w:b w:val="0"/>
        </w:rPr>
      </w:pPr>
      <w:bookmarkStart w:id="18" w:name="_Toc499046298"/>
      <w:r>
        <w:rPr>
          <w:rFonts w:asciiTheme="minorHAnsi" w:hAnsiTheme="minorHAnsi"/>
          <w:b w:val="0"/>
        </w:rPr>
        <w:t>Laterality</w:t>
      </w:r>
      <w:bookmarkEnd w:id="18"/>
    </w:p>
    <w:p w:rsidR="00F15E0A" w:rsidRDefault="00F15E0A" w:rsidP="00F15E0A">
      <w:pPr>
        <w:spacing w:line="360" w:lineRule="auto"/>
        <w:jc w:val="both"/>
        <w:rPr>
          <w:rFonts w:cs="Calibri"/>
          <w:spacing w:val="-1"/>
          <w:sz w:val="24"/>
          <w:szCs w:val="24"/>
        </w:rPr>
      </w:pPr>
      <w:r>
        <w:rPr>
          <w:rFonts w:cs="Calibri"/>
          <w:spacing w:val="-1"/>
          <w:sz w:val="24"/>
          <w:szCs w:val="24"/>
        </w:rPr>
        <w:t>Handedness or laterality has been studied with controversy and has been argued to positively and negatively link to increased bone length in numerous studies (Auerbach and Ruff, 2006;</w:t>
      </w:r>
      <w:r w:rsidR="00C511AE">
        <w:rPr>
          <w:rFonts w:cs="Calibri"/>
          <w:spacing w:val="-1"/>
          <w:sz w:val="24"/>
          <w:szCs w:val="24"/>
        </w:rPr>
        <w:t xml:space="preserve"> Danforth and Thompson, 2008). </w:t>
      </w:r>
      <w:r>
        <w:rPr>
          <w:rFonts w:cs="Calibri"/>
          <w:spacing w:val="-1"/>
          <w:sz w:val="24"/>
          <w:szCs w:val="24"/>
        </w:rPr>
        <w:t xml:space="preserve">The role of intrinsic factors and genetics in bilateral asymmetry is firmly supported (Plochockim, 2002), however preferential lateral use could contribute to the wear-and-tear factor within pathology due to greater stress being placed </w:t>
      </w:r>
      <w:r w:rsidR="00C511AE">
        <w:rPr>
          <w:rFonts w:cs="Calibri"/>
          <w:spacing w:val="-1"/>
          <w:sz w:val="24"/>
          <w:szCs w:val="24"/>
        </w:rPr>
        <w:t xml:space="preserve">through a limb and its joints. </w:t>
      </w:r>
      <w:r>
        <w:rPr>
          <w:rFonts w:cs="Calibri"/>
          <w:spacing w:val="-1"/>
          <w:sz w:val="24"/>
          <w:szCs w:val="24"/>
        </w:rPr>
        <w:t xml:space="preserve">This is assessed in this research through an analysis of trends within the laterality of manifested diseases, which are compared through the demographic groups.  </w:t>
      </w:r>
    </w:p>
    <w:p w:rsidR="00F15E0A" w:rsidRDefault="00DC37C6" w:rsidP="003B5900">
      <w:pPr>
        <w:spacing w:line="360" w:lineRule="auto"/>
        <w:jc w:val="both"/>
        <w:rPr>
          <w:sz w:val="24"/>
          <w:szCs w:val="24"/>
        </w:rPr>
      </w:pPr>
      <w:r>
        <w:rPr>
          <w:sz w:val="24"/>
          <w:szCs w:val="24"/>
        </w:rPr>
        <w:t>The analysi</w:t>
      </w:r>
      <w:r w:rsidR="00264436" w:rsidRPr="00264436">
        <w:rPr>
          <w:sz w:val="24"/>
          <w:szCs w:val="24"/>
        </w:rPr>
        <w:t xml:space="preserve">s of the prevalence of diseases laterally </w:t>
      </w:r>
      <w:r w:rsidR="009D6726">
        <w:rPr>
          <w:sz w:val="24"/>
          <w:szCs w:val="24"/>
        </w:rPr>
        <w:t xml:space="preserve">across the </w:t>
      </w:r>
      <w:r w:rsidR="009D6726" w:rsidRPr="00B33A1B">
        <w:rPr>
          <w:sz w:val="24"/>
          <w:szCs w:val="24"/>
        </w:rPr>
        <w:t>coffin</w:t>
      </w:r>
      <w:r w:rsidR="009D6726">
        <w:rPr>
          <w:sz w:val="24"/>
          <w:szCs w:val="24"/>
        </w:rPr>
        <w:t xml:space="preserve"> sample </w:t>
      </w:r>
      <w:r w:rsidR="00264436" w:rsidRPr="00264436">
        <w:rPr>
          <w:sz w:val="24"/>
          <w:szCs w:val="24"/>
        </w:rPr>
        <w:t xml:space="preserve">showed </w:t>
      </w:r>
      <w:r w:rsidR="005D4D21">
        <w:rPr>
          <w:sz w:val="24"/>
          <w:szCs w:val="24"/>
        </w:rPr>
        <w:t>a statistically significant difference between the prevalence of GH</w:t>
      </w:r>
      <w:r w:rsidR="00461E57">
        <w:rPr>
          <w:sz w:val="24"/>
          <w:szCs w:val="24"/>
        </w:rPr>
        <w:t>J</w:t>
      </w:r>
      <w:r w:rsidR="005D4D21">
        <w:rPr>
          <w:sz w:val="24"/>
          <w:szCs w:val="24"/>
        </w:rPr>
        <w:t xml:space="preserve"> OA</w:t>
      </w:r>
      <w:r w:rsidR="00264436" w:rsidRPr="00264436">
        <w:rPr>
          <w:sz w:val="24"/>
          <w:szCs w:val="24"/>
        </w:rPr>
        <w:t xml:space="preserve"> </w:t>
      </w:r>
      <w:r w:rsidR="00F15E0A">
        <w:rPr>
          <w:sz w:val="24"/>
          <w:szCs w:val="24"/>
        </w:rPr>
        <w:t xml:space="preserve">of the left side and ACJ OA on the right side </w:t>
      </w:r>
      <w:r w:rsidR="005D4D21">
        <w:rPr>
          <w:sz w:val="24"/>
          <w:szCs w:val="24"/>
        </w:rPr>
        <w:t>(</w:t>
      </w:r>
      <w:r w:rsidR="00F442B7">
        <w:rPr>
          <w:sz w:val="24"/>
          <w:szCs w:val="24"/>
        </w:rPr>
        <w:t>see figure 7</w:t>
      </w:r>
      <w:bookmarkStart w:id="19" w:name="_GoBack"/>
      <w:bookmarkEnd w:id="19"/>
      <w:r w:rsidR="005D4D21">
        <w:rPr>
          <w:sz w:val="24"/>
          <w:szCs w:val="24"/>
        </w:rPr>
        <w:t>)</w:t>
      </w:r>
      <w:r w:rsidR="00F15E0A">
        <w:rPr>
          <w:sz w:val="24"/>
          <w:szCs w:val="24"/>
        </w:rPr>
        <w:t>.</w:t>
      </w:r>
      <w:r w:rsidR="005D4D21">
        <w:rPr>
          <w:sz w:val="24"/>
          <w:szCs w:val="24"/>
        </w:rPr>
        <w:t xml:space="preserve"> </w:t>
      </w:r>
      <w:r w:rsidR="00CD206D">
        <w:rPr>
          <w:sz w:val="24"/>
          <w:szCs w:val="24"/>
        </w:rPr>
        <w:t xml:space="preserve">The OA data are </w:t>
      </w:r>
      <w:r w:rsidR="006B403E">
        <w:rPr>
          <w:sz w:val="24"/>
          <w:szCs w:val="24"/>
        </w:rPr>
        <w:t xml:space="preserve">complemented by </w:t>
      </w:r>
      <w:r w:rsidR="00264436" w:rsidRPr="00264436">
        <w:rPr>
          <w:sz w:val="24"/>
          <w:szCs w:val="24"/>
        </w:rPr>
        <w:t xml:space="preserve">results from </w:t>
      </w:r>
      <w:r w:rsidR="00264436" w:rsidRPr="00264436">
        <w:rPr>
          <w:sz w:val="24"/>
          <w:szCs w:val="24"/>
        </w:rPr>
        <w:lastRenderedPageBreak/>
        <w:t>Spitalfields by Waldron (1990)</w:t>
      </w:r>
      <w:r w:rsidR="006B403E">
        <w:rPr>
          <w:sz w:val="24"/>
          <w:szCs w:val="24"/>
        </w:rPr>
        <w:t>,</w:t>
      </w:r>
      <w:r w:rsidR="00264436" w:rsidRPr="00264436">
        <w:rPr>
          <w:sz w:val="24"/>
          <w:szCs w:val="24"/>
        </w:rPr>
        <w:t xml:space="preserve"> </w:t>
      </w:r>
      <w:r w:rsidR="006B403E">
        <w:rPr>
          <w:sz w:val="24"/>
          <w:szCs w:val="24"/>
        </w:rPr>
        <w:t xml:space="preserve">which found </w:t>
      </w:r>
      <w:r w:rsidR="00264436" w:rsidRPr="00264436">
        <w:rPr>
          <w:sz w:val="24"/>
          <w:szCs w:val="24"/>
        </w:rPr>
        <w:t>ACJ OA to frequently be bila</w:t>
      </w:r>
      <w:r w:rsidR="008805AE">
        <w:rPr>
          <w:sz w:val="24"/>
          <w:szCs w:val="24"/>
        </w:rPr>
        <w:t>teral, but outlined that when the disease</w:t>
      </w:r>
      <w:r>
        <w:rPr>
          <w:sz w:val="24"/>
          <w:szCs w:val="24"/>
        </w:rPr>
        <w:t xml:space="preserve"> was</w:t>
      </w:r>
      <w:r w:rsidR="00264436" w:rsidRPr="00264436">
        <w:rPr>
          <w:sz w:val="24"/>
          <w:szCs w:val="24"/>
        </w:rPr>
        <w:t xml:space="preserve"> </w:t>
      </w:r>
      <w:r>
        <w:rPr>
          <w:sz w:val="24"/>
          <w:szCs w:val="24"/>
        </w:rPr>
        <w:t>unilateral</w:t>
      </w:r>
      <w:r w:rsidR="00264436" w:rsidRPr="00264436">
        <w:rPr>
          <w:sz w:val="24"/>
          <w:szCs w:val="24"/>
        </w:rPr>
        <w:t xml:space="preserve"> it was more frequently prevalent on the right.  This lateral skew is frequently associated with physicality due to the common trend of right hand dominance</w:t>
      </w:r>
      <w:r w:rsidR="00FC79E6">
        <w:rPr>
          <w:sz w:val="24"/>
          <w:szCs w:val="24"/>
        </w:rPr>
        <w:t xml:space="preserve"> (</w:t>
      </w:r>
      <w:r w:rsidR="00FC79E6">
        <w:rPr>
          <w:rFonts w:cs="Calibri"/>
          <w:spacing w:val="-1"/>
          <w:sz w:val="24"/>
          <w:szCs w:val="24"/>
        </w:rPr>
        <w:t>Danforth and Thompson, 2008)</w:t>
      </w:r>
      <w:r w:rsidR="00264436" w:rsidRPr="00264436">
        <w:rPr>
          <w:sz w:val="24"/>
          <w:szCs w:val="24"/>
        </w:rPr>
        <w:t xml:space="preserve">, </w:t>
      </w:r>
      <w:r w:rsidR="002B7CEF">
        <w:rPr>
          <w:sz w:val="24"/>
          <w:szCs w:val="24"/>
        </w:rPr>
        <w:t xml:space="preserve">and complements the dominance of right side ACJ OA in this </w:t>
      </w:r>
      <w:r w:rsidR="00CD7C51">
        <w:rPr>
          <w:sz w:val="24"/>
          <w:szCs w:val="24"/>
        </w:rPr>
        <w:t>study</w:t>
      </w:r>
      <w:r w:rsidR="006B403E">
        <w:rPr>
          <w:sz w:val="24"/>
          <w:szCs w:val="24"/>
        </w:rPr>
        <w:t xml:space="preserve">.  </w:t>
      </w:r>
    </w:p>
    <w:p w:rsidR="00264436" w:rsidRDefault="00264436" w:rsidP="003B5900">
      <w:pPr>
        <w:spacing w:line="360" w:lineRule="auto"/>
        <w:jc w:val="both"/>
        <w:rPr>
          <w:sz w:val="24"/>
          <w:szCs w:val="24"/>
        </w:rPr>
      </w:pPr>
      <w:r w:rsidRPr="00264436">
        <w:rPr>
          <w:sz w:val="24"/>
          <w:szCs w:val="24"/>
        </w:rPr>
        <w:t xml:space="preserve">Yamamoto </w:t>
      </w:r>
      <w:r w:rsidRPr="00264436">
        <w:rPr>
          <w:i/>
          <w:sz w:val="24"/>
          <w:szCs w:val="24"/>
        </w:rPr>
        <w:t>et al</w:t>
      </w:r>
      <w:r w:rsidRPr="00264436">
        <w:rPr>
          <w:sz w:val="24"/>
          <w:szCs w:val="24"/>
        </w:rPr>
        <w:t xml:space="preserve">. (2010) similarly discussed </w:t>
      </w:r>
      <w:r w:rsidR="006B403E">
        <w:rPr>
          <w:sz w:val="24"/>
          <w:szCs w:val="24"/>
        </w:rPr>
        <w:t>disease</w:t>
      </w:r>
      <w:r w:rsidRPr="00264436">
        <w:rPr>
          <w:sz w:val="24"/>
          <w:szCs w:val="24"/>
        </w:rPr>
        <w:t xml:space="preserve"> laterality in relation to </w:t>
      </w:r>
      <w:r w:rsidR="006B403E">
        <w:rPr>
          <w:sz w:val="24"/>
          <w:szCs w:val="24"/>
        </w:rPr>
        <w:t xml:space="preserve">physicality and occupation, assessing </w:t>
      </w:r>
      <w:r w:rsidRPr="00264436">
        <w:rPr>
          <w:sz w:val="24"/>
          <w:szCs w:val="24"/>
        </w:rPr>
        <w:t>rotator cuff tears</w:t>
      </w:r>
      <w:r w:rsidR="006B403E">
        <w:rPr>
          <w:sz w:val="24"/>
          <w:szCs w:val="24"/>
        </w:rPr>
        <w:t xml:space="preserve"> in Japan, and found</w:t>
      </w:r>
      <w:r w:rsidRPr="00264436">
        <w:rPr>
          <w:sz w:val="24"/>
          <w:szCs w:val="24"/>
        </w:rPr>
        <w:t xml:space="preserve"> lateral arm dominance to be a significant</w:t>
      </w:r>
      <w:r w:rsidR="00010CFE">
        <w:rPr>
          <w:sz w:val="24"/>
          <w:szCs w:val="24"/>
        </w:rPr>
        <w:t xml:space="preserve"> factor in the presence of RCD (</w:t>
      </w:r>
      <w:r w:rsidR="00010CFE">
        <w:rPr>
          <w:i/>
          <w:sz w:val="24"/>
          <w:szCs w:val="24"/>
        </w:rPr>
        <w:t>p</w:t>
      </w:r>
      <w:r w:rsidRPr="00264436">
        <w:rPr>
          <w:sz w:val="24"/>
          <w:szCs w:val="24"/>
        </w:rPr>
        <w:t xml:space="preserve">=0.001). This significant result was related to the heaviness of labour, divided into </w:t>
      </w:r>
      <w:r w:rsidR="006B403E">
        <w:rPr>
          <w:sz w:val="24"/>
          <w:szCs w:val="24"/>
        </w:rPr>
        <w:t xml:space="preserve">light, intermediate and heavy, which was </w:t>
      </w:r>
      <w:r w:rsidRPr="00264436">
        <w:rPr>
          <w:sz w:val="24"/>
          <w:szCs w:val="24"/>
        </w:rPr>
        <w:t>found to significan</w:t>
      </w:r>
      <w:r w:rsidR="00010CFE">
        <w:rPr>
          <w:sz w:val="24"/>
          <w:szCs w:val="24"/>
        </w:rPr>
        <w:t>tly affect rotator cuff tears (</w:t>
      </w:r>
      <w:r w:rsidR="00010CFE">
        <w:rPr>
          <w:i/>
          <w:sz w:val="24"/>
          <w:szCs w:val="24"/>
        </w:rPr>
        <w:t>p</w:t>
      </w:r>
      <w:r w:rsidR="00136CDC">
        <w:rPr>
          <w:sz w:val="24"/>
          <w:szCs w:val="24"/>
        </w:rPr>
        <w:t xml:space="preserve">&lt;0.001). </w:t>
      </w:r>
      <w:r w:rsidR="00CD206D">
        <w:rPr>
          <w:sz w:val="24"/>
          <w:szCs w:val="24"/>
        </w:rPr>
        <w:t xml:space="preserve">Furthermore, </w:t>
      </w:r>
      <w:r w:rsidR="00136CDC">
        <w:rPr>
          <w:sz w:val="24"/>
          <w:szCs w:val="24"/>
        </w:rPr>
        <w:t>OR</w:t>
      </w:r>
      <w:r w:rsidRPr="00264436">
        <w:rPr>
          <w:sz w:val="24"/>
          <w:szCs w:val="24"/>
        </w:rPr>
        <w:t xml:space="preserve">s calculated by Yamamoto </w:t>
      </w:r>
      <w:r w:rsidRPr="00264436">
        <w:rPr>
          <w:i/>
          <w:sz w:val="24"/>
          <w:szCs w:val="24"/>
        </w:rPr>
        <w:t>et al</w:t>
      </w:r>
      <w:r w:rsidRPr="00264436">
        <w:rPr>
          <w:sz w:val="24"/>
          <w:szCs w:val="24"/>
        </w:rPr>
        <w:t>. (2010) found dominant arm</w:t>
      </w:r>
      <w:r w:rsidR="00FC79E6">
        <w:rPr>
          <w:sz w:val="24"/>
          <w:szCs w:val="24"/>
        </w:rPr>
        <w:t>s</w:t>
      </w:r>
      <w:r w:rsidRPr="00264436">
        <w:rPr>
          <w:sz w:val="24"/>
          <w:szCs w:val="24"/>
        </w:rPr>
        <w:t xml:space="preserve"> to have greater risk of disease by 1.08 (95% CI 1.07-1.10).</w:t>
      </w:r>
      <w:r>
        <w:t xml:space="preserve"> </w:t>
      </w:r>
      <w:r w:rsidR="006B403E">
        <w:rPr>
          <w:sz w:val="24"/>
          <w:szCs w:val="24"/>
        </w:rPr>
        <w:t>Although</w:t>
      </w:r>
      <w:r w:rsidRPr="00264436">
        <w:rPr>
          <w:sz w:val="24"/>
          <w:szCs w:val="24"/>
        </w:rPr>
        <w:t xml:space="preserve"> </w:t>
      </w:r>
      <w:r w:rsidR="00CD464D">
        <w:rPr>
          <w:sz w:val="24"/>
          <w:szCs w:val="24"/>
        </w:rPr>
        <w:t xml:space="preserve">RCD </w:t>
      </w:r>
      <w:r w:rsidRPr="00264436">
        <w:rPr>
          <w:sz w:val="24"/>
          <w:szCs w:val="24"/>
        </w:rPr>
        <w:t xml:space="preserve">was not significant </w:t>
      </w:r>
      <w:r w:rsidR="006B403E">
        <w:rPr>
          <w:sz w:val="24"/>
          <w:szCs w:val="24"/>
        </w:rPr>
        <w:t xml:space="preserve">laterally </w:t>
      </w:r>
      <w:r w:rsidRPr="00264436">
        <w:rPr>
          <w:sz w:val="24"/>
          <w:szCs w:val="24"/>
        </w:rPr>
        <w:t xml:space="preserve">across the remains assessed in this </w:t>
      </w:r>
      <w:r w:rsidR="00CD7C51">
        <w:rPr>
          <w:sz w:val="24"/>
          <w:szCs w:val="24"/>
        </w:rPr>
        <w:t>study</w:t>
      </w:r>
      <w:r w:rsidRPr="00264436">
        <w:rPr>
          <w:sz w:val="24"/>
          <w:szCs w:val="24"/>
        </w:rPr>
        <w:t xml:space="preserve">, </w:t>
      </w:r>
      <w:r w:rsidR="006B403E">
        <w:rPr>
          <w:sz w:val="24"/>
          <w:szCs w:val="24"/>
        </w:rPr>
        <w:t xml:space="preserve">it had a greater prevalence on the right side by 13%, which may be relatable to this.  </w:t>
      </w:r>
      <w:r w:rsidR="00874A39">
        <w:rPr>
          <w:sz w:val="24"/>
          <w:szCs w:val="24"/>
        </w:rPr>
        <w:t xml:space="preserve"> </w:t>
      </w:r>
    </w:p>
    <w:p w:rsidR="00C970A4" w:rsidRDefault="00C970A4" w:rsidP="003B5900">
      <w:pPr>
        <w:spacing w:line="360" w:lineRule="auto"/>
        <w:jc w:val="both"/>
        <w:rPr>
          <w:sz w:val="24"/>
          <w:szCs w:val="24"/>
        </w:rPr>
      </w:pPr>
      <w:r w:rsidRPr="00264436">
        <w:rPr>
          <w:sz w:val="24"/>
          <w:szCs w:val="24"/>
        </w:rPr>
        <w:t>When separated by age and sex, laterality carried a greater influence in the occurren</w:t>
      </w:r>
      <w:r>
        <w:rPr>
          <w:sz w:val="24"/>
          <w:szCs w:val="24"/>
        </w:rPr>
        <w:t>ce of disease</w:t>
      </w:r>
      <w:r w:rsidR="00C511AE">
        <w:rPr>
          <w:sz w:val="24"/>
          <w:szCs w:val="24"/>
        </w:rPr>
        <w:t>.</w:t>
      </w:r>
      <w:r w:rsidRPr="00264436">
        <w:rPr>
          <w:sz w:val="24"/>
          <w:szCs w:val="24"/>
        </w:rPr>
        <w:t xml:space="preserve"> </w:t>
      </w:r>
      <w:r>
        <w:rPr>
          <w:sz w:val="24"/>
          <w:szCs w:val="24"/>
        </w:rPr>
        <w:t xml:space="preserve">Lateral prevalence was greater in males aged 20-39 than those aged 40+, with </w:t>
      </w:r>
      <w:r w:rsidRPr="00264436">
        <w:rPr>
          <w:sz w:val="24"/>
          <w:szCs w:val="24"/>
        </w:rPr>
        <w:t>GH</w:t>
      </w:r>
      <w:r>
        <w:rPr>
          <w:sz w:val="24"/>
          <w:szCs w:val="24"/>
        </w:rPr>
        <w:t xml:space="preserve">J OA </w:t>
      </w:r>
      <w:r w:rsidRPr="00264436">
        <w:rPr>
          <w:sz w:val="24"/>
          <w:szCs w:val="24"/>
        </w:rPr>
        <w:t>more pre</w:t>
      </w:r>
      <w:r>
        <w:rPr>
          <w:sz w:val="24"/>
          <w:szCs w:val="24"/>
        </w:rPr>
        <w:t>valent on the left side</w:t>
      </w:r>
      <w:r w:rsidRPr="00264436">
        <w:rPr>
          <w:sz w:val="24"/>
          <w:szCs w:val="24"/>
        </w:rPr>
        <w:t xml:space="preserve"> by 23%, as well as impingement, occurring 54%</w:t>
      </w:r>
      <w:r>
        <w:rPr>
          <w:sz w:val="24"/>
          <w:szCs w:val="24"/>
        </w:rPr>
        <w:t xml:space="preserve"> more on </w:t>
      </w:r>
      <w:r w:rsidR="00C511AE">
        <w:rPr>
          <w:sz w:val="24"/>
          <w:szCs w:val="24"/>
        </w:rPr>
        <w:t>the left.</w:t>
      </w:r>
      <w:r>
        <w:rPr>
          <w:sz w:val="24"/>
          <w:szCs w:val="24"/>
        </w:rPr>
        <w:t xml:space="preserve"> </w:t>
      </w:r>
      <w:r w:rsidRPr="00264436">
        <w:rPr>
          <w:sz w:val="24"/>
          <w:szCs w:val="24"/>
        </w:rPr>
        <w:t>ACJ OA was higher on the right side by 31%</w:t>
      </w:r>
      <w:r>
        <w:rPr>
          <w:sz w:val="24"/>
          <w:szCs w:val="24"/>
        </w:rPr>
        <w:t xml:space="preserve">, alongside RCD, which was </w:t>
      </w:r>
      <w:r w:rsidRPr="00264436">
        <w:rPr>
          <w:sz w:val="24"/>
          <w:szCs w:val="24"/>
        </w:rPr>
        <w:t>higher on the right</w:t>
      </w:r>
      <w:r>
        <w:rPr>
          <w:sz w:val="24"/>
          <w:szCs w:val="24"/>
        </w:rPr>
        <w:t xml:space="preserve"> b</w:t>
      </w:r>
      <w:r w:rsidRPr="00264436">
        <w:rPr>
          <w:sz w:val="24"/>
          <w:szCs w:val="24"/>
        </w:rPr>
        <w:t>y 31%</w:t>
      </w:r>
      <w:r>
        <w:rPr>
          <w:sz w:val="24"/>
          <w:szCs w:val="24"/>
        </w:rPr>
        <w:t>, whilst f</w:t>
      </w:r>
      <w:r w:rsidR="00D2474C">
        <w:rPr>
          <w:sz w:val="24"/>
          <w:szCs w:val="24"/>
        </w:rPr>
        <w:t>ractures were only seen on the left</w:t>
      </w:r>
      <w:r w:rsidR="00C511AE">
        <w:rPr>
          <w:sz w:val="24"/>
          <w:szCs w:val="24"/>
        </w:rPr>
        <w:t>.</w:t>
      </w:r>
      <w:r>
        <w:rPr>
          <w:sz w:val="24"/>
          <w:szCs w:val="24"/>
        </w:rPr>
        <w:t xml:space="preserve"> In </w:t>
      </w:r>
      <w:r w:rsidRPr="007D22A5">
        <w:rPr>
          <w:sz w:val="24"/>
          <w:szCs w:val="24"/>
        </w:rPr>
        <w:t xml:space="preserve">the females, differences were great only in ACJ OA, with a </w:t>
      </w:r>
      <w:r w:rsidR="00FC79E6" w:rsidRPr="007D22A5">
        <w:rPr>
          <w:sz w:val="24"/>
          <w:szCs w:val="24"/>
        </w:rPr>
        <w:t xml:space="preserve">61% greater </w:t>
      </w:r>
      <w:r w:rsidRPr="007D22A5">
        <w:rPr>
          <w:sz w:val="24"/>
          <w:szCs w:val="24"/>
        </w:rPr>
        <w:t xml:space="preserve">prevalence </w:t>
      </w:r>
      <w:r>
        <w:rPr>
          <w:sz w:val="24"/>
          <w:szCs w:val="24"/>
        </w:rPr>
        <w:t>on the right</w:t>
      </w:r>
      <w:r w:rsidRPr="007D22A5">
        <w:rPr>
          <w:sz w:val="24"/>
          <w:szCs w:val="24"/>
        </w:rPr>
        <w:t>, whilst GHJ OA was 14</w:t>
      </w:r>
      <w:r w:rsidRPr="00264436">
        <w:rPr>
          <w:sz w:val="24"/>
          <w:szCs w:val="24"/>
        </w:rPr>
        <w:t>%</w:t>
      </w:r>
      <w:r>
        <w:rPr>
          <w:sz w:val="24"/>
          <w:szCs w:val="24"/>
        </w:rPr>
        <w:t xml:space="preserve"> more prevalent on the left and RCD </w:t>
      </w:r>
      <w:r w:rsidR="00D2474C">
        <w:rPr>
          <w:sz w:val="24"/>
          <w:szCs w:val="24"/>
        </w:rPr>
        <w:t xml:space="preserve">had a prevalence of </w:t>
      </w:r>
      <w:r w:rsidRPr="00264436">
        <w:rPr>
          <w:sz w:val="24"/>
          <w:szCs w:val="24"/>
        </w:rPr>
        <w:t>6% on the left side, but</w:t>
      </w:r>
      <w:r w:rsidR="00D2474C">
        <w:rPr>
          <w:sz w:val="24"/>
          <w:szCs w:val="24"/>
        </w:rPr>
        <w:t xml:space="preserve"> </w:t>
      </w:r>
      <w:r w:rsidR="00CD206D">
        <w:rPr>
          <w:sz w:val="24"/>
          <w:szCs w:val="24"/>
        </w:rPr>
        <w:t>didn’t occur</w:t>
      </w:r>
      <w:r w:rsidRPr="00264436">
        <w:rPr>
          <w:sz w:val="24"/>
          <w:szCs w:val="24"/>
        </w:rPr>
        <w:t xml:space="preserve"> on the right</w:t>
      </w:r>
      <w:r w:rsidR="00C511AE">
        <w:rPr>
          <w:sz w:val="24"/>
          <w:szCs w:val="24"/>
        </w:rPr>
        <w:t xml:space="preserve">. </w:t>
      </w:r>
      <w:r>
        <w:rPr>
          <w:sz w:val="24"/>
          <w:szCs w:val="24"/>
        </w:rPr>
        <w:t xml:space="preserve">Most notable in this age group is the lack of dominance of either the left or the right, with the diseases altering in prevalence </w:t>
      </w:r>
      <w:r w:rsidR="00C511AE">
        <w:rPr>
          <w:sz w:val="24"/>
          <w:szCs w:val="24"/>
        </w:rPr>
        <w:t xml:space="preserve">between sides without a trend. </w:t>
      </w:r>
      <w:r>
        <w:rPr>
          <w:sz w:val="24"/>
          <w:szCs w:val="24"/>
        </w:rPr>
        <w:t xml:space="preserve">Equally </w:t>
      </w:r>
      <w:r w:rsidR="008805AE">
        <w:rPr>
          <w:sz w:val="24"/>
          <w:szCs w:val="24"/>
        </w:rPr>
        <w:t>considerable</w:t>
      </w:r>
      <w:r>
        <w:rPr>
          <w:sz w:val="24"/>
          <w:szCs w:val="24"/>
        </w:rPr>
        <w:t xml:space="preserve"> </w:t>
      </w:r>
      <w:r w:rsidR="008805AE">
        <w:rPr>
          <w:sz w:val="24"/>
          <w:szCs w:val="24"/>
        </w:rPr>
        <w:t>are</w:t>
      </w:r>
      <w:r>
        <w:rPr>
          <w:sz w:val="24"/>
          <w:szCs w:val="24"/>
        </w:rPr>
        <w:t xml:space="preserve"> t</w:t>
      </w:r>
      <w:r w:rsidRPr="00264436">
        <w:rPr>
          <w:sz w:val="24"/>
          <w:szCs w:val="24"/>
        </w:rPr>
        <w:t xml:space="preserve">he </w:t>
      </w:r>
      <w:r w:rsidR="00D2474C">
        <w:rPr>
          <w:sz w:val="24"/>
          <w:szCs w:val="24"/>
        </w:rPr>
        <w:t>large lat</w:t>
      </w:r>
      <w:r w:rsidR="008805AE">
        <w:rPr>
          <w:sz w:val="24"/>
          <w:szCs w:val="24"/>
        </w:rPr>
        <w:t>eral differences across the male results</w:t>
      </w:r>
      <w:r w:rsidR="00D2474C">
        <w:rPr>
          <w:sz w:val="24"/>
          <w:szCs w:val="24"/>
        </w:rPr>
        <w:t xml:space="preserve">, </w:t>
      </w:r>
      <w:r>
        <w:rPr>
          <w:sz w:val="24"/>
          <w:szCs w:val="24"/>
        </w:rPr>
        <w:t>and</w:t>
      </w:r>
      <w:r w:rsidR="00D2474C">
        <w:rPr>
          <w:sz w:val="24"/>
          <w:szCs w:val="24"/>
        </w:rPr>
        <w:t xml:space="preserve"> in</w:t>
      </w:r>
      <w:r>
        <w:rPr>
          <w:sz w:val="24"/>
          <w:szCs w:val="24"/>
        </w:rPr>
        <w:t xml:space="preserve"> the female ACJ OA result. </w:t>
      </w:r>
    </w:p>
    <w:p w:rsidR="00C970A4" w:rsidRPr="00264436" w:rsidRDefault="00C970A4" w:rsidP="003B5900">
      <w:pPr>
        <w:spacing w:line="360" w:lineRule="auto"/>
        <w:jc w:val="both"/>
        <w:rPr>
          <w:sz w:val="24"/>
          <w:szCs w:val="24"/>
        </w:rPr>
      </w:pPr>
      <w:r w:rsidRPr="00264436">
        <w:rPr>
          <w:sz w:val="24"/>
          <w:szCs w:val="24"/>
        </w:rPr>
        <w:t xml:space="preserve">In the 40+ age group lateral differentiation was </w:t>
      </w:r>
      <w:r w:rsidR="00D2474C">
        <w:rPr>
          <w:sz w:val="24"/>
          <w:szCs w:val="24"/>
        </w:rPr>
        <w:t xml:space="preserve">conversely </w:t>
      </w:r>
      <w:r w:rsidRPr="00264436">
        <w:rPr>
          <w:sz w:val="24"/>
          <w:szCs w:val="24"/>
        </w:rPr>
        <w:t>less prevalent in males</w:t>
      </w:r>
      <w:r>
        <w:rPr>
          <w:sz w:val="24"/>
          <w:szCs w:val="24"/>
        </w:rPr>
        <w:t xml:space="preserve"> and greater in females</w:t>
      </w:r>
      <w:r w:rsidRPr="00264436">
        <w:rPr>
          <w:sz w:val="24"/>
          <w:szCs w:val="24"/>
        </w:rPr>
        <w:t>.  The large lateral difference in GH</w:t>
      </w:r>
      <w:r>
        <w:rPr>
          <w:sz w:val="24"/>
          <w:szCs w:val="24"/>
        </w:rPr>
        <w:t>J</w:t>
      </w:r>
      <w:r w:rsidRPr="00264436">
        <w:rPr>
          <w:sz w:val="24"/>
          <w:szCs w:val="24"/>
        </w:rPr>
        <w:t xml:space="preserve"> OA in males aged 20-39 was not seen in the 40+ age group, with the left side 3% </w:t>
      </w:r>
      <w:r w:rsidR="00C511AE">
        <w:rPr>
          <w:sz w:val="24"/>
          <w:szCs w:val="24"/>
        </w:rPr>
        <w:t xml:space="preserve">more prevalent than the right. </w:t>
      </w:r>
      <w:r w:rsidRPr="00264436">
        <w:rPr>
          <w:sz w:val="24"/>
          <w:szCs w:val="24"/>
        </w:rPr>
        <w:t xml:space="preserve">This is </w:t>
      </w:r>
      <w:r w:rsidR="00D2474C">
        <w:rPr>
          <w:sz w:val="24"/>
          <w:szCs w:val="24"/>
        </w:rPr>
        <w:t xml:space="preserve">alike to </w:t>
      </w:r>
      <w:r w:rsidRPr="00264436">
        <w:rPr>
          <w:sz w:val="24"/>
          <w:szCs w:val="24"/>
        </w:rPr>
        <w:t xml:space="preserve">ACJ OA, with the right 6% more prevalent, and </w:t>
      </w:r>
      <w:r w:rsidR="00D2474C">
        <w:rPr>
          <w:sz w:val="24"/>
          <w:szCs w:val="24"/>
        </w:rPr>
        <w:t>RCD</w:t>
      </w:r>
      <w:r w:rsidR="002E4926">
        <w:rPr>
          <w:sz w:val="24"/>
          <w:szCs w:val="24"/>
        </w:rPr>
        <w:t>, with the right 7% greater.</w:t>
      </w:r>
      <w:r w:rsidRPr="00264436">
        <w:rPr>
          <w:sz w:val="24"/>
          <w:szCs w:val="24"/>
        </w:rPr>
        <w:t xml:space="preserve"> </w:t>
      </w:r>
      <w:r w:rsidR="00D2474C" w:rsidRPr="00264436">
        <w:rPr>
          <w:sz w:val="24"/>
          <w:szCs w:val="24"/>
        </w:rPr>
        <w:t xml:space="preserve">Impingement was again </w:t>
      </w:r>
      <w:r w:rsidR="00FC79E6">
        <w:rPr>
          <w:sz w:val="24"/>
          <w:szCs w:val="24"/>
        </w:rPr>
        <w:t>present</w:t>
      </w:r>
      <w:r w:rsidR="00D2474C" w:rsidRPr="00264436">
        <w:rPr>
          <w:sz w:val="24"/>
          <w:szCs w:val="24"/>
        </w:rPr>
        <w:t xml:space="preserve"> on the male right sid</w:t>
      </w:r>
      <w:r w:rsidR="00D2474C">
        <w:rPr>
          <w:sz w:val="24"/>
          <w:szCs w:val="24"/>
        </w:rPr>
        <w:t xml:space="preserve">e, but not on the left. </w:t>
      </w:r>
      <w:r w:rsidR="00D2474C" w:rsidRPr="00264436">
        <w:rPr>
          <w:sz w:val="24"/>
          <w:szCs w:val="24"/>
        </w:rPr>
        <w:t xml:space="preserve"> </w:t>
      </w:r>
      <w:r w:rsidRPr="00264436">
        <w:rPr>
          <w:sz w:val="24"/>
          <w:szCs w:val="24"/>
        </w:rPr>
        <w:t xml:space="preserve">Conversely, in </w:t>
      </w:r>
      <w:r w:rsidR="00D2474C">
        <w:rPr>
          <w:sz w:val="24"/>
          <w:szCs w:val="24"/>
        </w:rPr>
        <w:lastRenderedPageBreak/>
        <w:t xml:space="preserve">the </w:t>
      </w:r>
      <w:r w:rsidRPr="00264436">
        <w:rPr>
          <w:sz w:val="24"/>
          <w:szCs w:val="24"/>
        </w:rPr>
        <w:t>females the rate of GH</w:t>
      </w:r>
      <w:r>
        <w:rPr>
          <w:sz w:val="24"/>
          <w:szCs w:val="24"/>
        </w:rPr>
        <w:t>J</w:t>
      </w:r>
      <w:r w:rsidRPr="00264436">
        <w:rPr>
          <w:sz w:val="24"/>
          <w:szCs w:val="24"/>
        </w:rPr>
        <w:t xml:space="preserve"> OA was higher on the right by 33%, whilst the rate of ACJ OA increased by 27% on the left.  </w:t>
      </w:r>
      <w:r w:rsidR="00D2474C">
        <w:rPr>
          <w:sz w:val="24"/>
          <w:szCs w:val="24"/>
        </w:rPr>
        <w:t>Moreover, t</w:t>
      </w:r>
      <w:r w:rsidRPr="00264436">
        <w:rPr>
          <w:sz w:val="24"/>
          <w:szCs w:val="24"/>
        </w:rPr>
        <w:t>he rate of RCD was 50% great</w:t>
      </w:r>
      <w:r w:rsidR="00D2474C">
        <w:rPr>
          <w:sz w:val="24"/>
          <w:szCs w:val="24"/>
        </w:rPr>
        <w:t>er on the r</w:t>
      </w:r>
      <w:r w:rsidR="002E4926">
        <w:rPr>
          <w:sz w:val="24"/>
          <w:szCs w:val="24"/>
        </w:rPr>
        <w:t>ight than the left.</w:t>
      </w:r>
      <w:r w:rsidRPr="00264436">
        <w:rPr>
          <w:sz w:val="24"/>
          <w:szCs w:val="24"/>
        </w:rPr>
        <w:t xml:space="preserve"> These results show greater lateral differentiation in the female 40+ group than the male group, suggesting age and sex to have </w:t>
      </w:r>
      <w:r w:rsidR="00D2474C">
        <w:rPr>
          <w:sz w:val="24"/>
          <w:szCs w:val="24"/>
        </w:rPr>
        <w:t xml:space="preserve">had </w:t>
      </w:r>
      <w:r w:rsidRPr="00264436">
        <w:rPr>
          <w:sz w:val="24"/>
          <w:szCs w:val="24"/>
        </w:rPr>
        <w:t>a</w:t>
      </w:r>
      <w:r w:rsidR="002E4926">
        <w:rPr>
          <w:sz w:val="24"/>
          <w:szCs w:val="24"/>
        </w:rPr>
        <w:t>n impact on disease laterality.</w:t>
      </w:r>
      <w:r w:rsidRPr="00264436">
        <w:rPr>
          <w:sz w:val="24"/>
          <w:szCs w:val="24"/>
        </w:rPr>
        <w:t xml:space="preserve"> </w:t>
      </w:r>
      <w:r>
        <w:rPr>
          <w:sz w:val="24"/>
          <w:szCs w:val="24"/>
        </w:rPr>
        <w:t xml:space="preserve">Indeed, </w:t>
      </w:r>
      <w:r w:rsidR="00D2474C">
        <w:rPr>
          <w:sz w:val="24"/>
          <w:szCs w:val="24"/>
        </w:rPr>
        <w:t xml:space="preserve">in their assessment </w:t>
      </w:r>
      <w:r w:rsidRPr="00264436">
        <w:rPr>
          <w:sz w:val="24"/>
          <w:szCs w:val="24"/>
        </w:rPr>
        <w:t xml:space="preserve">Yamamoto </w:t>
      </w:r>
      <w:r w:rsidRPr="00264436">
        <w:rPr>
          <w:i/>
          <w:sz w:val="24"/>
          <w:szCs w:val="24"/>
        </w:rPr>
        <w:t>et al</w:t>
      </w:r>
      <w:r w:rsidRPr="00264436">
        <w:rPr>
          <w:sz w:val="24"/>
          <w:szCs w:val="24"/>
        </w:rPr>
        <w:t xml:space="preserve">. (2010) found rotator cuff tears </w:t>
      </w:r>
      <w:r>
        <w:rPr>
          <w:sz w:val="24"/>
          <w:szCs w:val="24"/>
        </w:rPr>
        <w:t>to be more</w:t>
      </w:r>
      <w:r w:rsidRPr="00264436">
        <w:rPr>
          <w:sz w:val="24"/>
          <w:szCs w:val="24"/>
        </w:rPr>
        <w:t xml:space="preserve"> strongly associated with the dominant arm</w:t>
      </w:r>
      <w:r>
        <w:rPr>
          <w:sz w:val="24"/>
          <w:szCs w:val="24"/>
        </w:rPr>
        <w:t xml:space="preserve"> in individuals &lt;49 (</w:t>
      </w:r>
      <w:r w:rsidRPr="00264436">
        <w:rPr>
          <w:sz w:val="24"/>
          <w:szCs w:val="24"/>
        </w:rPr>
        <w:t>84.2%</w:t>
      </w:r>
      <w:r>
        <w:rPr>
          <w:sz w:val="24"/>
          <w:szCs w:val="24"/>
        </w:rPr>
        <w:t xml:space="preserve">), whilst </w:t>
      </w:r>
      <w:r w:rsidRPr="00264436">
        <w:rPr>
          <w:sz w:val="24"/>
          <w:szCs w:val="24"/>
        </w:rPr>
        <w:t>individuals aged over 50</w:t>
      </w:r>
      <w:r>
        <w:rPr>
          <w:sz w:val="24"/>
          <w:szCs w:val="24"/>
        </w:rPr>
        <w:t xml:space="preserve"> had a smaller correlation (</w:t>
      </w:r>
      <w:r w:rsidRPr="00264436">
        <w:rPr>
          <w:sz w:val="24"/>
          <w:szCs w:val="24"/>
        </w:rPr>
        <w:t>61.4%</w:t>
      </w:r>
      <w:r>
        <w:rPr>
          <w:sz w:val="24"/>
          <w:szCs w:val="24"/>
        </w:rPr>
        <w:t>)</w:t>
      </w:r>
      <w:r w:rsidR="002E4926">
        <w:rPr>
          <w:sz w:val="24"/>
          <w:szCs w:val="24"/>
        </w:rPr>
        <w:t xml:space="preserve">. </w:t>
      </w:r>
      <w:r w:rsidRPr="00264436">
        <w:rPr>
          <w:sz w:val="24"/>
          <w:szCs w:val="24"/>
        </w:rPr>
        <w:t xml:space="preserve">This assessment could not be determined in this </w:t>
      </w:r>
      <w:r w:rsidR="00CD7C51">
        <w:rPr>
          <w:sz w:val="24"/>
          <w:szCs w:val="24"/>
        </w:rPr>
        <w:t>study</w:t>
      </w:r>
      <w:r w:rsidRPr="00264436">
        <w:rPr>
          <w:sz w:val="24"/>
          <w:szCs w:val="24"/>
        </w:rPr>
        <w:t xml:space="preserve"> as arm dominance was unknown, however the lateral trend of RCD could be associated with this, explaining the dominance of RCD on the right in younger individuals and its more equal prevalence in the 40+ group</w:t>
      </w:r>
      <w:r>
        <w:rPr>
          <w:sz w:val="24"/>
          <w:szCs w:val="24"/>
        </w:rPr>
        <w:t xml:space="preserve"> as more widespread age-related degeneration occurred</w:t>
      </w:r>
      <w:r w:rsidRPr="00264436">
        <w:rPr>
          <w:sz w:val="24"/>
          <w:szCs w:val="24"/>
        </w:rPr>
        <w:t>.  Conversely, impingement occurred on both the left and right</w:t>
      </w:r>
      <w:r w:rsidR="00FC79E6" w:rsidRPr="00FC79E6">
        <w:rPr>
          <w:sz w:val="24"/>
          <w:szCs w:val="24"/>
        </w:rPr>
        <w:t xml:space="preserve"> </w:t>
      </w:r>
      <w:r w:rsidR="00FC79E6" w:rsidRPr="00264436">
        <w:rPr>
          <w:sz w:val="24"/>
          <w:szCs w:val="24"/>
        </w:rPr>
        <w:t xml:space="preserve">in the 20-39 </w:t>
      </w:r>
      <w:r w:rsidR="00FC79E6">
        <w:rPr>
          <w:sz w:val="24"/>
          <w:szCs w:val="24"/>
        </w:rPr>
        <w:t xml:space="preserve">age </w:t>
      </w:r>
      <w:r w:rsidR="00FC79E6" w:rsidRPr="00264436">
        <w:rPr>
          <w:sz w:val="24"/>
          <w:szCs w:val="24"/>
        </w:rPr>
        <w:t>group</w:t>
      </w:r>
      <w:r w:rsidRPr="00264436">
        <w:rPr>
          <w:sz w:val="24"/>
          <w:szCs w:val="24"/>
        </w:rPr>
        <w:t xml:space="preserve">, with a greater prevalence on the left, but occurred only on the right in the older group, which contradicts the research by Yamamoto </w:t>
      </w:r>
      <w:r w:rsidRPr="00264436">
        <w:rPr>
          <w:i/>
          <w:sz w:val="24"/>
          <w:szCs w:val="24"/>
        </w:rPr>
        <w:t>et al</w:t>
      </w:r>
      <w:r w:rsidRPr="00264436">
        <w:rPr>
          <w:sz w:val="24"/>
          <w:szCs w:val="24"/>
        </w:rPr>
        <w:t xml:space="preserve">. (2010). </w:t>
      </w:r>
    </w:p>
    <w:p w:rsidR="00C970A4" w:rsidRDefault="00C970A4" w:rsidP="003B5900">
      <w:pPr>
        <w:spacing w:line="360" w:lineRule="auto"/>
        <w:jc w:val="both"/>
        <w:rPr>
          <w:sz w:val="24"/>
          <w:szCs w:val="24"/>
        </w:rPr>
      </w:pPr>
      <w:r w:rsidRPr="00264436">
        <w:rPr>
          <w:sz w:val="24"/>
          <w:szCs w:val="24"/>
        </w:rPr>
        <w:t>Comparing laterality between the sexes</w:t>
      </w:r>
      <w:r w:rsidR="00FF0948">
        <w:rPr>
          <w:sz w:val="24"/>
          <w:szCs w:val="24"/>
        </w:rPr>
        <w:t>, a</w:t>
      </w:r>
      <w:r w:rsidRPr="00264436">
        <w:rPr>
          <w:sz w:val="24"/>
          <w:szCs w:val="24"/>
        </w:rPr>
        <w:t xml:space="preserve">ll the </w:t>
      </w:r>
      <w:r>
        <w:rPr>
          <w:sz w:val="24"/>
          <w:szCs w:val="24"/>
        </w:rPr>
        <w:t xml:space="preserve">disease counts </w:t>
      </w:r>
      <w:r w:rsidRPr="00264436">
        <w:rPr>
          <w:sz w:val="24"/>
          <w:szCs w:val="24"/>
        </w:rPr>
        <w:t>showed a skew towards a higher than expected rate of disease in males</w:t>
      </w:r>
      <w:r w:rsidR="00FF0948">
        <w:rPr>
          <w:sz w:val="24"/>
          <w:szCs w:val="24"/>
        </w:rPr>
        <w:t xml:space="preserve"> in the Chi-Squared results</w:t>
      </w:r>
      <w:r w:rsidRPr="00264436">
        <w:rPr>
          <w:sz w:val="24"/>
          <w:szCs w:val="24"/>
        </w:rPr>
        <w:t xml:space="preserve">, </w:t>
      </w:r>
      <w:r w:rsidR="00D2474C">
        <w:rPr>
          <w:sz w:val="24"/>
          <w:szCs w:val="24"/>
        </w:rPr>
        <w:t>confirming the results demonstrated in the sex analysis.  Despite this</w:t>
      </w:r>
      <w:r w:rsidR="00CD206D">
        <w:rPr>
          <w:sz w:val="24"/>
          <w:szCs w:val="24"/>
        </w:rPr>
        <w:t>,</w:t>
      </w:r>
      <w:r w:rsidR="00D2474C">
        <w:rPr>
          <w:sz w:val="24"/>
          <w:szCs w:val="24"/>
        </w:rPr>
        <w:t xml:space="preserve"> and the large lateral differences seen in the demographic studies, </w:t>
      </w:r>
      <w:r>
        <w:rPr>
          <w:sz w:val="24"/>
          <w:szCs w:val="24"/>
        </w:rPr>
        <w:t xml:space="preserve">only the OA results were </w:t>
      </w:r>
      <w:r w:rsidRPr="00264436">
        <w:rPr>
          <w:sz w:val="24"/>
          <w:szCs w:val="24"/>
        </w:rPr>
        <w:t>statistically significant,</w:t>
      </w:r>
      <w:r>
        <w:rPr>
          <w:sz w:val="24"/>
          <w:szCs w:val="24"/>
        </w:rPr>
        <w:t xml:space="preserve"> </w:t>
      </w:r>
      <w:r w:rsidRPr="00264436">
        <w:rPr>
          <w:sz w:val="24"/>
          <w:szCs w:val="24"/>
        </w:rPr>
        <w:t xml:space="preserve">suggesting age and sex to not </w:t>
      </w:r>
      <w:r>
        <w:rPr>
          <w:sz w:val="24"/>
          <w:szCs w:val="24"/>
        </w:rPr>
        <w:t xml:space="preserve">significantly </w:t>
      </w:r>
      <w:r w:rsidRPr="00264436">
        <w:rPr>
          <w:sz w:val="24"/>
          <w:szCs w:val="24"/>
        </w:rPr>
        <w:t xml:space="preserve">influence </w:t>
      </w:r>
      <w:r>
        <w:rPr>
          <w:sz w:val="24"/>
          <w:szCs w:val="24"/>
        </w:rPr>
        <w:t>the other diseases</w:t>
      </w:r>
      <w:r w:rsidRPr="00264436">
        <w:rPr>
          <w:sz w:val="24"/>
          <w:szCs w:val="24"/>
        </w:rPr>
        <w:t xml:space="preserve"> laterality, through either genetic or social factors. </w:t>
      </w:r>
    </w:p>
    <w:p w:rsidR="003A22C5" w:rsidRPr="00264436" w:rsidRDefault="003A22C5" w:rsidP="003B5900">
      <w:pPr>
        <w:spacing w:line="360" w:lineRule="auto"/>
        <w:jc w:val="both"/>
        <w:rPr>
          <w:sz w:val="24"/>
          <w:szCs w:val="24"/>
        </w:rPr>
      </w:pPr>
    </w:p>
    <w:p w:rsidR="0038739D" w:rsidRPr="00EE4591" w:rsidRDefault="0038739D" w:rsidP="003B5900">
      <w:pPr>
        <w:pStyle w:val="Heading2"/>
        <w:spacing w:line="360" w:lineRule="auto"/>
        <w:ind w:left="1080"/>
        <w:jc w:val="both"/>
        <w:rPr>
          <w:rFonts w:asciiTheme="minorHAnsi" w:hAnsiTheme="minorHAnsi" w:cstheme="minorHAnsi"/>
          <w:b w:val="0"/>
        </w:rPr>
      </w:pPr>
      <w:bookmarkStart w:id="20" w:name="_Toc499046299"/>
      <w:r>
        <w:rPr>
          <w:rFonts w:asciiTheme="minorHAnsi" w:hAnsiTheme="minorHAnsi" w:cstheme="minorHAnsi"/>
          <w:b w:val="0"/>
        </w:rPr>
        <w:t>Coffin and Shroud 2c Burials</w:t>
      </w:r>
      <w:bookmarkEnd w:id="20"/>
      <w:r>
        <w:rPr>
          <w:rFonts w:asciiTheme="minorHAnsi" w:hAnsiTheme="minorHAnsi" w:cstheme="minorHAnsi"/>
          <w:b w:val="0"/>
        </w:rPr>
        <w:t xml:space="preserve"> </w:t>
      </w:r>
    </w:p>
    <w:p w:rsidR="00264436" w:rsidRPr="00264436" w:rsidRDefault="002C34E4" w:rsidP="003B5900">
      <w:pPr>
        <w:spacing w:line="360" w:lineRule="auto"/>
        <w:jc w:val="both"/>
        <w:rPr>
          <w:sz w:val="24"/>
          <w:szCs w:val="24"/>
        </w:rPr>
      </w:pPr>
      <w:r>
        <w:rPr>
          <w:sz w:val="24"/>
          <w:szCs w:val="24"/>
        </w:rPr>
        <w:t>C</w:t>
      </w:r>
      <w:r w:rsidR="00264436" w:rsidRPr="00264436">
        <w:rPr>
          <w:sz w:val="24"/>
          <w:szCs w:val="24"/>
        </w:rPr>
        <w:t>offin burials exhibit</w:t>
      </w:r>
      <w:r w:rsidR="00B85AE0">
        <w:rPr>
          <w:sz w:val="24"/>
          <w:szCs w:val="24"/>
        </w:rPr>
        <w:t>ed</w:t>
      </w:r>
      <w:r w:rsidR="00264436" w:rsidRPr="00264436">
        <w:rPr>
          <w:sz w:val="24"/>
          <w:szCs w:val="24"/>
        </w:rPr>
        <w:t xml:space="preserve"> a larger number of diseases </w:t>
      </w:r>
      <w:r w:rsidR="00B33A1B" w:rsidRPr="00264436">
        <w:rPr>
          <w:sz w:val="24"/>
          <w:szCs w:val="24"/>
        </w:rPr>
        <w:t>however</w:t>
      </w:r>
      <w:r w:rsidR="00264436" w:rsidRPr="00264436">
        <w:rPr>
          <w:sz w:val="24"/>
          <w:szCs w:val="24"/>
        </w:rPr>
        <w:t xml:space="preserve"> a greater prevalence of RCD, impingement and humeral fractures w</w:t>
      </w:r>
      <w:r w:rsidR="002E4926">
        <w:rPr>
          <w:sz w:val="24"/>
          <w:szCs w:val="24"/>
        </w:rPr>
        <w:t xml:space="preserve">as seen in the shroud burials. </w:t>
      </w:r>
      <w:r w:rsidR="00264436" w:rsidRPr="00264436">
        <w:rPr>
          <w:sz w:val="24"/>
          <w:szCs w:val="24"/>
        </w:rPr>
        <w:t>A significant result was seen on</w:t>
      </w:r>
      <w:r w:rsidR="00217800">
        <w:rPr>
          <w:sz w:val="24"/>
          <w:szCs w:val="24"/>
        </w:rPr>
        <w:t>ly in the assessment of ACJ OA (</w:t>
      </w:r>
      <w:r w:rsidR="00217800" w:rsidRPr="00403B48">
        <w:rPr>
          <w:i/>
          <w:sz w:val="24"/>
          <w:szCs w:val="24"/>
        </w:rPr>
        <w:t>p</w:t>
      </w:r>
      <w:r w:rsidR="00217800" w:rsidRPr="007372BE">
        <w:rPr>
          <w:sz w:val="24"/>
          <w:szCs w:val="24"/>
        </w:rPr>
        <w:t>=0.</w:t>
      </w:r>
      <w:r w:rsidR="00217800">
        <w:rPr>
          <w:sz w:val="24"/>
          <w:szCs w:val="24"/>
        </w:rPr>
        <w:t xml:space="preserve">019), </w:t>
      </w:r>
      <w:r w:rsidR="00264436" w:rsidRPr="00264436">
        <w:rPr>
          <w:sz w:val="24"/>
          <w:szCs w:val="24"/>
        </w:rPr>
        <w:t>suggesting the burial types to be a causal factor in the occurrence of this disease, however socio-economic status was not statistically si</w:t>
      </w:r>
      <w:r w:rsidR="002E4926">
        <w:rPr>
          <w:sz w:val="24"/>
          <w:szCs w:val="24"/>
        </w:rPr>
        <w:t xml:space="preserve">gnificant in the other diseases. </w:t>
      </w:r>
      <w:r w:rsidR="009E7A5E">
        <w:rPr>
          <w:sz w:val="24"/>
          <w:szCs w:val="24"/>
        </w:rPr>
        <w:t xml:space="preserve">This bias is furthered as no other burial types were analysed, minimising the ability of this research to comment on status. </w:t>
      </w:r>
    </w:p>
    <w:p w:rsidR="00264436" w:rsidRPr="00264436" w:rsidRDefault="00CD206D" w:rsidP="003B5900">
      <w:pPr>
        <w:spacing w:line="360" w:lineRule="auto"/>
        <w:jc w:val="both"/>
        <w:rPr>
          <w:sz w:val="24"/>
          <w:szCs w:val="24"/>
        </w:rPr>
      </w:pPr>
      <w:r>
        <w:rPr>
          <w:sz w:val="24"/>
          <w:szCs w:val="24"/>
        </w:rPr>
        <w:t>I</w:t>
      </w:r>
      <w:r w:rsidR="00264436" w:rsidRPr="00264436">
        <w:rPr>
          <w:sz w:val="24"/>
          <w:szCs w:val="24"/>
        </w:rPr>
        <w:t xml:space="preserve">t must be noted that living conditions may have been poor across </w:t>
      </w:r>
      <w:r>
        <w:rPr>
          <w:sz w:val="24"/>
          <w:szCs w:val="24"/>
        </w:rPr>
        <w:t xml:space="preserve">the population, regardless of social group, </w:t>
      </w:r>
      <w:r w:rsidR="00264436" w:rsidRPr="00264436">
        <w:rPr>
          <w:sz w:val="24"/>
          <w:szCs w:val="24"/>
        </w:rPr>
        <w:t>as outlined by Morgan (1992), due to the po</w:t>
      </w:r>
      <w:r w:rsidR="002E4926">
        <w:rPr>
          <w:sz w:val="24"/>
          <w:szCs w:val="24"/>
        </w:rPr>
        <w:t xml:space="preserve">or sanitation across the city. </w:t>
      </w:r>
      <w:r w:rsidR="00264436" w:rsidRPr="00264436">
        <w:rPr>
          <w:sz w:val="24"/>
          <w:szCs w:val="24"/>
        </w:rPr>
        <w:t xml:space="preserve">Moreover, it is unknown how individuals from the different burial types </w:t>
      </w:r>
      <w:r w:rsidR="00264436" w:rsidRPr="00264436">
        <w:rPr>
          <w:sz w:val="24"/>
          <w:szCs w:val="24"/>
        </w:rPr>
        <w:lastRenderedPageBreak/>
        <w:t>interacted in life, nor if this status separation</w:t>
      </w:r>
      <w:r w:rsidR="00B85AE0">
        <w:rPr>
          <w:sz w:val="24"/>
          <w:szCs w:val="24"/>
        </w:rPr>
        <w:t xml:space="preserve"> was </w:t>
      </w:r>
      <w:r w:rsidR="00F841B5">
        <w:rPr>
          <w:sz w:val="24"/>
          <w:szCs w:val="24"/>
        </w:rPr>
        <w:t>substantial</w:t>
      </w:r>
      <w:r w:rsidR="002E4926">
        <w:rPr>
          <w:sz w:val="24"/>
          <w:szCs w:val="24"/>
        </w:rPr>
        <w:t>.</w:t>
      </w:r>
      <w:r w:rsidR="00B85AE0">
        <w:rPr>
          <w:sz w:val="24"/>
          <w:szCs w:val="24"/>
        </w:rPr>
        <w:t xml:space="preserve"> Considering these factors</w:t>
      </w:r>
      <w:r w:rsidR="00264436" w:rsidRPr="00264436">
        <w:rPr>
          <w:sz w:val="24"/>
          <w:szCs w:val="24"/>
        </w:rPr>
        <w:t xml:space="preserve">, </w:t>
      </w:r>
      <w:r w:rsidR="00B85AE0">
        <w:rPr>
          <w:sz w:val="24"/>
          <w:szCs w:val="24"/>
        </w:rPr>
        <w:t xml:space="preserve">and </w:t>
      </w:r>
      <w:r w:rsidR="00264436" w:rsidRPr="00264436">
        <w:rPr>
          <w:sz w:val="24"/>
          <w:szCs w:val="24"/>
        </w:rPr>
        <w:t>acknowledging the small sample s</w:t>
      </w:r>
      <w:r w:rsidR="00575A9E">
        <w:rPr>
          <w:sz w:val="24"/>
          <w:szCs w:val="24"/>
        </w:rPr>
        <w:t xml:space="preserve">ize in the shroud 2c group, </w:t>
      </w:r>
      <w:r w:rsidR="003A22C5">
        <w:rPr>
          <w:sz w:val="24"/>
          <w:szCs w:val="24"/>
        </w:rPr>
        <w:t>a reliable</w:t>
      </w:r>
      <w:r w:rsidR="00264436" w:rsidRPr="00264436">
        <w:rPr>
          <w:sz w:val="24"/>
          <w:szCs w:val="24"/>
        </w:rPr>
        <w:t xml:space="preserve"> assessment between the burial types</w:t>
      </w:r>
      <w:r w:rsidR="003A22C5">
        <w:rPr>
          <w:sz w:val="24"/>
          <w:szCs w:val="24"/>
        </w:rPr>
        <w:t xml:space="preserve"> cannot be completed here</w:t>
      </w:r>
      <w:r w:rsidR="00264436" w:rsidRPr="00264436">
        <w:rPr>
          <w:sz w:val="24"/>
          <w:szCs w:val="24"/>
        </w:rPr>
        <w:t xml:space="preserve">. </w:t>
      </w:r>
    </w:p>
    <w:p w:rsidR="00250D3E" w:rsidRDefault="00250D3E" w:rsidP="003B5900">
      <w:pPr>
        <w:pStyle w:val="Heading1"/>
        <w:spacing w:line="360" w:lineRule="auto"/>
        <w:ind w:left="720"/>
        <w:jc w:val="both"/>
        <w:rPr>
          <w:rFonts w:asciiTheme="minorHAnsi" w:hAnsiTheme="minorHAnsi" w:cstheme="minorHAnsi"/>
          <w:b w:val="0"/>
        </w:rPr>
      </w:pPr>
      <w:bookmarkStart w:id="21" w:name="_Toc499046302"/>
      <w:r w:rsidRPr="00250D3E">
        <w:rPr>
          <w:rFonts w:asciiTheme="minorHAnsi" w:hAnsiTheme="minorHAnsi" w:cstheme="minorHAnsi"/>
          <w:b w:val="0"/>
        </w:rPr>
        <w:t>Conclusion</w:t>
      </w:r>
      <w:bookmarkEnd w:id="21"/>
      <w:r w:rsidRPr="00250D3E">
        <w:rPr>
          <w:rFonts w:asciiTheme="minorHAnsi" w:hAnsiTheme="minorHAnsi" w:cstheme="minorHAnsi"/>
          <w:b w:val="0"/>
        </w:rPr>
        <w:t xml:space="preserve"> </w:t>
      </w:r>
    </w:p>
    <w:p w:rsidR="00E21A0C" w:rsidRDefault="00DF0960" w:rsidP="003B5900">
      <w:pPr>
        <w:spacing w:line="360" w:lineRule="auto"/>
        <w:jc w:val="both"/>
        <w:rPr>
          <w:sz w:val="24"/>
          <w:szCs w:val="24"/>
        </w:rPr>
      </w:pPr>
      <w:r>
        <w:rPr>
          <w:sz w:val="24"/>
          <w:szCs w:val="24"/>
        </w:rPr>
        <w:t xml:space="preserve">The study identified that remains from coffin burials </w:t>
      </w:r>
      <w:r w:rsidRPr="00575A9E">
        <w:rPr>
          <w:sz w:val="24"/>
          <w:szCs w:val="24"/>
        </w:rPr>
        <w:t xml:space="preserve">follow normative trends </w:t>
      </w:r>
      <w:r>
        <w:rPr>
          <w:sz w:val="24"/>
          <w:szCs w:val="24"/>
        </w:rPr>
        <w:t>of</w:t>
      </w:r>
      <w:r w:rsidRPr="00575A9E">
        <w:rPr>
          <w:sz w:val="24"/>
          <w:szCs w:val="24"/>
        </w:rPr>
        <w:t xml:space="preserve"> shoulder disease</w:t>
      </w:r>
      <w:r>
        <w:rPr>
          <w:sz w:val="24"/>
          <w:szCs w:val="24"/>
        </w:rPr>
        <w:t xml:space="preserve">. </w:t>
      </w:r>
      <w:r w:rsidR="00E21A0C">
        <w:rPr>
          <w:sz w:val="24"/>
          <w:szCs w:val="24"/>
        </w:rPr>
        <w:t xml:space="preserve">Results from the analysis </w:t>
      </w:r>
      <w:r w:rsidR="00544EDB">
        <w:rPr>
          <w:sz w:val="24"/>
          <w:szCs w:val="24"/>
        </w:rPr>
        <w:t xml:space="preserve">of </w:t>
      </w:r>
      <w:r w:rsidR="002C34E4">
        <w:rPr>
          <w:sz w:val="24"/>
          <w:szCs w:val="24"/>
        </w:rPr>
        <w:t xml:space="preserve">GHJ and ACJ OA, RCD, impingement and fractures of </w:t>
      </w:r>
      <w:r w:rsidR="004C1BBE">
        <w:rPr>
          <w:sz w:val="24"/>
          <w:szCs w:val="24"/>
        </w:rPr>
        <w:t>93 skeletal remains from 18</w:t>
      </w:r>
      <w:r w:rsidR="00575A9E" w:rsidRPr="00575A9E">
        <w:rPr>
          <w:sz w:val="24"/>
          <w:szCs w:val="24"/>
          <w:vertAlign w:val="superscript"/>
        </w:rPr>
        <w:t>th</w:t>
      </w:r>
      <w:r w:rsidR="00575A9E" w:rsidRPr="00575A9E">
        <w:rPr>
          <w:sz w:val="24"/>
          <w:szCs w:val="24"/>
        </w:rPr>
        <w:t xml:space="preserve"> and 1</w:t>
      </w:r>
      <w:r w:rsidR="004C1BBE">
        <w:rPr>
          <w:sz w:val="24"/>
          <w:szCs w:val="24"/>
        </w:rPr>
        <w:t>9</w:t>
      </w:r>
      <w:r w:rsidR="00575A9E" w:rsidRPr="00575A9E">
        <w:rPr>
          <w:sz w:val="24"/>
          <w:szCs w:val="24"/>
          <w:vertAlign w:val="superscript"/>
        </w:rPr>
        <w:t>th</w:t>
      </w:r>
      <w:r w:rsidR="00C72558">
        <w:rPr>
          <w:sz w:val="24"/>
          <w:szCs w:val="24"/>
        </w:rPr>
        <w:t xml:space="preserve"> c</w:t>
      </w:r>
      <w:r w:rsidR="00575A9E" w:rsidRPr="00575A9E">
        <w:rPr>
          <w:sz w:val="24"/>
          <w:szCs w:val="24"/>
        </w:rPr>
        <w:t>entury Chichester</w:t>
      </w:r>
      <w:r w:rsidR="00575A9E">
        <w:rPr>
          <w:sz w:val="24"/>
          <w:szCs w:val="24"/>
        </w:rPr>
        <w:t xml:space="preserve"> found males to exhibit a </w:t>
      </w:r>
      <w:r w:rsidR="00FC79E6">
        <w:rPr>
          <w:sz w:val="24"/>
          <w:szCs w:val="24"/>
        </w:rPr>
        <w:t>greater</w:t>
      </w:r>
      <w:r w:rsidR="00575A9E">
        <w:rPr>
          <w:sz w:val="24"/>
          <w:szCs w:val="24"/>
        </w:rPr>
        <w:t xml:space="preserve"> prevalence of </w:t>
      </w:r>
      <w:r w:rsidR="00E21A0C">
        <w:rPr>
          <w:sz w:val="24"/>
          <w:szCs w:val="24"/>
        </w:rPr>
        <w:t xml:space="preserve">shoulder </w:t>
      </w:r>
      <w:r w:rsidR="00575A9E" w:rsidRPr="00575A9E">
        <w:rPr>
          <w:sz w:val="24"/>
          <w:szCs w:val="24"/>
        </w:rPr>
        <w:t>disease</w:t>
      </w:r>
      <w:r w:rsidR="00575A9E">
        <w:rPr>
          <w:sz w:val="24"/>
          <w:szCs w:val="24"/>
        </w:rPr>
        <w:t xml:space="preserve"> in comparison to</w:t>
      </w:r>
      <w:r w:rsidR="00575A9E" w:rsidRPr="00575A9E">
        <w:rPr>
          <w:sz w:val="24"/>
          <w:szCs w:val="24"/>
        </w:rPr>
        <w:t xml:space="preserve"> females</w:t>
      </w:r>
      <w:r w:rsidR="00271386">
        <w:rPr>
          <w:sz w:val="24"/>
          <w:szCs w:val="24"/>
        </w:rPr>
        <w:t xml:space="preserve">.  </w:t>
      </w:r>
      <w:r w:rsidR="00E21A0C">
        <w:rPr>
          <w:sz w:val="24"/>
          <w:szCs w:val="24"/>
        </w:rPr>
        <w:t xml:space="preserve">This result </w:t>
      </w:r>
      <w:r w:rsidR="00E21A0C" w:rsidRPr="00575A9E">
        <w:rPr>
          <w:sz w:val="24"/>
          <w:szCs w:val="24"/>
        </w:rPr>
        <w:t>could be suggested to be related to physical activity differences between the sexes</w:t>
      </w:r>
      <w:r w:rsidR="00E21A0C">
        <w:rPr>
          <w:sz w:val="24"/>
          <w:szCs w:val="24"/>
        </w:rPr>
        <w:t xml:space="preserve"> due to cultural physical activity difference at the time of the Industrial Revolution (Stirland and Waldron, 1997; </w:t>
      </w:r>
      <w:r w:rsidR="00E21A0C" w:rsidRPr="006A3133">
        <w:rPr>
          <w:sz w:val="24"/>
          <w:szCs w:val="24"/>
        </w:rPr>
        <w:t>Burnette, 1997</w:t>
      </w:r>
      <w:r w:rsidR="00E21A0C">
        <w:rPr>
          <w:sz w:val="24"/>
          <w:szCs w:val="24"/>
        </w:rPr>
        <w:t>)</w:t>
      </w:r>
      <w:r w:rsidR="00E21A0C" w:rsidRPr="00575A9E">
        <w:rPr>
          <w:sz w:val="24"/>
          <w:szCs w:val="24"/>
        </w:rPr>
        <w:t>, or due to a genetic predisposition i</w:t>
      </w:r>
      <w:r w:rsidR="00E21A0C">
        <w:rPr>
          <w:sz w:val="24"/>
          <w:szCs w:val="24"/>
        </w:rPr>
        <w:t>n the males within the sample (</w:t>
      </w:r>
      <w:r w:rsidR="00E21A0C" w:rsidRPr="00C25B20">
        <w:rPr>
          <w:rFonts w:cs="Calibri"/>
          <w:spacing w:val="-1"/>
          <w:sz w:val="24"/>
          <w:szCs w:val="24"/>
        </w:rPr>
        <w:t>Prieto-Alhambra</w:t>
      </w:r>
      <w:r w:rsidR="00E21A0C">
        <w:rPr>
          <w:rFonts w:cs="Calibri"/>
          <w:spacing w:val="-1"/>
          <w:sz w:val="24"/>
          <w:szCs w:val="24"/>
        </w:rPr>
        <w:t xml:space="preserve"> </w:t>
      </w:r>
      <w:r w:rsidR="00E21A0C" w:rsidRPr="00C25B20">
        <w:rPr>
          <w:rFonts w:cs="Calibri"/>
          <w:i/>
          <w:spacing w:val="-1"/>
          <w:sz w:val="24"/>
          <w:szCs w:val="24"/>
        </w:rPr>
        <w:t>et al</w:t>
      </w:r>
      <w:r w:rsidR="00E21A0C">
        <w:rPr>
          <w:rFonts w:cs="Calibri"/>
          <w:spacing w:val="-1"/>
          <w:sz w:val="24"/>
          <w:szCs w:val="24"/>
        </w:rPr>
        <w:t>., 2014)</w:t>
      </w:r>
      <w:r w:rsidR="00E21A0C">
        <w:rPr>
          <w:sz w:val="24"/>
          <w:szCs w:val="24"/>
        </w:rPr>
        <w:t xml:space="preserve">.  </w:t>
      </w:r>
    </w:p>
    <w:p w:rsidR="00575A9E" w:rsidRDefault="00E21A0C" w:rsidP="003B5900">
      <w:pPr>
        <w:spacing w:line="360" w:lineRule="auto"/>
        <w:jc w:val="both"/>
        <w:rPr>
          <w:sz w:val="24"/>
          <w:szCs w:val="24"/>
        </w:rPr>
      </w:pPr>
      <w:r>
        <w:rPr>
          <w:sz w:val="24"/>
          <w:szCs w:val="24"/>
        </w:rPr>
        <w:t>Osteoarthritis in the sample positively linked with age,</w:t>
      </w:r>
      <w:r w:rsidR="00870E56">
        <w:rPr>
          <w:sz w:val="24"/>
          <w:szCs w:val="24"/>
        </w:rPr>
        <w:t xml:space="preserve"> which</w:t>
      </w:r>
      <w:r w:rsidR="00575A9E" w:rsidRPr="00575A9E">
        <w:rPr>
          <w:sz w:val="24"/>
          <w:szCs w:val="24"/>
        </w:rPr>
        <w:t xml:space="preserve"> is un</w:t>
      </w:r>
      <w:r w:rsidR="00BC061A">
        <w:rPr>
          <w:sz w:val="24"/>
          <w:szCs w:val="24"/>
        </w:rPr>
        <w:t>iform with published literature</w:t>
      </w:r>
      <w:r w:rsidR="00575A9E" w:rsidRPr="00575A9E">
        <w:rPr>
          <w:sz w:val="24"/>
          <w:szCs w:val="24"/>
        </w:rPr>
        <w:t xml:space="preserve"> as OA is a degenerative disease found to increase uniformly with age across numerous modern clinical studies (</w:t>
      </w:r>
      <w:r w:rsidR="00575A9E" w:rsidRPr="00575A9E">
        <w:rPr>
          <w:rFonts w:cs="Calibri"/>
          <w:spacing w:val="-1"/>
          <w:sz w:val="24"/>
          <w:szCs w:val="24"/>
        </w:rPr>
        <w:t xml:space="preserve">Hanna </w:t>
      </w:r>
      <w:r w:rsidR="00575A9E" w:rsidRPr="00575A9E">
        <w:rPr>
          <w:rFonts w:cs="Calibri"/>
          <w:i/>
          <w:spacing w:val="-1"/>
          <w:sz w:val="24"/>
          <w:szCs w:val="24"/>
        </w:rPr>
        <w:t>et al</w:t>
      </w:r>
      <w:r w:rsidR="00575A9E" w:rsidRPr="00575A9E">
        <w:rPr>
          <w:rFonts w:cs="Calibri"/>
          <w:spacing w:val="-1"/>
          <w:sz w:val="24"/>
          <w:szCs w:val="24"/>
        </w:rPr>
        <w:t xml:space="preserve">., 2009; Prieto-Alhambra </w:t>
      </w:r>
      <w:r w:rsidR="00575A9E" w:rsidRPr="00575A9E">
        <w:rPr>
          <w:rFonts w:cs="Calibri"/>
          <w:i/>
          <w:spacing w:val="-1"/>
          <w:sz w:val="24"/>
          <w:szCs w:val="24"/>
        </w:rPr>
        <w:t>et al</w:t>
      </w:r>
      <w:r w:rsidR="00575A9E" w:rsidRPr="00575A9E">
        <w:rPr>
          <w:rFonts w:cs="Calibri"/>
          <w:spacing w:val="-1"/>
          <w:sz w:val="24"/>
          <w:szCs w:val="24"/>
        </w:rPr>
        <w:t xml:space="preserve">., 2014) and archaeologically (Waldron, 2009). </w:t>
      </w:r>
      <w:r w:rsidR="00575A9E" w:rsidRPr="00575A9E">
        <w:rPr>
          <w:sz w:val="24"/>
          <w:szCs w:val="24"/>
        </w:rPr>
        <w:t>No other disease</w:t>
      </w:r>
      <w:r w:rsidR="00271386">
        <w:rPr>
          <w:sz w:val="24"/>
          <w:szCs w:val="24"/>
        </w:rPr>
        <w:t>s</w:t>
      </w:r>
      <w:r w:rsidR="00575A9E" w:rsidRPr="00575A9E">
        <w:rPr>
          <w:sz w:val="24"/>
          <w:szCs w:val="24"/>
        </w:rPr>
        <w:t xml:space="preserve"> were significant</w:t>
      </w:r>
      <w:r w:rsidR="00966DED">
        <w:rPr>
          <w:sz w:val="24"/>
          <w:szCs w:val="24"/>
        </w:rPr>
        <w:t>ly</w:t>
      </w:r>
      <w:r w:rsidR="00575A9E" w:rsidRPr="00575A9E">
        <w:rPr>
          <w:sz w:val="24"/>
          <w:szCs w:val="24"/>
        </w:rPr>
        <w:t xml:space="preserve"> </w:t>
      </w:r>
      <w:r w:rsidR="00271386">
        <w:rPr>
          <w:sz w:val="24"/>
          <w:szCs w:val="24"/>
        </w:rPr>
        <w:t xml:space="preserve">associated </w:t>
      </w:r>
      <w:r w:rsidR="00966DED">
        <w:rPr>
          <w:sz w:val="24"/>
          <w:szCs w:val="24"/>
        </w:rPr>
        <w:t>with</w:t>
      </w:r>
      <w:r w:rsidR="00575A9E" w:rsidRPr="00575A9E">
        <w:rPr>
          <w:sz w:val="24"/>
          <w:szCs w:val="24"/>
        </w:rPr>
        <w:t xml:space="preserve"> age, </w:t>
      </w:r>
      <w:r w:rsidR="00DF0960">
        <w:rPr>
          <w:sz w:val="24"/>
          <w:szCs w:val="24"/>
        </w:rPr>
        <w:t>however t</w:t>
      </w:r>
      <w:r w:rsidR="00575A9E" w:rsidRPr="00575A9E">
        <w:rPr>
          <w:sz w:val="24"/>
          <w:szCs w:val="24"/>
        </w:rPr>
        <w:t xml:space="preserve">his assessment further </w:t>
      </w:r>
      <w:r w:rsidR="00BC061A">
        <w:rPr>
          <w:sz w:val="24"/>
          <w:szCs w:val="24"/>
        </w:rPr>
        <w:t>showed</w:t>
      </w:r>
      <w:r w:rsidR="00575A9E" w:rsidRPr="00575A9E">
        <w:rPr>
          <w:sz w:val="24"/>
          <w:szCs w:val="24"/>
        </w:rPr>
        <w:t xml:space="preserve"> the diseases to be influenced by the combined factors of age and sex, with these affect</w:t>
      </w:r>
      <w:r w:rsidR="00517827">
        <w:rPr>
          <w:sz w:val="24"/>
          <w:szCs w:val="24"/>
        </w:rPr>
        <w:t>ing each disease differently.</w:t>
      </w:r>
      <w:r w:rsidR="00575A9E" w:rsidRPr="00575A9E">
        <w:rPr>
          <w:sz w:val="24"/>
          <w:szCs w:val="24"/>
        </w:rPr>
        <w:t xml:space="preserve">  </w:t>
      </w:r>
    </w:p>
    <w:p w:rsidR="00DF0960" w:rsidRDefault="00DF0960" w:rsidP="003B5900">
      <w:pPr>
        <w:spacing w:line="360" w:lineRule="auto"/>
        <w:jc w:val="both"/>
        <w:rPr>
          <w:sz w:val="24"/>
          <w:szCs w:val="24"/>
        </w:rPr>
      </w:pPr>
      <w:r>
        <w:rPr>
          <w:sz w:val="24"/>
          <w:szCs w:val="24"/>
        </w:rPr>
        <w:t>L</w:t>
      </w:r>
      <w:r w:rsidR="00966DED">
        <w:rPr>
          <w:sz w:val="24"/>
          <w:szCs w:val="24"/>
        </w:rPr>
        <w:t xml:space="preserve">ateral differences were observed </w:t>
      </w:r>
      <w:r w:rsidR="00575A9E" w:rsidRPr="00575A9E">
        <w:rPr>
          <w:sz w:val="24"/>
          <w:szCs w:val="24"/>
        </w:rPr>
        <w:t xml:space="preserve">when the sample was divided by age and sex, </w:t>
      </w:r>
      <w:r w:rsidR="002A2BE4">
        <w:rPr>
          <w:sz w:val="24"/>
          <w:szCs w:val="24"/>
        </w:rPr>
        <w:t xml:space="preserve">which showed </w:t>
      </w:r>
      <w:r w:rsidR="00BC061A">
        <w:rPr>
          <w:sz w:val="24"/>
          <w:szCs w:val="24"/>
        </w:rPr>
        <w:t>sidedness</w:t>
      </w:r>
      <w:r w:rsidR="00C970A4">
        <w:rPr>
          <w:sz w:val="24"/>
          <w:szCs w:val="24"/>
        </w:rPr>
        <w:t xml:space="preserve"> had a greater </w:t>
      </w:r>
      <w:r w:rsidR="00BC061A">
        <w:rPr>
          <w:sz w:val="24"/>
          <w:szCs w:val="24"/>
        </w:rPr>
        <w:t>variability</w:t>
      </w:r>
      <w:r w:rsidR="00C970A4">
        <w:rPr>
          <w:sz w:val="24"/>
          <w:szCs w:val="24"/>
        </w:rPr>
        <w:t xml:space="preserve"> in males age</w:t>
      </w:r>
      <w:r w:rsidR="00136CDC">
        <w:rPr>
          <w:sz w:val="24"/>
          <w:szCs w:val="24"/>
        </w:rPr>
        <w:t xml:space="preserve">d 20-39 than males aged 40+, and </w:t>
      </w:r>
      <w:r w:rsidR="00C970A4">
        <w:rPr>
          <w:sz w:val="24"/>
          <w:szCs w:val="24"/>
        </w:rPr>
        <w:t xml:space="preserve">in females aged 40+ than 20-39. This suggests </w:t>
      </w:r>
      <w:r w:rsidR="00575A9E" w:rsidRPr="00575A9E">
        <w:rPr>
          <w:sz w:val="24"/>
          <w:szCs w:val="24"/>
        </w:rPr>
        <w:t>age and sex to have</w:t>
      </w:r>
      <w:r w:rsidR="00966DED">
        <w:rPr>
          <w:sz w:val="24"/>
          <w:szCs w:val="24"/>
        </w:rPr>
        <w:t xml:space="preserve"> had some</w:t>
      </w:r>
      <w:r w:rsidR="002A2BE4">
        <w:rPr>
          <w:sz w:val="24"/>
          <w:szCs w:val="24"/>
        </w:rPr>
        <w:t xml:space="preserve"> impact on disease laterality, but </w:t>
      </w:r>
      <w:r w:rsidR="00575A9E" w:rsidRPr="00575A9E">
        <w:rPr>
          <w:sz w:val="24"/>
          <w:szCs w:val="24"/>
        </w:rPr>
        <w:t>coul</w:t>
      </w:r>
      <w:r w:rsidR="00136CDC">
        <w:rPr>
          <w:sz w:val="24"/>
          <w:szCs w:val="24"/>
        </w:rPr>
        <w:t>d not be linked to handedness,</w:t>
      </w:r>
      <w:r w:rsidR="00575A9E" w:rsidRPr="00575A9E">
        <w:rPr>
          <w:sz w:val="24"/>
          <w:szCs w:val="24"/>
        </w:rPr>
        <w:t xml:space="preserve"> preferential use</w:t>
      </w:r>
      <w:r w:rsidR="002A2BE4">
        <w:rPr>
          <w:sz w:val="24"/>
          <w:szCs w:val="24"/>
        </w:rPr>
        <w:t>, physical</w:t>
      </w:r>
      <w:r w:rsidR="00136CDC">
        <w:rPr>
          <w:sz w:val="24"/>
          <w:szCs w:val="24"/>
        </w:rPr>
        <w:t>ity</w:t>
      </w:r>
      <w:r w:rsidR="002A2BE4">
        <w:rPr>
          <w:sz w:val="24"/>
          <w:szCs w:val="24"/>
        </w:rPr>
        <w:t xml:space="preserve"> </w:t>
      </w:r>
      <w:r>
        <w:rPr>
          <w:sz w:val="24"/>
          <w:szCs w:val="24"/>
        </w:rPr>
        <w:t xml:space="preserve">and activities </w:t>
      </w:r>
      <w:r w:rsidR="00575A9E" w:rsidRPr="00575A9E">
        <w:rPr>
          <w:sz w:val="24"/>
          <w:szCs w:val="24"/>
        </w:rPr>
        <w:t>due to the la</w:t>
      </w:r>
      <w:r w:rsidR="00966DED">
        <w:rPr>
          <w:sz w:val="24"/>
          <w:szCs w:val="24"/>
        </w:rPr>
        <w:t xml:space="preserve">ck of </w:t>
      </w:r>
      <w:r w:rsidR="00136CDC">
        <w:rPr>
          <w:sz w:val="24"/>
          <w:szCs w:val="24"/>
        </w:rPr>
        <w:t>documentation</w:t>
      </w:r>
      <w:r w:rsidR="00966DED">
        <w:rPr>
          <w:sz w:val="24"/>
          <w:szCs w:val="24"/>
        </w:rPr>
        <w:t xml:space="preserve">. </w:t>
      </w:r>
      <w:r w:rsidR="00575A9E" w:rsidRPr="00575A9E">
        <w:rPr>
          <w:sz w:val="24"/>
          <w:szCs w:val="24"/>
        </w:rPr>
        <w:t xml:space="preserve"> </w:t>
      </w:r>
    </w:p>
    <w:p w:rsidR="002266B4" w:rsidRDefault="00966DED" w:rsidP="003B5900">
      <w:pPr>
        <w:spacing w:line="360" w:lineRule="auto"/>
        <w:jc w:val="both"/>
        <w:rPr>
          <w:sz w:val="24"/>
          <w:szCs w:val="24"/>
        </w:rPr>
      </w:pPr>
      <w:r>
        <w:rPr>
          <w:sz w:val="24"/>
          <w:szCs w:val="24"/>
        </w:rPr>
        <w:t xml:space="preserve">To conclude, </w:t>
      </w:r>
      <w:r w:rsidR="001E6F4B">
        <w:rPr>
          <w:sz w:val="24"/>
          <w:szCs w:val="24"/>
        </w:rPr>
        <w:t>OA</w:t>
      </w:r>
      <w:r w:rsidR="00DF0960">
        <w:rPr>
          <w:sz w:val="24"/>
          <w:szCs w:val="24"/>
        </w:rPr>
        <w:t xml:space="preserve"> prevalence</w:t>
      </w:r>
      <w:r w:rsidR="001E6F4B">
        <w:rPr>
          <w:sz w:val="24"/>
          <w:szCs w:val="24"/>
        </w:rPr>
        <w:t xml:space="preserve"> </w:t>
      </w:r>
      <w:r w:rsidR="00DF0960">
        <w:rPr>
          <w:sz w:val="24"/>
          <w:szCs w:val="24"/>
        </w:rPr>
        <w:t>was largely impacted by demographic factors in the post-medieval Chichester sample</w:t>
      </w:r>
      <w:r w:rsidR="001E6F4B">
        <w:rPr>
          <w:sz w:val="24"/>
          <w:szCs w:val="24"/>
        </w:rPr>
        <w:t>, whilst no other diseases were associated with demographic tr</w:t>
      </w:r>
      <w:r w:rsidR="002E4926">
        <w:rPr>
          <w:sz w:val="24"/>
          <w:szCs w:val="24"/>
        </w:rPr>
        <w:t xml:space="preserve">ends in this way. </w:t>
      </w:r>
      <w:r w:rsidR="001E6F4B">
        <w:rPr>
          <w:sz w:val="24"/>
          <w:szCs w:val="24"/>
        </w:rPr>
        <w:t>Despite this, w</w:t>
      </w:r>
      <w:r>
        <w:rPr>
          <w:sz w:val="24"/>
          <w:szCs w:val="24"/>
        </w:rPr>
        <w:t xml:space="preserve">ith consideration of the poor living conditions and high </w:t>
      </w:r>
      <w:r w:rsidR="001E6F4B">
        <w:rPr>
          <w:sz w:val="24"/>
          <w:szCs w:val="24"/>
        </w:rPr>
        <w:t>disease rates in the population</w:t>
      </w:r>
      <w:r>
        <w:rPr>
          <w:sz w:val="24"/>
          <w:szCs w:val="24"/>
        </w:rPr>
        <w:t xml:space="preserve"> outlined by Morgan (1992), the study has shown shoulder disease </w:t>
      </w:r>
      <w:r w:rsidR="001E6F4B">
        <w:rPr>
          <w:sz w:val="24"/>
          <w:szCs w:val="24"/>
        </w:rPr>
        <w:t xml:space="preserve">prevalence </w:t>
      </w:r>
      <w:r>
        <w:rPr>
          <w:sz w:val="24"/>
          <w:szCs w:val="24"/>
        </w:rPr>
        <w:t xml:space="preserve">to be variable between sex and age groups, suggesting </w:t>
      </w:r>
      <w:r w:rsidR="006E5499">
        <w:rPr>
          <w:sz w:val="24"/>
          <w:szCs w:val="24"/>
        </w:rPr>
        <w:t xml:space="preserve">males and </w:t>
      </w:r>
      <w:r w:rsidR="006E5499">
        <w:rPr>
          <w:sz w:val="24"/>
          <w:szCs w:val="24"/>
        </w:rPr>
        <w:lastRenderedPageBreak/>
        <w:t xml:space="preserve">older individuals to predominantly have been at a greater risk of shoulder disease in the </w:t>
      </w:r>
      <w:r w:rsidR="00DF0960">
        <w:rPr>
          <w:sz w:val="24"/>
          <w:szCs w:val="24"/>
        </w:rPr>
        <w:t xml:space="preserve">Industrial Revolution </w:t>
      </w:r>
      <w:r w:rsidR="006E5499">
        <w:rPr>
          <w:sz w:val="24"/>
          <w:szCs w:val="24"/>
        </w:rPr>
        <w:t xml:space="preserve">population. </w:t>
      </w:r>
    </w:p>
    <w:p w:rsidR="00255E88" w:rsidRDefault="00255E88" w:rsidP="003B5900">
      <w:pPr>
        <w:pStyle w:val="Heading1"/>
        <w:spacing w:line="360" w:lineRule="auto"/>
        <w:ind w:left="720"/>
        <w:jc w:val="both"/>
        <w:rPr>
          <w:rFonts w:asciiTheme="minorHAnsi" w:hAnsiTheme="minorHAnsi"/>
          <w:b w:val="0"/>
        </w:rPr>
      </w:pPr>
      <w:bookmarkStart w:id="22" w:name="_Toc475038777"/>
      <w:bookmarkStart w:id="23" w:name="_Toc499046303"/>
      <w:r w:rsidRPr="00B33964">
        <w:rPr>
          <w:rFonts w:asciiTheme="minorHAnsi" w:hAnsiTheme="minorHAnsi"/>
          <w:b w:val="0"/>
        </w:rPr>
        <w:t>References</w:t>
      </w:r>
      <w:bookmarkEnd w:id="22"/>
      <w:bookmarkEnd w:id="23"/>
      <w:r w:rsidRPr="00B33964">
        <w:rPr>
          <w:rFonts w:asciiTheme="minorHAnsi" w:hAnsiTheme="minorHAnsi"/>
          <w:b w:val="0"/>
        </w:rPr>
        <w:t xml:space="preserve"> </w:t>
      </w:r>
    </w:p>
    <w:p w:rsidR="00A27044" w:rsidRPr="008646C8" w:rsidRDefault="00A27044" w:rsidP="003B5900">
      <w:pPr>
        <w:spacing w:line="240" w:lineRule="auto"/>
        <w:jc w:val="both"/>
        <w:rPr>
          <w:rFonts w:cs="Arial"/>
          <w:color w:val="222222"/>
          <w:sz w:val="18"/>
          <w:szCs w:val="18"/>
          <w:shd w:val="clear" w:color="auto" w:fill="FFFFFF"/>
        </w:rPr>
      </w:pPr>
      <w:r w:rsidRPr="008646C8">
        <w:rPr>
          <w:rFonts w:cs="Arial"/>
          <w:color w:val="222222"/>
          <w:sz w:val="18"/>
          <w:szCs w:val="18"/>
          <w:shd w:val="clear" w:color="auto" w:fill="FFFFFF"/>
        </w:rPr>
        <w:t>Auerbach, B. and Ruff, B. (2006) Limb bone bilateral asymmetry: variability and commonality among modern humans. </w:t>
      </w:r>
      <w:r w:rsidRPr="008646C8">
        <w:rPr>
          <w:rFonts w:cs="Arial"/>
          <w:i/>
          <w:iCs/>
          <w:color w:val="222222"/>
          <w:sz w:val="18"/>
          <w:szCs w:val="18"/>
          <w:shd w:val="clear" w:color="auto" w:fill="FFFFFF"/>
        </w:rPr>
        <w:t>Journal of human evolution</w:t>
      </w:r>
      <w:r w:rsidRPr="008646C8">
        <w:rPr>
          <w:rFonts w:cs="Arial"/>
          <w:color w:val="222222"/>
          <w:sz w:val="18"/>
          <w:szCs w:val="18"/>
          <w:shd w:val="clear" w:color="auto" w:fill="FFFFFF"/>
        </w:rPr>
        <w:t>, </w:t>
      </w:r>
      <w:r w:rsidRPr="008646C8">
        <w:rPr>
          <w:rFonts w:cs="Arial"/>
          <w:b/>
          <w:iCs/>
          <w:color w:val="222222"/>
          <w:sz w:val="18"/>
          <w:szCs w:val="18"/>
          <w:shd w:val="clear" w:color="auto" w:fill="FFFFFF"/>
        </w:rPr>
        <w:t>50</w:t>
      </w:r>
      <w:r w:rsidRPr="008646C8">
        <w:rPr>
          <w:rFonts w:cs="Arial"/>
          <w:i/>
          <w:iCs/>
          <w:color w:val="222222"/>
          <w:sz w:val="18"/>
          <w:szCs w:val="18"/>
          <w:shd w:val="clear" w:color="auto" w:fill="FFFFFF"/>
        </w:rPr>
        <w:t xml:space="preserve"> </w:t>
      </w:r>
      <w:r w:rsidRPr="008646C8">
        <w:rPr>
          <w:rFonts w:cs="Arial"/>
          <w:color w:val="222222"/>
          <w:sz w:val="18"/>
          <w:szCs w:val="18"/>
          <w:shd w:val="clear" w:color="auto" w:fill="FFFFFF"/>
        </w:rPr>
        <w:t>(2), 203-218.</w:t>
      </w:r>
    </w:p>
    <w:p w:rsidR="00A27044" w:rsidRDefault="00A27044" w:rsidP="003B5900">
      <w:pPr>
        <w:spacing w:line="240" w:lineRule="auto"/>
        <w:jc w:val="both"/>
        <w:rPr>
          <w:sz w:val="18"/>
          <w:szCs w:val="18"/>
        </w:rPr>
      </w:pPr>
      <w:r>
        <w:rPr>
          <w:sz w:val="18"/>
          <w:szCs w:val="18"/>
        </w:rPr>
        <w:t xml:space="preserve">Bass, N. (1995) </w:t>
      </w:r>
      <w:r>
        <w:rPr>
          <w:i/>
          <w:iCs/>
          <w:sz w:val="18"/>
          <w:szCs w:val="18"/>
        </w:rPr>
        <w:t xml:space="preserve">Human osteology: a laboratory and field manual. </w:t>
      </w:r>
      <w:r>
        <w:rPr>
          <w:sz w:val="18"/>
          <w:szCs w:val="18"/>
        </w:rPr>
        <w:t>4th ed., Columbia, Mo: Missouri Archaeological Society.</w:t>
      </w:r>
    </w:p>
    <w:p w:rsidR="00A27044" w:rsidRPr="005858EE" w:rsidRDefault="00A27044" w:rsidP="003B5900">
      <w:pPr>
        <w:spacing w:line="240" w:lineRule="auto"/>
        <w:jc w:val="both"/>
        <w:rPr>
          <w:sz w:val="18"/>
          <w:szCs w:val="18"/>
        </w:rPr>
      </w:pPr>
      <w:r w:rsidRPr="005858EE">
        <w:rPr>
          <w:sz w:val="18"/>
          <w:szCs w:val="18"/>
        </w:rPr>
        <w:t xml:space="preserve">Belknap, J. (2001) </w:t>
      </w:r>
      <w:r w:rsidRPr="005858EE">
        <w:rPr>
          <w:i/>
          <w:iCs/>
          <w:sz w:val="18"/>
          <w:szCs w:val="18"/>
        </w:rPr>
        <w:t>The invisible woman: Gender, crime and justice</w:t>
      </w:r>
      <w:r w:rsidRPr="005858EE">
        <w:rPr>
          <w:sz w:val="18"/>
          <w:szCs w:val="18"/>
        </w:rPr>
        <w:t>. Belmont, CA: Wadsworth.</w:t>
      </w:r>
    </w:p>
    <w:p w:rsidR="00A27044" w:rsidRPr="005858EE" w:rsidRDefault="00A27044" w:rsidP="003B5900">
      <w:pPr>
        <w:spacing w:line="240" w:lineRule="auto"/>
        <w:jc w:val="both"/>
        <w:rPr>
          <w:rFonts w:cs="Arial"/>
          <w:color w:val="222222"/>
          <w:sz w:val="18"/>
          <w:szCs w:val="18"/>
          <w:shd w:val="clear" w:color="auto" w:fill="FFFFFF"/>
        </w:rPr>
      </w:pPr>
      <w:r w:rsidRPr="005858EE">
        <w:rPr>
          <w:rFonts w:cs="Arial"/>
          <w:color w:val="333333"/>
          <w:sz w:val="18"/>
          <w:szCs w:val="18"/>
          <w:shd w:val="clear" w:color="auto" w:fill="FFFFFF"/>
        </w:rPr>
        <w:t>Biewener</w:t>
      </w:r>
      <w:r>
        <w:rPr>
          <w:rFonts w:cs="Arial"/>
          <w:color w:val="333333"/>
          <w:sz w:val="18"/>
          <w:szCs w:val="18"/>
          <w:shd w:val="clear" w:color="auto" w:fill="FFFFFF"/>
        </w:rPr>
        <w:t>,</w:t>
      </w:r>
      <w:r w:rsidRPr="005858EE">
        <w:rPr>
          <w:rFonts w:cs="Arial"/>
          <w:color w:val="333333"/>
          <w:sz w:val="18"/>
          <w:szCs w:val="18"/>
          <w:shd w:val="clear" w:color="auto" w:fill="FFFFFF"/>
        </w:rPr>
        <w:t xml:space="preserve"> A</w:t>
      </w:r>
      <w:r>
        <w:rPr>
          <w:rFonts w:cs="Arial"/>
          <w:color w:val="333333"/>
          <w:sz w:val="18"/>
          <w:szCs w:val="18"/>
          <w:shd w:val="clear" w:color="auto" w:fill="FFFFFF"/>
        </w:rPr>
        <w:t>.</w:t>
      </w:r>
      <w:r w:rsidRPr="005858EE">
        <w:rPr>
          <w:rFonts w:cs="Arial"/>
          <w:color w:val="333333"/>
          <w:sz w:val="18"/>
          <w:szCs w:val="18"/>
          <w:shd w:val="clear" w:color="auto" w:fill="FFFFFF"/>
        </w:rPr>
        <w:t xml:space="preserve"> (1990) Biomechanics of mammalian terrestrial locomotion. </w:t>
      </w:r>
      <w:r w:rsidRPr="009D41BE">
        <w:rPr>
          <w:rFonts w:cs="Arial"/>
          <w:i/>
          <w:color w:val="333333"/>
          <w:sz w:val="18"/>
          <w:szCs w:val="18"/>
          <w:shd w:val="clear" w:color="auto" w:fill="FFFFFF"/>
        </w:rPr>
        <w:t>Science</w:t>
      </w:r>
      <w:r>
        <w:rPr>
          <w:rFonts w:cs="Arial"/>
          <w:i/>
          <w:color w:val="333333"/>
          <w:sz w:val="18"/>
          <w:szCs w:val="18"/>
          <w:shd w:val="clear" w:color="auto" w:fill="FFFFFF"/>
        </w:rPr>
        <w:t>,</w:t>
      </w:r>
      <w:r w:rsidRPr="005858EE">
        <w:rPr>
          <w:rStyle w:val="apple-converted-space"/>
          <w:rFonts w:cs="Arial"/>
          <w:color w:val="333333"/>
          <w:sz w:val="18"/>
          <w:szCs w:val="18"/>
          <w:shd w:val="clear" w:color="auto" w:fill="FFFFFF"/>
        </w:rPr>
        <w:t> </w:t>
      </w:r>
      <w:r w:rsidRPr="009D41BE">
        <w:rPr>
          <w:rStyle w:val="Emphasis"/>
          <w:rFonts w:cs="Arial"/>
          <w:b/>
          <w:i w:val="0"/>
          <w:color w:val="333333"/>
          <w:sz w:val="18"/>
          <w:szCs w:val="18"/>
          <w:shd w:val="clear" w:color="auto" w:fill="FFFFFF"/>
        </w:rPr>
        <w:t>250</w:t>
      </w:r>
      <w:r>
        <w:rPr>
          <w:rFonts w:cs="Arial"/>
          <w:color w:val="333333"/>
          <w:sz w:val="18"/>
          <w:szCs w:val="18"/>
          <w:shd w:val="clear" w:color="auto" w:fill="FFFFFF"/>
        </w:rPr>
        <w:t xml:space="preserve">, </w:t>
      </w:r>
      <w:r w:rsidRPr="005858EE">
        <w:rPr>
          <w:rFonts w:cs="Arial"/>
          <w:color w:val="333333"/>
          <w:sz w:val="18"/>
          <w:szCs w:val="18"/>
          <w:shd w:val="clear" w:color="auto" w:fill="FFFFFF"/>
        </w:rPr>
        <w:t>1097–1103</w:t>
      </w:r>
      <w:r>
        <w:rPr>
          <w:rFonts w:cs="Arial"/>
          <w:color w:val="333333"/>
          <w:sz w:val="18"/>
          <w:szCs w:val="18"/>
          <w:shd w:val="clear" w:color="auto" w:fill="FFFFFF"/>
        </w:rPr>
        <w:t>.</w:t>
      </w:r>
    </w:p>
    <w:p w:rsidR="00A27044" w:rsidRPr="007A4A58" w:rsidRDefault="00A27044" w:rsidP="003B5900">
      <w:pPr>
        <w:spacing w:line="240" w:lineRule="auto"/>
        <w:jc w:val="both"/>
        <w:rPr>
          <w:rFonts w:cs="Arial"/>
          <w:color w:val="222222"/>
          <w:sz w:val="18"/>
          <w:szCs w:val="18"/>
          <w:shd w:val="clear" w:color="auto" w:fill="FFFFFF"/>
        </w:rPr>
      </w:pPr>
      <w:r w:rsidRPr="00EC39A0">
        <w:rPr>
          <w:rFonts w:cs="Arial"/>
          <w:color w:val="222222"/>
          <w:sz w:val="18"/>
          <w:szCs w:val="18"/>
          <w:shd w:val="clear" w:color="auto" w:fill="FFFFFF"/>
        </w:rPr>
        <w:t>Brickley,</w:t>
      </w:r>
      <w:r>
        <w:rPr>
          <w:rFonts w:cs="Arial"/>
          <w:color w:val="222222"/>
          <w:sz w:val="18"/>
          <w:szCs w:val="18"/>
          <w:shd w:val="clear" w:color="auto" w:fill="FFFFFF"/>
        </w:rPr>
        <w:t xml:space="preserve"> M. Mays, S and Ives, R. (2007)</w:t>
      </w:r>
      <w:r w:rsidRPr="00EC39A0">
        <w:rPr>
          <w:rFonts w:cs="Arial"/>
          <w:color w:val="222222"/>
          <w:sz w:val="18"/>
          <w:szCs w:val="18"/>
          <w:shd w:val="clear" w:color="auto" w:fill="FFFFFF"/>
        </w:rPr>
        <w:t xml:space="preserve"> An investigation of skeletal indicators of vitamin D deficiency in adults: effective markers for interpreting past living conditions and pollution levels in 18th and 19th century Birmingham, England.</w:t>
      </w:r>
      <w:r w:rsidRPr="00EC39A0">
        <w:rPr>
          <w:rStyle w:val="apple-converted-space"/>
          <w:rFonts w:cs="Arial"/>
          <w:color w:val="222222"/>
          <w:sz w:val="18"/>
          <w:szCs w:val="18"/>
          <w:shd w:val="clear" w:color="auto" w:fill="FFFFFF"/>
        </w:rPr>
        <w:t> </w:t>
      </w:r>
      <w:r w:rsidRPr="00EC39A0">
        <w:rPr>
          <w:rFonts w:cs="Arial"/>
          <w:i/>
          <w:iCs/>
          <w:color w:val="222222"/>
          <w:sz w:val="18"/>
          <w:szCs w:val="18"/>
          <w:shd w:val="clear" w:color="auto" w:fill="FFFFFF"/>
        </w:rPr>
        <w:t xml:space="preserve">American journal of </w:t>
      </w:r>
      <w:r w:rsidRPr="007A4A58">
        <w:rPr>
          <w:rFonts w:cs="Arial"/>
          <w:i/>
          <w:iCs/>
          <w:color w:val="222222"/>
          <w:sz w:val="18"/>
          <w:szCs w:val="18"/>
          <w:shd w:val="clear" w:color="auto" w:fill="FFFFFF"/>
        </w:rPr>
        <w:t>physical anthropology</w:t>
      </w:r>
      <w:r w:rsidRPr="007A4A58">
        <w:rPr>
          <w:rFonts w:cs="Arial"/>
          <w:color w:val="222222"/>
          <w:sz w:val="18"/>
          <w:szCs w:val="18"/>
          <w:shd w:val="clear" w:color="auto" w:fill="FFFFFF"/>
        </w:rPr>
        <w:t>,</w:t>
      </w:r>
      <w:r w:rsidRPr="007A4A58">
        <w:rPr>
          <w:rStyle w:val="apple-converted-space"/>
          <w:rFonts w:cs="Arial"/>
          <w:color w:val="222222"/>
          <w:sz w:val="18"/>
          <w:szCs w:val="18"/>
          <w:shd w:val="clear" w:color="auto" w:fill="FFFFFF"/>
        </w:rPr>
        <w:t> </w:t>
      </w:r>
      <w:r w:rsidRPr="007A4A58">
        <w:rPr>
          <w:rFonts w:cs="Arial"/>
          <w:b/>
          <w:iCs/>
          <w:color w:val="222222"/>
          <w:sz w:val="18"/>
          <w:szCs w:val="18"/>
          <w:shd w:val="clear" w:color="auto" w:fill="FFFFFF"/>
        </w:rPr>
        <w:t>132</w:t>
      </w:r>
      <w:r w:rsidRPr="007A4A58">
        <w:rPr>
          <w:rFonts w:cs="Arial"/>
          <w:color w:val="222222"/>
          <w:sz w:val="18"/>
          <w:szCs w:val="18"/>
          <w:shd w:val="clear" w:color="auto" w:fill="FFFFFF"/>
        </w:rPr>
        <w:t xml:space="preserve"> (1), 67-79.</w:t>
      </w:r>
    </w:p>
    <w:p w:rsidR="00A27044" w:rsidRPr="007A4A58" w:rsidRDefault="00A27044" w:rsidP="003B5900">
      <w:pPr>
        <w:spacing w:line="240" w:lineRule="auto"/>
        <w:jc w:val="both"/>
        <w:rPr>
          <w:rFonts w:cs="Arial"/>
          <w:color w:val="222222"/>
          <w:sz w:val="18"/>
          <w:szCs w:val="18"/>
          <w:shd w:val="clear" w:color="auto" w:fill="FFFFFF"/>
        </w:rPr>
      </w:pPr>
      <w:r>
        <w:rPr>
          <w:rFonts w:cs="Arial"/>
          <w:color w:val="222222"/>
          <w:sz w:val="18"/>
          <w:szCs w:val="18"/>
          <w:shd w:val="clear" w:color="auto" w:fill="FFFFFF"/>
        </w:rPr>
        <w:t>Brooks, S. and Suchey, M. (1990)</w:t>
      </w:r>
      <w:r w:rsidRPr="007A4A58">
        <w:rPr>
          <w:rFonts w:cs="Arial"/>
          <w:color w:val="222222"/>
          <w:sz w:val="18"/>
          <w:szCs w:val="18"/>
          <w:shd w:val="clear" w:color="auto" w:fill="FFFFFF"/>
        </w:rPr>
        <w:t xml:space="preserve"> Skeletal age determination based on the os pubis: a comparison of the Acsádi-Nemeskéri and Suchey-Brooks methods.</w:t>
      </w:r>
      <w:r w:rsidRPr="007A4A58">
        <w:rPr>
          <w:rStyle w:val="apple-converted-space"/>
          <w:rFonts w:cs="Arial"/>
          <w:color w:val="222222"/>
          <w:sz w:val="18"/>
          <w:szCs w:val="18"/>
          <w:shd w:val="clear" w:color="auto" w:fill="FFFFFF"/>
        </w:rPr>
        <w:t> </w:t>
      </w:r>
      <w:r w:rsidRPr="007A4A58">
        <w:rPr>
          <w:rFonts w:cs="Arial"/>
          <w:i/>
          <w:iCs/>
          <w:color w:val="222222"/>
          <w:sz w:val="18"/>
          <w:szCs w:val="18"/>
          <w:shd w:val="clear" w:color="auto" w:fill="FFFFFF"/>
        </w:rPr>
        <w:t>Human evolution</w:t>
      </w:r>
      <w:r w:rsidRPr="007A4A58">
        <w:rPr>
          <w:rFonts w:cs="Arial"/>
          <w:color w:val="222222"/>
          <w:sz w:val="18"/>
          <w:szCs w:val="18"/>
          <w:shd w:val="clear" w:color="auto" w:fill="FFFFFF"/>
        </w:rPr>
        <w:t>,</w:t>
      </w:r>
      <w:r w:rsidRPr="007A4A58">
        <w:rPr>
          <w:rStyle w:val="apple-converted-space"/>
          <w:rFonts w:cs="Arial"/>
          <w:color w:val="222222"/>
          <w:sz w:val="18"/>
          <w:szCs w:val="18"/>
          <w:shd w:val="clear" w:color="auto" w:fill="FFFFFF"/>
        </w:rPr>
        <w:t> </w:t>
      </w:r>
      <w:r w:rsidRPr="007A4A58">
        <w:rPr>
          <w:rFonts w:cs="Arial"/>
          <w:b/>
          <w:iCs/>
          <w:color w:val="222222"/>
          <w:sz w:val="18"/>
          <w:szCs w:val="18"/>
          <w:shd w:val="clear" w:color="auto" w:fill="FFFFFF"/>
        </w:rPr>
        <w:t>5</w:t>
      </w:r>
      <w:r>
        <w:rPr>
          <w:rFonts w:cs="Arial"/>
          <w:i/>
          <w:iCs/>
          <w:color w:val="222222"/>
          <w:sz w:val="18"/>
          <w:szCs w:val="18"/>
          <w:shd w:val="clear" w:color="auto" w:fill="FFFFFF"/>
        </w:rPr>
        <w:t xml:space="preserve"> </w:t>
      </w:r>
      <w:r w:rsidRPr="007A4A58">
        <w:rPr>
          <w:rFonts w:cs="Arial"/>
          <w:color w:val="222222"/>
          <w:sz w:val="18"/>
          <w:szCs w:val="18"/>
          <w:shd w:val="clear" w:color="auto" w:fill="FFFFFF"/>
        </w:rPr>
        <w:t>(3), 227-238.</w:t>
      </w:r>
    </w:p>
    <w:p w:rsidR="00A27044" w:rsidRPr="007A4A58" w:rsidRDefault="00A27044" w:rsidP="003B5900">
      <w:pPr>
        <w:spacing w:line="240" w:lineRule="auto"/>
        <w:jc w:val="both"/>
        <w:rPr>
          <w:rFonts w:cs="Arial"/>
          <w:color w:val="222222"/>
          <w:sz w:val="18"/>
          <w:szCs w:val="18"/>
          <w:shd w:val="clear" w:color="auto" w:fill="FFFFFF"/>
        </w:rPr>
      </w:pPr>
      <w:r>
        <w:rPr>
          <w:rFonts w:cs="Arial"/>
          <w:color w:val="222222"/>
          <w:sz w:val="18"/>
          <w:szCs w:val="18"/>
          <w:shd w:val="clear" w:color="auto" w:fill="FFFFFF"/>
        </w:rPr>
        <w:t>Buikstra, E. and Ubelaker, H. (1994)</w:t>
      </w:r>
      <w:r w:rsidRPr="007A4A58">
        <w:rPr>
          <w:rFonts w:cs="Arial"/>
          <w:color w:val="222222"/>
          <w:sz w:val="18"/>
          <w:szCs w:val="18"/>
          <w:shd w:val="clear" w:color="auto" w:fill="FFFFFF"/>
        </w:rPr>
        <w:t xml:space="preserve"> Standards for data collection from human skeletal remains: proceedings of a seminar at the Field Museum of Natural History.</w:t>
      </w:r>
    </w:p>
    <w:p w:rsidR="00A27044" w:rsidRPr="005C6188" w:rsidRDefault="00A27044" w:rsidP="003B5900">
      <w:pPr>
        <w:spacing w:line="240" w:lineRule="auto"/>
        <w:jc w:val="both"/>
        <w:rPr>
          <w:rFonts w:cs="Arial"/>
          <w:color w:val="222222"/>
          <w:sz w:val="18"/>
          <w:szCs w:val="18"/>
          <w:shd w:val="clear" w:color="auto" w:fill="FFFFFF"/>
        </w:rPr>
      </w:pPr>
      <w:r>
        <w:rPr>
          <w:rFonts w:cs="Arial"/>
          <w:color w:val="222222"/>
          <w:sz w:val="18"/>
          <w:szCs w:val="18"/>
          <w:shd w:val="clear" w:color="auto" w:fill="FFFFFF"/>
        </w:rPr>
        <w:t>Burkhart, S., Johnson, C., Wirth, A.</w:t>
      </w:r>
      <w:r w:rsidRPr="005C6188">
        <w:rPr>
          <w:rFonts w:cs="Arial"/>
          <w:color w:val="222222"/>
          <w:sz w:val="18"/>
          <w:szCs w:val="18"/>
          <w:shd w:val="clear" w:color="auto" w:fill="FFFFFF"/>
        </w:rPr>
        <w:t xml:space="preserve"> </w:t>
      </w:r>
      <w:r>
        <w:rPr>
          <w:rFonts w:cs="Arial"/>
          <w:color w:val="222222"/>
          <w:sz w:val="18"/>
          <w:szCs w:val="18"/>
          <w:shd w:val="clear" w:color="auto" w:fill="FFFFFF"/>
        </w:rPr>
        <w:t>and Athanasiou, A. (1997)</w:t>
      </w:r>
      <w:r w:rsidRPr="005C6188">
        <w:rPr>
          <w:rFonts w:cs="Arial"/>
          <w:color w:val="222222"/>
          <w:sz w:val="18"/>
          <w:szCs w:val="18"/>
          <w:shd w:val="clear" w:color="auto" w:fill="FFFFFF"/>
        </w:rPr>
        <w:t xml:space="preserve"> Cyclic loading of transosseous rotator cuff repairs: tension overload as a possible cause of failure.</w:t>
      </w:r>
      <w:r w:rsidRPr="005C6188">
        <w:rPr>
          <w:rStyle w:val="apple-converted-space"/>
          <w:rFonts w:cs="Arial"/>
          <w:color w:val="222222"/>
          <w:sz w:val="18"/>
          <w:szCs w:val="18"/>
          <w:shd w:val="clear" w:color="auto" w:fill="FFFFFF"/>
        </w:rPr>
        <w:t> </w:t>
      </w:r>
      <w:r w:rsidRPr="005C6188">
        <w:rPr>
          <w:rFonts w:cs="Arial"/>
          <w:i/>
          <w:iCs/>
          <w:color w:val="222222"/>
          <w:sz w:val="18"/>
          <w:szCs w:val="18"/>
          <w:shd w:val="clear" w:color="auto" w:fill="FFFFFF"/>
        </w:rPr>
        <w:t>Arthroscopy: The Journal of Arthroscopic &amp; Related Surgery</w:t>
      </w:r>
      <w:r w:rsidRPr="005C6188">
        <w:rPr>
          <w:rFonts w:cs="Arial"/>
          <w:color w:val="222222"/>
          <w:sz w:val="18"/>
          <w:szCs w:val="18"/>
          <w:shd w:val="clear" w:color="auto" w:fill="FFFFFF"/>
        </w:rPr>
        <w:t>,</w:t>
      </w:r>
      <w:r w:rsidRPr="005C6188">
        <w:rPr>
          <w:rStyle w:val="apple-converted-space"/>
          <w:rFonts w:cs="Arial"/>
          <w:color w:val="222222"/>
          <w:sz w:val="18"/>
          <w:szCs w:val="18"/>
          <w:shd w:val="clear" w:color="auto" w:fill="FFFFFF"/>
        </w:rPr>
        <w:t> </w:t>
      </w:r>
      <w:r w:rsidRPr="005C6188">
        <w:rPr>
          <w:rFonts w:cs="Arial"/>
          <w:b/>
          <w:iCs/>
          <w:color w:val="222222"/>
          <w:sz w:val="18"/>
          <w:szCs w:val="18"/>
          <w:shd w:val="clear" w:color="auto" w:fill="FFFFFF"/>
        </w:rPr>
        <w:t>13</w:t>
      </w:r>
      <w:r>
        <w:rPr>
          <w:rFonts w:cs="Arial"/>
          <w:i/>
          <w:iCs/>
          <w:color w:val="222222"/>
          <w:sz w:val="18"/>
          <w:szCs w:val="18"/>
          <w:shd w:val="clear" w:color="auto" w:fill="FFFFFF"/>
        </w:rPr>
        <w:t xml:space="preserve"> </w:t>
      </w:r>
      <w:r w:rsidRPr="005C6188">
        <w:rPr>
          <w:rFonts w:cs="Arial"/>
          <w:color w:val="222222"/>
          <w:sz w:val="18"/>
          <w:szCs w:val="18"/>
          <w:shd w:val="clear" w:color="auto" w:fill="FFFFFF"/>
        </w:rPr>
        <w:t>(2), 172-176.</w:t>
      </w:r>
    </w:p>
    <w:p w:rsidR="00A27044" w:rsidRPr="005858EE" w:rsidRDefault="00A27044" w:rsidP="003B5900">
      <w:pPr>
        <w:spacing w:line="240" w:lineRule="auto"/>
        <w:jc w:val="both"/>
        <w:rPr>
          <w:rFonts w:cs="Arial"/>
          <w:color w:val="222222"/>
          <w:sz w:val="18"/>
          <w:szCs w:val="18"/>
          <w:shd w:val="clear" w:color="auto" w:fill="FFFFFF"/>
        </w:rPr>
      </w:pPr>
      <w:r>
        <w:rPr>
          <w:rFonts w:cs="Arial"/>
          <w:color w:val="222222"/>
          <w:sz w:val="18"/>
          <w:szCs w:val="18"/>
          <w:shd w:val="clear" w:color="auto" w:fill="FFFFFF"/>
        </w:rPr>
        <w:t>Burkhart, S., Morgan, D. and Kibler, B. (2000)</w:t>
      </w:r>
      <w:r w:rsidRPr="005858EE">
        <w:rPr>
          <w:rFonts w:cs="Arial"/>
          <w:color w:val="222222"/>
          <w:sz w:val="18"/>
          <w:szCs w:val="18"/>
          <w:shd w:val="clear" w:color="auto" w:fill="FFFFFF"/>
        </w:rPr>
        <w:t xml:space="preserve"> Shoulder injuries in overhead athletes: the “dead arm” revisited.</w:t>
      </w:r>
      <w:r w:rsidRPr="005858EE">
        <w:rPr>
          <w:rStyle w:val="apple-converted-space"/>
          <w:rFonts w:cs="Arial"/>
          <w:color w:val="222222"/>
          <w:sz w:val="18"/>
          <w:szCs w:val="18"/>
          <w:shd w:val="clear" w:color="auto" w:fill="FFFFFF"/>
        </w:rPr>
        <w:t> </w:t>
      </w:r>
      <w:r w:rsidRPr="005858EE">
        <w:rPr>
          <w:rFonts w:cs="Arial"/>
          <w:i/>
          <w:iCs/>
          <w:color w:val="222222"/>
          <w:sz w:val="18"/>
          <w:szCs w:val="18"/>
          <w:shd w:val="clear" w:color="auto" w:fill="FFFFFF"/>
        </w:rPr>
        <w:t>Clinics in sports medicine</w:t>
      </w:r>
      <w:r w:rsidRPr="005858EE">
        <w:rPr>
          <w:rFonts w:cs="Arial"/>
          <w:color w:val="222222"/>
          <w:sz w:val="18"/>
          <w:szCs w:val="18"/>
          <w:shd w:val="clear" w:color="auto" w:fill="FFFFFF"/>
        </w:rPr>
        <w:t>,</w:t>
      </w:r>
      <w:r w:rsidRPr="005858EE">
        <w:rPr>
          <w:rStyle w:val="apple-converted-space"/>
          <w:rFonts w:cs="Arial"/>
          <w:color w:val="222222"/>
          <w:sz w:val="18"/>
          <w:szCs w:val="18"/>
          <w:shd w:val="clear" w:color="auto" w:fill="FFFFFF"/>
        </w:rPr>
        <w:t> </w:t>
      </w:r>
      <w:r w:rsidRPr="009D41BE">
        <w:rPr>
          <w:rFonts w:cs="Arial"/>
          <w:b/>
          <w:iCs/>
          <w:color w:val="222222"/>
          <w:sz w:val="18"/>
          <w:szCs w:val="18"/>
          <w:shd w:val="clear" w:color="auto" w:fill="FFFFFF"/>
        </w:rPr>
        <w:t>19</w:t>
      </w:r>
      <w:r>
        <w:rPr>
          <w:rFonts w:cs="Arial"/>
          <w:i/>
          <w:iCs/>
          <w:color w:val="222222"/>
          <w:sz w:val="18"/>
          <w:szCs w:val="18"/>
          <w:shd w:val="clear" w:color="auto" w:fill="FFFFFF"/>
        </w:rPr>
        <w:t xml:space="preserve"> </w:t>
      </w:r>
      <w:r w:rsidRPr="005858EE">
        <w:rPr>
          <w:rFonts w:cs="Arial"/>
          <w:color w:val="222222"/>
          <w:sz w:val="18"/>
          <w:szCs w:val="18"/>
          <w:shd w:val="clear" w:color="auto" w:fill="FFFFFF"/>
        </w:rPr>
        <w:t>(1), 125-158.</w:t>
      </w:r>
    </w:p>
    <w:p w:rsidR="00A27044" w:rsidRDefault="00A27044" w:rsidP="003B5900">
      <w:pPr>
        <w:spacing w:line="240" w:lineRule="auto"/>
        <w:jc w:val="both"/>
        <w:rPr>
          <w:rFonts w:cs="Arial"/>
          <w:color w:val="222222"/>
          <w:sz w:val="18"/>
          <w:szCs w:val="18"/>
          <w:shd w:val="clear" w:color="auto" w:fill="FFFFFF"/>
        </w:rPr>
      </w:pPr>
      <w:r>
        <w:rPr>
          <w:rFonts w:cs="Arial"/>
          <w:color w:val="222222"/>
          <w:sz w:val="18"/>
          <w:szCs w:val="18"/>
          <w:shd w:val="clear" w:color="auto" w:fill="FFFFFF"/>
        </w:rPr>
        <w:t>Burnette, J. (1997)</w:t>
      </w:r>
      <w:r w:rsidRPr="00CF759F">
        <w:rPr>
          <w:rFonts w:cs="Arial"/>
          <w:color w:val="222222"/>
          <w:sz w:val="18"/>
          <w:szCs w:val="18"/>
          <w:shd w:val="clear" w:color="auto" w:fill="FFFFFF"/>
        </w:rPr>
        <w:t xml:space="preserve"> An investigation of the female–male wage gap during the Industrial Revolution in Britain. </w:t>
      </w:r>
      <w:r w:rsidRPr="00CF759F">
        <w:rPr>
          <w:rFonts w:cs="Arial"/>
          <w:i/>
          <w:color w:val="222222"/>
          <w:sz w:val="18"/>
          <w:szCs w:val="18"/>
          <w:shd w:val="clear" w:color="auto" w:fill="FFFFFF"/>
        </w:rPr>
        <w:t>The Economic History Review</w:t>
      </w:r>
      <w:r w:rsidRPr="00CF759F">
        <w:rPr>
          <w:rFonts w:cs="Arial"/>
          <w:color w:val="222222"/>
          <w:sz w:val="18"/>
          <w:szCs w:val="18"/>
          <w:shd w:val="clear" w:color="auto" w:fill="FFFFFF"/>
        </w:rPr>
        <w:t xml:space="preserve">, </w:t>
      </w:r>
      <w:r w:rsidRPr="00CF759F">
        <w:rPr>
          <w:rFonts w:cs="Arial"/>
          <w:b/>
          <w:color w:val="222222"/>
          <w:sz w:val="18"/>
          <w:szCs w:val="18"/>
          <w:shd w:val="clear" w:color="auto" w:fill="FFFFFF"/>
        </w:rPr>
        <w:t>50</w:t>
      </w:r>
      <w:r>
        <w:rPr>
          <w:rFonts w:cs="Arial"/>
          <w:color w:val="222222"/>
          <w:sz w:val="18"/>
          <w:szCs w:val="18"/>
          <w:shd w:val="clear" w:color="auto" w:fill="FFFFFF"/>
        </w:rPr>
        <w:t xml:space="preserve"> </w:t>
      </w:r>
      <w:r w:rsidRPr="00CF759F">
        <w:rPr>
          <w:rFonts w:cs="Arial"/>
          <w:color w:val="222222"/>
          <w:sz w:val="18"/>
          <w:szCs w:val="18"/>
          <w:shd w:val="clear" w:color="auto" w:fill="FFFFFF"/>
        </w:rPr>
        <w:t>(2), 257-281.</w:t>
      </w:r>
    </w:p>
    <w:p w:rsidR="00A27044" w:rsidRPr="001E1CF9" w:rsidRDefault="00A27044" w:rsidP="003B5900">
      <w:pPr>
        <w:spacing w:line="240" w:lineRule="auto"/>
        <w:jc w:val="both"/>
        <w:rPr>
          <w:rFonts w:cs="Arial"/>
          <w:color w:val="222222"/>
          <w:sz w:val="18"/>
          <w:szCs w:val="18"/>
          <w:shd w:val="clear" w:color="auto" w:fill="FFFFFF"/>
        </w:rPr>
      </w:pPr>
      <w:r>
        <w:rPr>
          <w:rFonts w:cs="Arial"/>
          <w:color w:val="222222"/>
          <w:sz w:val="18"/>
          <w:szCs w:val="18"/>
          <w:shd w:val="clear" w:color="auto" w:fill="FFFFFF"/>
        </w:rPr>
        <w:t>Case, T., Burnett, E. and Nielsen, T. (2006)</w:t>
      </w:r>
      <w:r w:rsidRPr="001E1CF9">
        <w:rPr>
          <w:rFonts w:cs="Arial"/>
          <w:color w:val="222222"/>
          <w:sz w:val="18"/>
          <w:szCs w:val="18"/>
          <w:shd w:val="clear" w:color="auto" w:fill="FFFFFF"/>
        </w:rPr>
        <w:t xml:space="preserve"> Os acromiale: population differences and their etiological significance.</w:t>
      </w:r>
      <w:r w:rsidRPr="001E1CF9">
        <w:rPr>
          <w:rStyle w:val="apple-converted-space"/>
          <w:rFonts w:cs="Arial"/>
          <w:color w:val="222222"/>
          <w:sz w:val="18"/>
          <w:szCs w:val="18"/>
          <w:shd w:val="clear" w:color="auto" w:fill="FFFFFF"/>
        </w:rPr>
        <w:t> </w:t>
      </w:r>
      <w:r w:rsidRPr="001E1CF9">
        <w:rPr>
          <w:rFonts w:cs="Arial"/>
          <w:i/>
          <w:iCs/>
          <w:color w:val="222222"/>
          <w:sz w:val="18"/>
          <w:szCs w:val="18"/>
          <w:shd w:val="clear" w:color="auto" w:fill="FFFFFF"/>
        </w:rPr>
        <w:t>HOMO-Journal of Comparative Human Biology</w:t>
      </w:r>
      <w:r w:rsidRPr="001E1CF9">
        <w:rPr>
          <w:rFonts w:cs="Arial"/>
          <w:color w:val="222222"/>
          <w:sz w:val="18"/>
          <w:szCs w:val="18"/>
          <w:shd w:val="clear" w:color="auto" w:fill="FFFFFF"/>
        </w:rPr>
        <w:t>,</w:t>
      </w:r>
      <w:r w:rsidRPr="001E1CF9">
        <w:rPr>
          <w:rStyle w:val="apple-converted-space"/>
          <w:rFonts w:cs="Arial"/>
          <w:color w:val="222222"/>
          <w:sz w:val="18"/>
          <w:szCs w:val="18"/>
          <w:shd w:val="clear" w:color="auto" w:fill="FFFFFF"/>
        </w:rPr>
        <w:t> </w:t>
      </w:r>
      <w:r w:rsidRPr="001E1CF9">
        <w:rPr>
          <w:rFonts w:cs="Arial"/>
          <w:b/>
          <w:iCs/>
          <w:color w:val="222222"/>
          <w:sz w:val="18"/>
          <w:szCs w:val="18"/>
          <w:shd w:val="clear" w:color="auto" w:fill="FFFFFF"/>
        </w:rPr>
        <w:t>57</w:t>
      </w:r>
      <w:r>
        <w:rPr>
          <w:rFonts w:cs="Arial"/>
          <w:i/>
          <w:iCs/>
          <w:color w:val="222222"/>
          <w:sz w:val="18"/>
          <w:szCs w:val="18"/>
          <w:shd w:val="clear" w:color="auto" w:fill="FFFFFF"/>
        </w:rPr>
        <w:t xml:space="preserve"> </w:t>
      </w:r>
      <w:r w:rsidRPr="001E1CF9">
        <w:rPr>
          <w:rFonts w:cs="Arial"/>
          <w:color w:val="222222"/>
          <w:sz w:val="18"/>
          <w:szCs w:val="18"/>
          <w:shd w:val="clear" w:color="auto" w:fill="FFFFFF"/>
        </w:rPr>
        <w:t>(1), 1-18.</w:t>
      </w:r>
    </w:p>
    <w:p w:rsidR="00A27044" w:rsidRPr="00B256EE" w:rsidRDefault="00A27044" w:rsidP="003B5900">
      <w:pPr>
        <w:spacing w:line="240" w:lineRule="auto"/>
        <w:jc w:val="both"/>
        <w:rPr>
          <w:rFonts w:cstheme="minorHAnsi"/>
          <w:color w:val="222222"/>
          <w:sz w:val="18"/>
          <w:szCs w:val="18"/>
          <w:shd w:val="clear" w:color="auto" w:fill="FFFFFF"/>
        </w:rPr>
      </w:pPr>
      <w:r w:rsidRPr="00B256EE">
        <w:rPr>
          <w:rFonts w:cstheme="minorHAnsi"/>
          <w:sz w:val="18"/>
          <w:szCs w:val="18"/>
        </w:rPr>
        <w:t xml:space="preserve">Clement, N., Nie, Y. and McBirnie, J. (2012) Management of degenerative rotator cuff tears: a review and treatment strategy. </w:t>
      </w:r>
      <w:r w:rsidRPr="00B256EE">
        <w:rPr>
          <w:rFonts w:cstheme="minorHAnsi"/>
          <w:i/>
          <w:sz w:val="18"/>
          <w:szCs w:val="18"/>
        </w:rPr>
        <w:t>Sports Medicine, Arthroscopy, Rehabilitation, Therapy &amp; Technology</w:t>
      </w:r>
      <w:r w:rsidRPr="00B256EE">
        <w:rPr>
          <w:rFonts w:cstheme="minorHAnsi"/>
          <w:sz w:val="18"/>
          <w:szCs w:val="18"/>
        </w:rPr>
        <w:t xml:space="preserve">, </w:t>
      </w:r>
      <w:r w:rsidRPr="00B256EE">
        <w:rPr>
          <w:rFonts w:cstheme="minorHAnsi"/>
          <w:b/>
          <w:sz w:val="18"/>
          <w:szCs w:val="18"/>
        </w:rPr>
        <w:t>4</w:t>
      </w:r>
      <w:r w:rsidRPr="00B256EE">
        <w:rPr>
          <w:rFonts w:cstheme="minorHAnsi"/>
          <w:sz w:val="18"/>
          <w:szCs w:val="18"/>
        </w:rPr>
        <w:t xml:space="preserve"> (48). </w:t>
      </w:r>
    </w:p>
    <w:p w:rsidR="00A27044" w:rsidRPr="008646C8" w:rsidRDefault="00A27044" w:rsidP="003B5900">
      <w:pPr>
        <w:spacing w:line="240" w:lineRule="auto"/>
        <w:jc w:val="both"/>
        <w:rPr>
          <w:rFonts w:cs="Arial"/>
          <w:color w:val="222222"/>
          <w:sz w:val="18"/>
          <w:szCs w:val="18"/>
          <w:shd w:val="clear" w:color="auto" w:fill="FFFFFF"/>
        </w:rPr>
      </w:pPr>
      <w:r w:rsidRPr="008646C8">
        <w:rPr>
          <w:rFonts w:cs="Arial"/>
          <w:color w:val="222222"/>
          <w:sz w:val="18"/>
          <w:szCs w:val="18"/>
          <w:shd w:val="clear" w:color="auto" w:fill="FFFFFF"/>
        </w:rPr>
        <w:t>Danforth, M. and Thompson, A. (2008) An evaluation of determination of handedness using standard osteological measurements. </w:t>
      </w:r>
      <w:r w:rsidRPr="008646C8">
        <w:rPr>
          <w:rFonts w:cs="Arial"/>
          <w:i/>
          <w:iCs/>
          <w:color w:val="222222"/>
          <w:sz w:val="18"/>
          <w:szCs w:val="18"/>
          <w:shd w:val="clear" w:color="auto" w:fill="FFFFFF"/>
        </w:rPr>
        <w:t>Journal of forensic sciences</w:t>
      </w:r>
      <w:r w:rsidRPr="008646C8">
        <w:rPr>
          <w:rFonts w:cs="Arial"/>
          <w:color w:val="222222"/>
          <w:sz w:val="18"/>
          <w:szCs w:val="18"/>
          <w:shd w:val="clear" w:color="auto" w:fill="FFFFFF"/>
        </w:rPr>
        <w:t>, </w:t>
      </w:r>
      <w:r w:rsidRPr="008646C8">
        <w:rPr>
          <w:rFonts w:cs="Arial"/>
          <w:b/>
          <w:iCs/>
          <w:color w:val="222222"/>
          <w:sz w:val="18"/>
          <w:szCs w:val="18"/>
          <w:shd w:val="clear" w:color="auto" w:fill="FFFFFF"/>
        </w:rPr>
        <w:t>53</w:t>
      </w:r>
      <w:r w:rsidRPr="008646C8">
        <w:rPr>
          <w:rFonts w:cs="Arial"/>
          <w:i/>
          <w:iCs/>
          <w:color w:val="222222"/>
          <w:sz w:val="18"/>
          <w:szCs w:val="18"/>
          <w:shd w:val="clear" w:color="auto" w:fill="FFFFFF"/>
        </w:rPr>
        <w:t xml:space="preserve"> </w:t>
      </w:r>
      <w:r w:rsidRPr="008646C8">
        <w:rPr>
          <w:rFonts w:cs="Arial"/>
          <w:color w:val="222222"/>
          <w:sz w:val="18"/>
          <w:szCs w:val="18"/>
          <w:shd w:val="clear" w:color="auto" w:fill="FFFFFF"/>
        </w:rPr>
        <w:t>(4), 777-781.</w:t>
      </w:r>
    </w:p>
    <w:p w:rsidR="00A27044" w:rsidRPr="005C6188" w:rsidRDefault="00A27044" w:rsidP="003B5900">
      <w:pPr>
        <w:spacing w:line="240" w:lineRule="auto"/>
        <w:jc w:val="both"/>
        <w:rPr>
          <w:sz w:val="18"/>
          <w:szCs w:val="18"/>
        </w:rPr>
      </w:pPr>
      <w:r w:rsidRPr="005C6188">
        <w:rPr>
          <w:rFonts w:cs="Arial"/>
          <w:color w:val="222222"/>
          <w:sz w:val="18"/>
          <w:szCs w:val="18"/>
          <w:shd w:val="clear" w:color="auto" w:fill="FFFFFF"/>
        </w:rPr>
        <w:t>Fees, M., Decker, T., Snyder-Mack</w:t>
      </w:r>
      <w:r>
        <w:rPr>
          <w:rFonts w:cs="Arial"/>
          <w:color w:val="222222"/>
          <w:sz w:val="18"/>
          <w:szCs w:val="18"/>
          <w:shd w:val="clear" w:color="auto" w:fill="FFFFFF"/>
        </w:rPr>
        <w:t>ler, L., and</w:t>
      </w:r>
      <w:r w:rsidRPr="005C6188">
        <w:rPr>
          <w:rFonts w:cs="Arial"/>
          <w:color w:val="222222"/>
          <w:sz w:val="18"/>
          <w:szCs w:val="18"/>
          <w:shd w:val="clear" w:color="auto" w:fill="FFFFFF"/>
        </w:rPr>
        <w:t xml:space="preserve"> Axe, M. J. (1998) Upper Extremity Weight-Training Modifications for the Injured Athlete A Clinical Perspective.</w:t>
      </w:r>
      <w:r w:rsidRPr="005C6188">
        <w:rPr>
          <w:rStyle w:val="apple-converted-space"/>
          <w:rFonts w:cs="Arial"/>
          <w:color w:val="222222"/>
          <w:sz w:val="18"/>
          <w:szCs w:val="18"/>
          <w:shd w:val="clear" w:color="auto" w:fill="FFFFFF"/>
        </w:rPr>
        <w:t> </w:t>
      </w:r>
      <w:r w:rsidRPr="005C6188">
        <w:rPr>
          <w:rFonts w:cs="Arial"/>
          <w:i/>
          <w:iCs/>
          <w:color w:val="222222"/>
          <w:sz w:val="18"/>
          <w:szCs w:val="18"/>
          <w:shd w:val="clear" w:color="auto" w:fill="FFFFFF"/>
        </w:rPr>
        <w:t>The American journal of sports medicine</w:t>
      </w:r>
      <w:r w:rsidRPr="005C6188">
        <w:rPr>
          <w:rFonts w:cs="Arial"/>
          <w:color w:val="222222"/>
          <w:sz w:val="18"/>
          <w:szCs w:val="18"/>
          <w:shd w:val="clear" w:color="auto" w:fill="FFFFFF"/>
        </w:rPr>
        <w:t>,</w:t>
      </w:r>
      <w:r w:rsidRPr="005C6188">
        <w:rPr>
          <w:rStyle w:val="apple-converted-space"/>
          <w:rFonts w:cs="Arial"/>
          <w:color w:val="222222"/>
          <w:sz w:val="18"/>
          <w:szCs w:val="18"/>
          <w:shd w:val="clear" w:color="auto" w:fill="FFFFFF"/>
        </w:rPr>
        <w:t> </w:t>
      </w:r>
      <w:r w:rsidRPr="005C6188">
        <w:rPr>
          <w:rFonts w:cs="Arial"/>
          <w:b/>
          <w:iCs/>
          <w:color w:val="222222"/>
          <w:sz w:val="18"/>
          <w:szCs w:val="18"/>
          <w:shd w:val="clear" w:color="auto" w:fill="FFFFFF"/>
        </w:rPr>
        <w:t>26</w:t>
      </w:r>
      <w:r>
        <w:rPr>
          <w:rFonts w:cs="Arial"/>
          <w:i/>
          <w:iCs/>
          <w:color w:val="222222"/>
          <w:sz w:val="18"/>
          <w:szCs w:val="18"/>
          <w:shd w:val="clear" w:color="auto" w:fill="FFFFFF"/>
        </w:rPr>
        <w:t xml:space="preserve"> </w:t>
      </w:r>
      <w:r w:rsidRPr="005C6188">
        <w:rPr>
          <w:rFonts w:cs="Arial"/>
          <w:color w:val="222222"/>
          <w:sz w:val="18"/>
          <w:szCs w:val="18"/>
          <w:shd w:val="clear" w:color="auto" w:fill="FFFFFF"/>
        </w:rPr>
        <w:t>(5), 732-742.</w:t>
      </w:r>
    </w:p>
    <w:p w:rsidR="00A27044" w:rsidRDefault="00A27044" w:rsidP="003B5900">
      <w:pPr>
        <w:spacing w:line="240" w:lineRule="auto"/>
        <w:jc w:val="both"/>
        <w:rPr>
          <w:sz w:val="18"/>
          <w:szCs w:val="18"/>
        </w:rPr>
      </w:pPr>
      <w:r w:rsidRPr="005858EE">
        <w:rPr>
          <w:sz w:val="18"/>
          <w:szCs w:val="18"/>
        </w:rPr>
        <w:t>Firestein, S., Budd, R., Gabriel, E., McInn</w:t>
      </w:r>
      <w:r>
        <w:rPr>
          <w:sz w:val="18"/>
          <w:szCs w:val="18"/>
        </w:rPr>
        <w:t>es, B. and O'Dell, R. (2012)</w:t>
      </w:r>
      <w:r w:rsidRPr="005858EE">
        <w:rPr>
          <w:sz w:val="18"/>
          <w:szCs w:val="18"/>
        </w:rPr>
        <w:t xml:space="preserve"> </w:t>
      </w:r>
      <w:r w:rsidRPr="005858EE">
        <w:rPr>
          <w:i/>
          <w:iCs/>
          <w:sz w:val="18"/>
          <w:szCs w:val="18"/>
        </w:rPr>
        <w:t>Kelley's textbook of rheumatology</w:t>
      </w:r>
      <w:r w:rsidRPr="005858EE">
        <w:rPr>
          <w:sz w:val="18"/>
          <w:szCs w:val="18"/>
        </w:rPr>
        <w:t>. Elsevier Health Sciences.</w:t>
      </w:r>
    </w:p>
    <w:p w:rsidR="00A27044" w:rsidRDefault="00A27044" w:rsidP="003B5900">
      <w:pPr>
        <w:spacing w:line="240" w:lineRule="auto"/>
        <w:jc w:val="both"/>
        <w:rPr>
          <w:sz w:val="18"/>
          <w:szCs w:val="18"/>
        </w:rPr>
      </w:pPr>
      <w:r>
        <w:rPr>
          <w:sz w:val="18"/>
          <w:szCs w:val="18"/>
        </w:rPr>
        <w:t xml:space="preserve">Gray, H. (1998) </w:t>
      </w:r>
      <w:r w:rsidRPr="009B21EE">
        <w:rPr>
          <w:i/>
          <w:sz w:val="18"/>
          <w:szCs w:val="18"/>
        </w:rPr>
        <w:t>Gray’s Anatomy</w:t>
      </w:r>
      <w:r>
        <w:rPr>
          <w:sz w:val="18"/>
          <w:szCs w:val="18"/>
        </w:rPr>
        <w:t xml:space="preserve">. Parragon Publishers: Magpie Books, London. </w:t>
      </w:r>
    </w:p>
    <w:p w:rsidR="00A27044" w:rsidRPr="00C25B20" w:rsidRDefault="00A27044" w:rsidP="003B5900">
      <w:pPr>
        <w:spacing w:before="144" w:line="240" w:lineRule="auto"/>
        <w:jc w:val="both"/>
        <w:rPr>
          <w:rFonts w:cs="Calibri"/>
          <w:spacing w:val="-1"/>
          <w:sz w:val="18"/>
          <w:szCs w:val="18"/>
        </w:rPr>
      </w:pPr>
      <w:r>
        <w:rPr>
          <w:rFonts w:cs="Calibri"/>
          <w:spacing w:val="-1"/>
          <w:sz w:val="18"/>
          <w:szCs w:val="18"/>
        </w:rPr>
        <w:t xml:space="preserve">Hanna, S., Teichtahl, </w:t>
      </w:r>
      <w:r w:rsidRPr="00961D7C">
        <w:rPr>
          <w:rFonts w:cs="Calibri"/>
          <w:spacing w:val="-1"/>
          <w:sz w:val="18"/>
          <w:szCs w:val="18"/>
        </w:rPr>
        <w:t xml:space="preserve"> J., Wluk</w:t>
      </w:r>
      <w:r>
        <w:rPr>
          <w:rFonts w:cs="Calibri"/>
          <w:spacing w:val="-1"/>
          <w:sz w:val="18"/>
          <w:szCs w:val="18"/>
        </w:rPr>
        <w:t xml:space="preserve">a, E., Wang, Y., Urquhart, M., English, R. and Cicuttini, </w:t>
      </w:r>
      <w:r w:rsidRPr="00961D7C">
        <w:rPr>
          <w:rFonts w:cs="Calibri"/>
          <w:spacing w:val="-1"/>
          <w:sz w:val="18"/>
          <w:szCs w:val="18"/>
        </w:rPr>
        <w:t xml:space="preserve">M. (2009). Women have increased rates of cartilage loss and progression of cartilage defects at the knee than men: a gender study of adults without clinical knee osteoarthritis. </w:t>
      </w:r>
      <w:r w:rsidRPr="00961D7C">
        <w:rPr>
          <w:rFonts w:cs="Calibri"/>
          <w:i/>
          <w:spacing w:val="-1"/>
          <w:sz w:val="18"/>
          <w:szCs w:val="18"/>
        </w:rPr>
        <w:t>Menopause</w:t>
      </w:r>
      <w:r w:rsidRPr="00961D7C">
        <w:rPr>
          <w:rFonts w:cs="Calibri"/>
          <w:spacing w:val="-1"/>
          <w:sz w:val="18"/>
          <w:szCs w:val="18"/>
        </w:rPr>
        <w:t xml:space="preserve">, </w:t>
      </w:r>
      <w:r w:rsidRPr="00961D7C">
        <w:rPr>
          <w:rFonts w:cs="Calibri"/>
          <w:b/>
          <w:spacing w:val="-1"/>
          <w:sz w:val="18"/>
          <w:szCs w:val="18"/>
        </w:rPr>
        <w:t>16</w:t>
      </w:r>
      <w:r>
        <w:rPr>
          <w:rFonts w:cs="Calibri"/>
          <w:spacing w:val="-1"/>
          <w:sz w:val="18"/>
          <w:szCs w:val="18"/>
        </w:rPr>
        <w:t xml:space="preserve"> </w:t>
      </w:r>
      <w:r w:rsidRPr="00961D7C">
        <w:rPr>
          <w:rFonts w:cs="Calibri"/>
          <w:spacing w:val="-1"/>
          <w:sz w:val="18"/>
          <w:szCs w:val="18"/>
        </w:rPr>
        <w:t>(4), 666-670.</w:t>
      </w:r>
    </w:p>
    <w:p w:rsidR="00A27044" w:rsidRPr="007A4A58" w:rsidRDefault="00A27044" w:rsidP="003B5900">
      <w:pPr>
        <w:pStyle w:val="Default"/>
        <w:spacing w:after="200"/>
        <w:jc w:val="both"/>
        <w:rPr>
          <w:rFonts w:asciiTheme="minorHAnsi" w:hAnsiTheme="minorHAnsi"/>
          <w:sz w:val="18"/>
          <w:szCs w:val="18"/>
        </w:rPr>
      </w:pPr>
      <w:r w:rsidRPr="007A4A58">
        <w:rPr>
          <w:rFonts w:asciiTheme="minorHAnsi" w:hAnsiTheme="minorHAnsi"/>
          <w:sz w:val="18"/>
          <w:szCs w:val="18"/>
        </w:rPr>
        <w:t>Henderson, C.</w:t>
      </w:r>
      <w:r>
        <w:rPr>
          <w:rFonts w:asciiTheme="minorHAnsi" w:hAnsiTheme="minorHAnsi"/>
          <w:sz w:val="18"/>
          <w:szCs w:val="18"/>
        </w:rPr>
        <w:t>,</w:t>
      </w:r>
      <w:r w:rsidRPr="007A4A58">
        <w:rPr>
          <w:rFonts w:asciiTheme="minorHAnsi" w:hAnsiTheme="minorHAnsi"/>
          <w:sz w:val="18"/>
          <w:szCs w:val="18"/>
        </w:rPr>
        <w:t xml:space="preserve"> Mariotti, V.</w:t>
      </w:r>
      <w:r>
        <w:rPr>
          <w:rFonts w:asciiTheme="minorHAnsi" w:hAnsiTheme="minorHAnsi"/>
          <w:sz w:val="18"/>
          <w:szCs w:val="18"/>
        </w:rPr>
        <w:t>,</w:t>
      </w:r>
      <w:r w:rsidRPr="007A4A58">
        <w:rPr>
          <w:rFonts w:asciiTheme="minorHAnsi" w:hAnsiTheme="minorHAnsi"/>
          <w:sz w:val="18"/>
          <w:szCs w:val="18"/>
        </w:rPr>
        <w:t xml:space="preserve"> Pany‐Kucera, D.</w:t>
      </w:r>
      <w:r>
        <w:rPr>
          <w:rFonts w:asciiTheme="minorHAnsi" w:hAnsiTheme="minorHAnsi"/>
          <w:sz w:val="18"/>
          <w:szCs w:val="18"/>
        </w:rPr>
        <w:t>,</w:t>
      </w:r>
      <w:r w:rsidRPr="007A4A58">
        <w:rPr>
          <w:rFonts w:asciiTheme="minorHAnsi" w:hAnsiTheme="minorHAnsi"/>
          <w:sz w:val="18"/>
          <w:szCs w:val="18"/>
        </w:rPr>
        <w:t xml:space="preserve"> Villotte, S. and Wilczak, C. (2015) The New ‘Coimbra Method’: A Biologically Appropriate Method for Recording Specific Features of Fibrocartilaginous Entheseal Changes. </w:t>
      </w:r>
      <w:r w:rsidRPr="007A4A58">
        <w:rPr>
          <w:rFonts w:asciiTheme="minorHAnsi" w:hAnsiTheme="minorHAnsi"/>
          <w:i/>
          <w:sz w:val="18"/>
          <w:szCs w:val="18"/>
        </w:rPr>
        <w:t>International Journal of Osteoarchaeology.</w:t>
      </w:r>
    </w:p>
    <w:p w:rsidR="00A27044" w:rsidRPr="00B256EE" w:rsidRDefault="00A27044" w:rsidP="003B5900">
      <w:pPr>
        <w:spacing w:before="144" w:line="240" w:lineRule="auto"/>
        <w:jc w:val="both"/>
        <w:rPr>
          <w:rFonts w:cstheme="minorHAnsi"/>
          <w:sz w:val="18"/>
          <w:szCs w:val="18"/>
        </w:rPr>
      </w:pPr>
      <w:r w:rsidRPr="00B256EE">
        <w:rPr>
          <w:rFonts w:cstheme="minorHAnsi"/>
          <w:sz w:val="18"/>
          <w:szCs w:val="18"/>
        </w:rPr>
        <w:t xml:space="preserve">Hovelius, L. (1982) Incidence of shoulder dislocation in Sweden. </w:t>
      </w:r>
      <w:r w:rsidRPr="00B256EE">
        <w:rPr>
          <w:rFonts w:cstheme="minorHAnsi"/>
          <w:i/>
          <w:sz w:val="18"/>
          <w:szCs w:val="18"/>
        </w:rPr>
        <w:t>Clinical Orthopaedics and Related Research</w:t>
      </w:r>
      <w:r w:rsidRPr="00B256EE">
        <w:rPr>
          <w:rFonts w:cstheme="minorHAnsi"/>
          <w:sz w:val="18"/>
          <w:szCs w:val="18"/>
        </w:rPr>
        <w:t xml:space="preserve">, </w:t>
      </w:r>
      <w:r w:rsidRPr="00B256EE">
        <w:rPr>
          <w:rFonts w:cstheme="minorHAnsi"/>
          <w:b/>
          <w:sz w:val="18"/>
          <w:szCs w:val="18"/>
        </w:rPr>
        <w:t>166</w:t>
      </w:r>
      <w:r w:rsidRPr="00B256EE">
        <w:rPr>
          <w:rFonts w:cstheme="minorHAnsi"/>
          <w:sz w:val="18"/>
          <w:szCs w:val="18"/>
        </w:rPr>
        <w:t xml:space="preserve">, 127-31. </w:t>
      </w:r>
    </w:p>
    <w:p w:rsidR="00A27044" w:rsidRPr="00B256EE" w:rsidRDefault="00A27044" w:rsidP="003B5900">
      <w:pPr>
        <w:spacing w:line="240" w:lineRule="auto"/>
        <w:jc w:val="both"/>
        <w:rPr>
          <w:rFonts w:cstheme="minorHAnsi"/>
          <w:spacing w:val="-1"/>
          <w:sz w:val="18"/>
          <w:szCs w:val="18"/>
        </w:rPr>
      </w:pPr>
      <w:r w:rsidRPr="00B256EE">
        <w:rPr>
          <w:rFonts w:cstheme="minorHAnsi"/>
          <w:color w:val="222222"/>
          <w:sz w:val="18"/>
          <w:szCs w:val="18"/>
          <w:shd w:val="clear" w:color="auto" w:fill="FFFFFF"/>
        </w:rPr>
        <w:lastRenderedPageBreak/>
        <w:t>Hunt, D. R., &amp; Bullen, L. (2007) The frequency of os acromiale in the Robert J. Terry collection. </w:t>
      </w:r>
      <w:r w:rsidRPr="00B256EE">
        <w:rPr>
          <w:rFonts w:cstheme="minorHAnsi"/>
          <w:i/>
          <w:iCs/>
          <w:color w:val="222222"/>
          <w:sz w:val="18"/>
          <w:szCs w:val="18"/>
          <w:shd w:val="clear" w:color="auto" w:fill="FFFFFF"/>
        </w:rPr>
        <w:t>International Journal of Osteoarchaeology</w:t>
      </w:r>
      <w:r w:rsidRPr="00B256EE">
        <w:rPr>
          <w:rFonts w:cstheme="minorHAnsi"/>
          <w:color w:val="222222"/>
          <w:sz w:val="18"/>
          <w:szCs w:val="18"/>
          <w:shd w:val="clear" w:color="auto" w:fill="FFFFFF"/>
        </w:rPr>
        <w:t>, </w:t>
      </w:r>
      <w:r w:rsidRPr="00B256EE">
        <w:rPr>
          <w:rFonts w:cstheme="minorHAnsi"/>
          <w:b/>
          <w:iCs/>
          <w:color w:val="222222"/>
          <w:sz w:val="18"/>
          <w:szCs w:val="18"/>
          <w:shd w:val="clear" w:color="auto" w:fill="FFFFFF"/>
        </w:rPr>
        <w:t>17</w:t>
      </w:r>
      <w:r w:rsidRPr="00B256EE">
        <w:rPr>
          <w:rFonts w:cstheme="minorHAnsi"/>
          <w:i/>
          <w:iCs/>
          <w:color w:val="222222"/>
          <w:sz w:val="18"/>
          <w:szCs w:val="18"/>
          <w:shd w:val="clear" w:color="auto" w:fill="FFFFFF"/>
        </w:rPr>
        <w:t xml:space="preserve"> </w:t>
      </w:r>
      <w:r w:rsidRPr="00B256EE">
        <w:rPr>
          <w:rFonts w:cstheme="minorHAnsi"/>
          <w:color w:val="222222"/>
          <w:sz w:val="18"/>
          <w:szCs w:val="18"/>
          <w:shd w:val="clear" w:color="auto" w:fill="FFFFFF"/>
        </w:rPr>
        <w:t>(3), 309-317.</w:t>
      </w:r>
    </w:p>
    <w:p w:rsidR="00A27044" w:rsidRPr="005858EE" w:rsidRDefault="00A27044" w:rsidP="003B5900">
      <w:pPr>
        <w:spacing w:line="240" w:lineRule="auto"/>
        <w:jc w:val="both"/>
        <w:rPr>
          <w:rFonts w:cs="Arial"/>
          <w:color w:val="222222"/>
          <w:sz w:val="18"/>
          <w:szCs w:val="18"/>
          <w:shd w:val="clear" w:color="auto" w:fill="FFFFFF"/>
        </w:rPr>
      </w:pPr>
      <w:r>
        <w:rPr>
          <w:rFonts w:cs="Arial"/>
          <w:color w:val="222222"/>
          <w:sz w:val="18"/>
          <w:szCs w:val="18"/>
          <w:shd w:val="clear" w:color="auto" w:fill="FFFFFF"/>
        </w:rPr>
        <w:t>Jobe, W. and Jobe, M. (1983)</w:t>
      </w:r>
      <w:r w:rsidRPr="005858EE">
        <w:rPr>
          <w:rFonts w:cs="Arial"/>
          <w:color w:val="222222"/>
          <w:sz w:val="18"/>
          <w:szCs w:val="18"/>
          <w:shd w:val="clear" w:color="auto" w:fill="FFFFFF"/>
        </w:rPr>
        <w:t xml:space="preserve"> Painful athletic injuries of the shoulder.</w:t>
      </w:r>
      <w:r w:rsidRPr="005858EE">
        <w:rPr>
          <w:rStyle w:val="apple-converted-space"/>
          <w:rFonts w:cs="Arial"/>
          <w:color w:val="222222"/>
          <w:sz w:val="18"/>
          <w:szCs w:val="18"/>
          <w:shd w:val="clear" w:color="auto" w:fill="FFFFFF"/>
        </w:rPr>
        <w:t> </w:t>
      </w:r>
      <w:r w:rsidRPr="005858EE">
        <w:rPr>
          <w:rFonts w:cs="Arial"/>
          <w:i/>
          <w:iCs/>
          <w:color w:val="222222"/>
          <w:sz w:val="18"/>
          <w:szCs w:val="18"/>
          <w:shd w:val="clear" w:color="auto" w:fill="FFFFFF"/>
        </w:rPr>
        <w:t>Clinical orthopaedics and related research</w:t>
      </w:r>
      <w:r w:rsidRPr="005858EE">
        <w:rPr>
          <w:rFonts w:cs="Arial"/>
          <w:color w:val="222222"/>
          <w:sz w:val="18"/>
          <w:szCs w:val="18"/>
          <w:shd w:val="clear" w:color="auto" w:fill="FFFFFF"/>
        </w:rPr>
        <w:t>,</w:t>
      </w:r>
      <w:r w:rsidRPr="005858EE">
        <w:rPr>
          <w:rStyle w:val="apple-converted-space"/>
          <w:rFonts w:cs="Arial"/>
          <w:color w:val="222222"/>
          <w:sz w:val="18"/>
          <w:szCs w:val="18"/>
          <w:shd w:val="clear" w:color="auto" w:fill="FFFFFF"/>
        </w:rPr>
        <w:t> </w:t>
      </w:r>
      <w:r w:rsidRPr="009D41BE">
        <w:rPr>
          <w:rFonts w:cs="Arial"/>
          <w:b/>
          <w:iCs/>
          <w:color w:val="222222"/>
          <w:sz w:val="18"/>
          <w:szCs w:val="18"/>
          <w:shd w:val="clear" w:color="auto" w:fill="FFFFFF"/>
        </w:rPr>
        <w:t>173</w:t>
      </w:r>
      <w:r w:rsidRPr="005858EE">
        <w:rPr>
          <w:rFonts w:cs="Arial"/>
          <w:color w:val="222222"/>
          <w:sz w:val="18"/>
          <w:szCs w:val="18"/>
          <w:shd w:val="clear" w:color="auto" w:fill="FFFFFF"/>
        </w:rPr>
        <w:t>, 117-124.</w:t>
      </w:r>
    </w:p>
    <w:p w:rsidR="00A27044" w:rsidRPr="005858EE" w:rsidRDefault="00A27044" w:rsidP="003B5900">
      <w:pPr>
        <w:spacing w:line="240" w:lineRule="auto"/>
        <w:jc w:val="both"/>
        <w:rPr>
          <w:rFonts w:cs="Arial"/>
          <w:color w:val="222222"/>
          <w:sz w:val="18"/>
          <w:szCs w:val="18"/>
          <w:shd w:val="clear" w:color="auto" w:fill="FFFFFF"/>
        </w:rPr>
      </w:pPr>
      <w:r>
        <w:rPr>
          <w:rFonts w:cs="Arial"/>
          <w:color w:val="222222"/>
          <w:sz w:val="18"/>
          <w:szCs w:val="18"/>
          <w:shd w:val="clear" w:color="auto" w:fill="FFFFFF"/>
        </w:rPr>
        <w:t>Jungers, L. (1988)</w:t>
      </w:r>
      <w:r w:rsidRPr="005858EE">
        <w:rPr>
          <w:rFonts w:cs="Arial"/>
          <w:color w:val="222222"/>
          <w:sz w:val="18"/>
          <w:szCs w:val="18"/>
          <w:shd w:val="clear" w:color="auto" w:fill="FFFFFF"/>
        </w:rPr>
        <w:t xml:space="preserve"> Relative joint size and hominoid locomotor adaptations with implications for the evolution of hominid bipedalism.</w:t>
      </w:r>
      <w:r w:rsidRPr="005858EE">
        <w:rPr>
          <w:rStyle w:val="apple-converted-space"/>
          <w:rFonts w:cs="Arial"/>
          <w:color w:val="222222"/>
          <w:sz w:val="18"/>
          <w:szCs w:val="18"/>
          <w:shd w:val="clear" w:color="auto" w:fill="FFFFFF"/>
        </w:rPr>
        <w:t> </w:t>
      </w:r>
      <w:r w:rsidRPr="005858EE">
        <w:rPr>
          <w:rFonts w:cs="Arial"/>
          <w:i/>
          <w:iCs/>
          <w:color w:val="222222"/>
          <w:sz w:val="18"/>
          <w:szCs w:val="18"/>
          <w:shd w:val="clear" w:color="auto" w:fill="FFFFFF"/>
        </w:rPr>
        <w:t>Journal of Human Evolution</w:t>
      </w:r>
      <w:r w:rsidRPr="005858EE">
        <w:rPr>
          <w:rFonts w:cs="Arial"/>
          <w:color w:val="222222"/>
          <w:sz w:val="18"/>
          <w:szCs w:val="18"/>
          <w:shd w:val="clear" w:color="auto" w:fill="FFFFFF"/>
        </w:rPr>
        <w:t>,</w:t>
      </w:r>
      <w:r w:rsidRPr="005858EE">
        <w:rPr>
          <w:rStyle w:val="apple-converted-space"/>
          <w:rFonts w:cs="Arial"/>
          <w:color w:val="222222"/>
          <w:sz w:val="18"/>
          <w:szCs w:val="18"/>
          <w:shd w:val="clear" w:color="auto" w:fill="FFFFFF"/>
        </w:rPr>
        <w:t> </w:t>
      </w:r>
      <w:r w:rsidRPr="005858EE">
        <w:rPr>
          <w:rFonts w:cs="Arial"/>
          <w:b/>
          <w:iCs/>
          <w:color w:val="222222"/>
          <w:sz w:val="18"/>
          <w:szCs w:val="18"/>
          <w:shd w:val="clear" w:color="auto" w:fill="FFFFFF"/>
        </w:rPr>
        <w:t>17</w:t>
      </w:r>
      <w:r w:rsidRPr="005858EE">
        <w:rPr>
          <w:rFonts w:cs="Arial"/>
          <w:i/>
          <w:iCs/>
          <w:color w:val="222222"/>
          <w:sz w:val="18"/>
          <w:szCs w:val="18"/>
          <w:shd w:val="clear" w:color="auto" w:fill="FFFFFF"/>
        </w:rPr>
        <w:t xml:space="preserve"> </w:t>
      </w:r>
      <w:r w:rsidRPr="005858EE">
        <w:rPr>
          <w:rFonts w:cs="Arial"/>
          <w:color w:val="222222"/>
          <w:sz w:val="18"/>
          <w:szCs w:val="18"/>
          <w:shd w:val="clear" w:color="auto" w:fill="FFFFFF"/>
        </w:rPr>
        <w:t>(1-2), 247-265.</w:t>
      </w:r>
    </w:p>
    <w:p w:rsidR="00A27044" w:rsidRPr="001E1CF9" w:rsidRDefault="00A27044" w:rsidP="003B5900">
      <w:pPr>
        <w:spacing w:line="240" w:lineRule="auto"/>
        <w:jc w:val="both"/>
        <w:rPr>
          <w:rFonts w:cs="Arial"/>
          <w:color w:val="222222"/>
          <w:sz w:val="18"/>
          <w:szCs w:val="18"/>
          <w:shd w:val="clear" w:color="auto" w:fill="FFFFFF"/>
        </w:rPr>
      </w:pPr>
      <w:r>
        <w:rPr>
          <w:rFonts w:eastAsia="Times New Roman" w:cs="Arial"/>
          <w:color w:val="222222"/>
          <w:sz w:val="18"/>
          <w:szCs w:val="18"/>
          <w:lang w:eastAsia="en-GB"/>
        </w:rPr>
        <w:t>Klaus, D., Spencer Larsen, C. and Tam, E. (2009)</w:t>
      </w:r>
      <w:r w:rsidRPr="001E1CF9">
        <w:rPr>
          <w:rFonts w:eastAsia="Times New Roman" w:cs="Arial"/>
          <w:color w:val="222222"/>
          <w:sz w:val="18"/>
          <w:szCs w:val="18"/>
          <w:lang w:eastAsia="en-GB"/>
        </w:rPr>
        <w:t xml:space="preserve"> Economic intensification and degenerative joint disease: life and labor on the postcontact north coast of Peru. </w:t>
      </w:r>
      <w:r w:rsidRPr="001E1CF9">
        <w:rPr>
          <w:rFonts w:eastAsia="Times New Roman" w:cs="Arial"/>
          <w:i/>
          <w:iCs/>
          <w:color w:val="222222"/>
          <w:sz w:val="18"/>
          <w:szCs w:val="18"/>
          <w:lang w:eastAsia="en-GB"/>
        </w:rPr>
        <w:t>American Journal of Physical Anthropology</w:t>
      </w:r>
      <w:r w:rsidRPr="001E1CF9">
        <w:rPr>
          <w:rFonts w:eastAsia="Times New Roman" w:cs="Arial"/>
          <w:color w:val="222222"/>
          <w:sz w:val="18"/>
          <w:szCs w:val="18"/>
          <w:lang w:eastAsia="en-GB"/>
        </w:rPr>
        <w:t>, </w:t>
      </w:r>
      <w:r w:rsidRPr="001E1CF9">
        <w:rPr>
          <w:rFonts w:eastAsia="Times New Roman" w:cs="Arial"/>
          <w:b/>
          <w:iCs/>
          <w:color w:val="222222"/>
          <w:sz w:val="18"/>
          <w:szCs w:val="18"/>
          <w:lang w:eastAsia="en-GB"/>
        </w:rPr>
        <w:t>139</w:t>
      </w:r>
      <w:r>
        <w:rPr>
          <w:rFonts w:eastAsia="Times New Roman" w:cs="Arial"/>
          <w:i/>
          <w:iCs/>
          <w:color w:val="222222"/>
          <w:sz w:val="18"/>
          <w:szCs w:val="18"/>
          <w:lang w:eastAsia="en-GB"/>
        </w:rPr>
        <w:t xml:space="preserve"> </w:t>
      </w:r>
      <w:r w:rsidRPr="001E1CF9">
        <w:rPr>
          <w:rFonts w:eastAsia="Times New Roman" w:cs="Arial"/>
          <w:color w:val="222222"/>
          <w:sz w:val="18"/>
          <w:szCs w:val="18"/>
          <w:lang w:eastAsia="en-GB"/>
        </w:rPr>
        <w:t>(2), 204-221.</w:t>
      </w:r>
    </w:p>
    <w:p w:rsidR="00A27044" w:rsidRPr="005C6188" w:rsidRDefault="00A27044" w:rsidP="003B5900">
      <w:pPr>
        <w:spacing w:line="240" w:lineRule="auto"/>
        <w:jc w:val="both"/>
        <w:rPr>
          <w:sz w:val="18"/>
          <w:szCs w:val="18"/>
        </w:rPr>
      </w:pPr>
      <w:r>
        <w:rPr>
          <w:rFonts w:cs="Arial"/>
          <w:color w:val="222222"/>
          <w:sz w:val="18"/>
          <w:szCs w:val="18"/>
          <w:shd w:val="clear" w:color="auto" w:fill="FFFFFF"/>
        </w:rPr>
        <w:t xml:space="preserve">Kolber, J., Beekhuizen, S., Cheng, S. and Hellman, </w:t>
      </w:r>
      <w:r w:rsidRPr="005C6188">
        <w:rPr>
          <w:rFonts w:cs="Arial"/>
          <w:color w:val="222222"/>
          <w:sz w:val="18"/>
          <w:szCs w:val="18"/>
          <w:shd w:val="clear" w:color="auto" w:fill="FFFFFF"/>
        </w:rPr>
        <w:t>A. (2010) Shoulder injuries attributed to resistance training: a brief review.</w:t>
      </w:r>
      <w:r w:rsidRPr="005C6188">
        <w:rPr>
          <w:rStyle w:val="apple-converted-space"/>
          <w:rFonts w:cs="Arial"/>
          <w:color w:val="222222"/>
          <w:sz w:val="18"/>
          <w:szCs w:val="18"/>
          <w:shd w:val="clear" w:color="auto" w:fill="FFFFFF"/>
        </w:rPr>
        <w:t> </w:t>
      </w:r>
      <w:r w:rsidRPr="005C6188">
        <w:rPr>
          <w:rFonts w:cs="Arial"/>
          <w:i/>
          <w:iCs/>
          <w:color w:val="222222"/>
          <w:sz w:val="18"/>
          <w:szCs w:val="18"/>
          <w:shd w:val="clear" w:color="auto" w:fill="FFFFFF"/>
        </w:rPr>
        <w:t>The Journal of Strength &amp; Conditioning Research</w:t>
      </w:r>
      <w:r w:rsidRPr="005C6188">
        <w:rPr>
          <w:rFonts w:cs="Arial"/>
          <w:color w:val="222222"/>
          <w:sz w:val="18"/>
          <w:szCs w:val="18"/>
          <w:shd w:val="clear" w:color="auto" w:fill="FFFFFF"/>
        </w:rPr>
        <w:t>,</w:t>
      </w:r>
      <w:r w:rsidRPr="005C6188">
        <w:rPr>
          <w:rStyle w:val="apple-converted-space"/>
          <w:rFonts w:cs="Arial"/>
          <w:color w:val="222222"/>
          <w:sz w:val="18"/>
          <w:szCs w:val="18"/>
          <w:shd w:val="clear" w:color="auto" w:fill="FFFFFF"/>
        </w:rPr>
        <w:t> </w:t>
      </w:r>
      <w:r w:rsidRPr="005C6188">
        <w:rPr>
          <w:rFonts w:cs="Arial"/>
          <w:b/>
          <w:iCs/>
          <w:color w:val="222222"/>
          <w:sz w:val="18"/>
          <w:szCs w:val="18"/>
          <w:shd w:val="clear" w:color="auto" w:fill="FFFFFF"/>
        </w:rPr>
        <w:t>24</w:t>
      </w:r>
      <w:r>
        <w:rPr>
          <w:rFonts w:cs="Arial"/>
          <w:i/>
          <w:iCs/>
          <w:color w:val="222222"/>
          <w:sz w:val="18"/>
          <w:szCs w:val="18"/>
          <w:shd w:val="clear" w:color="auto" w:fill="FFFFFF"/>
        </w:rPr>
        <w:t xml:space="preserve"> </w:t>
      </w:r>
      <w:r w:rsidRPr="005C6188">
        <w:rPr>
          <w:rFonts w:cs="Arial"/>
          <w:color w:val="222222"/>
          <w:sz w:val="18"/>
          <w:szCs w:val="18"/>
          <w:shd w:val="clear" w:color="auto" w:fill="FFFFFF"/>
        </w:rPr>
        <w:t>(6), 1696-1704.</w:t>
      </w:r>
    </w:p>
    <w:p w:rsidR="00A27044" w:rsidRPr="00B256EE" w:rsidRDefault="00A27044" w:rsidP="003B5900">
      <w:pPr>
        <w:spacing w:before="144" w:line="240" w:lineRule="auto"/>
        <w:jc w:val="both"/>
        <w:rPr>
          <w:rFonts w:cstheme="minorHAnsi"/>
          <w:spacing w:val="-1"/>
          <w:sz w:val="18"/>
          <w:szCs w:val="18"/>
        </w:rPr>
      </w:pPr>
      <w:r w:rsidRPr="00B256EE">
        <w:rPr>
          <w:rFonts w:cstheme="minorHAnsi"/>
          <w:color w:val="222222"/>
          <w:sz w:val="18"/>
          <w:szCs w:val="18"/>
          <w:shd w:val="clear" w:color="auto" w:fill="FFFFFF"/>
        </w:rPr>
        <w:t>Kvaal, I. and Derry, K. (1996) Tell-tale teeth: abrasion from the traditional clay pipe. </w:t>
      </w:r>
      <w:r w:rsidRPr="00B256EE">
        <w:rPr>
          <w:rFonts w:cstheme="minorHAnsi"/>
          <w:i/>
          <w:iCs/>
          <w:color w:val="222222"/>
          <w:sz w:val="18"/>
          <w:szCs w:val="18"/>
          <w:shd w:val="clear" w:color="auto" w:fill="FFFFFF"/>
        </w:rPr>
        <w:t>Endeavour</w:t>
      </w:r>
      <w:r w:rsidRPr="00B256EE">
        <w:rPr>
          <w:rFonts w:cstheme="minorHAnsi"/>
          <w:color w:val="222222"/>
          <w:sz w:val="18"/>
          <w:szCs w:val="18"/>
          <w:shd w:val="clear" w:color="auto" w:fill="FFFFFF"/>
        </w:rPr>
        <w:t>, </w:t>
      </w:r>
      <w:r w:rsidRPr="00B256EE">
        <w:rPr>
          <w:rFonts w:cstheme="minorHAnsi"/>
          <w:b/>
          <w:iCs/>
          <w:color w:val="222222"/>
          <w:sz w:val="18"/>
          <w:szCs w:val="18"/>
          <w:shd w:val="clear" w:color="auto" w:fill="FFFFFF"/>
        </w:rPr>
        <w:t>20</w:t>
      </w:r>
      <w:r w:rsidRPr="00B256EE">
        <w:rPr>
          <w:rFonts w:cstheme="minorHAnsi"/>
          <w:i/>
          <w:iCs/>
          <w:color w:val="222222"/>
          <w:sz w:val="18"/>
          <w:szCs w:val="18"/>
          <w:shd w:val="clear" w:color="auto" w:fill="FFFFFF"/>
        </w:rPr>
        <w:t xml:space="preserve"> </w:t>
      </w:r>
      <w:r w:rsidRPr="00B256EE">
        <w:rPr>
          <w:rFonts w:cstheme="minorHAnsi"/>
          <w:color w:val="222222"/>
          <w:sz w:val="18"/>
          <w:szCs w:val="18"/>
          <w:shd w:val="clear" w:color="auto" w:fill="FFFFFF"/>
        </w:rPr>
        <w:t>(1), 28-30.</w:t>
      </w:r>
    </w:p>
    <w:p w:rsidR="00A27044" w:rsidRDefault="00A27044" w:rsidP="003B5900">
      <w:pPr>
        <w:spacing w:line="240" w:lineRule="auto"/>
        <w:jc w:val="both"/>
        <w:rPr>
          <w:rFonts w:eastAsia="Times New Roman" w:cs="Arial"/>
          <w:color w:val="222222"/>
          <w:sz w:val="18"/>
          <w:szCs w:val="18"/>
          <w:lang w:eastAsia="en-GB"/>
        </w:rPr>
      </w:pPr>
      <w:r>
        <w:rPr>
          <w:rFonts w:eastAsia="Times New Roman" w:cs="Arial"/>
          <w:color w:val="222222"/>
          <w:sz w:val="18"/>
          <w:szCs w:val="18"/>
          <w:lang w:eastAsia="en-GB"/>
        </w:rPr>
        <w:t>Lai, P. and</w:t>
      </w:r>
      <w:r w:rsidRPr="00AF2C71">
        <w:rPr>
          <w:rFonts w:eastAsia="Times New Roman" w:cs="Arial"/>
          <w:color w:val="222222"/>
          <w:sz w:val="18"/>
          <w:szCs w:val="18"/>
          <w:lang w:eastAsia="en-GB"/>
        </w:rPr>
        <w:t xml:space="preserve"> </w:t>
      </w:r>
      <w:r>
        <w:rPr>
          <w:rFonts w:eastAsia="Times New Roman" w:cs="Arial"/>
          <w:color w:val="222222"/>
          <w:sz w:val="18"/>
          <w:szCs w:val="18"/>
          <w:lang w:eastAsia="en-GB"/>
        </w:rPr>
        <w:t>Lovell, C. (1992)</w:t>
      </w:r>
      <w:r w:rsidRPr="00AF2C71">
        <w:rPr>
          <w:rFonts w:eastAsia="Times New Roman" w:cs="Arial"/>
          <w:color w:val="222222"/>
          <w:sz w:val="18"/>
          <w:szCs w:val="18"/>
          <w:lang w:eastAsia="en-GB"/>
        </w:rPr>
        <w:t xml:space="preserve"> Skeletal markers of occupational stress in the fur trade: a case study from a Hudson's Bay Company fur trade post.</w:t>
      </w:r>
      <w:r w:rsidRPr="001E1CF9">
        <w:rPr>
          <w:rFonts w:eastAsia="Times New Roman" w:cs="Arial"/>
          <w:color w:val="222222"/>
          <w:sz w:val="18"/>
          <w:szCs w:val="18"/>
          <w:lang w:eastAsia="en-GB"/>
        </w:rPr>
        <w:t> </w:t>
      </w:r>
      <w:r w:rsidRPr="00AF2C71">
        <w:rPr>
          <w:rFonts w:eastAsia="Times New Roman" w:cs="Arial"/>
          <w:i/>
          <w:iCs/>
          <w:color w:val="222222"/>
          <w:sz w:val="18"/>
          <w:szCs w:val="18"/>
          <w:lang w:eastAsia="en-GB"/>
        </w:rPr>
        <w:t>International Journal of Osteoarchaeology</w:t>
      </w:r>
      <w:r w:rsidRPr="00AF2C71">
        <w:rPr>
          <w:rFonts w:eastAsia="Times New Roman" w:cs="Arial"/>
          <w:color w:val="222222"/>
          <w:sz w:val="18"/>
          <w:szCs w:val="18"/>
          <w:lang w:eastAsia="en-GB"/>
        </w:rPr>
        <w:t>,</w:t>
      </w:r>
      <w:r w:rsidRPr="001E1CF9">
        <w:rPr>
          <w:rFonts w:eastAsia="Times New Roman" w:cs="Arial"/>
          <w:color w:val="222222"/>
          <w:sz w:val="18"/>
          <w:szCs w:val="18"/>
          <w:lang w:eastAsia="en-GB"/>
        </w:rPr>
        <w:t> </w:t>
      </w:r>
      <w:r w:rsidRPr="00AF2C71">
        <w:rPr>
          <w:rFonts w:eastAsia="Times New Roman" w:cs="Arial"/>
          <w:b/>
          <w:iCs/>
          <w:color w:val="222222"/>
          <w:sz w:val="18"/>
          <w:szCs w:val="18"/>
          <w:lang w:eastAsia="en-GB"/>
        </w:rPr>
        <w:t>2</w:t>
      </w:r>
      <w:r>
        <w:rPr>
          <w:rFonts w:eastAsia="Times New Roman" w:cs="Arial"/>
          <w:i/>
          <w:iCs/>
          <w:color w:val="222222"/>
          <w:sz w:val="18"/>
          <w:szCs w:val="18"/>
          <w:lang w:eastAsia="en-GB"/>
        </w:rPr>
        <w:t xml:space="preserve"> </w:t>
      </w:r>
      <w:r w:rsidRPr="00AF2C71">
        <w:rPr>
          <w:rFonts w:eastAsia="Times New Roman" w:cs="Arial"/>
          <w:color w:val="222222"/>
          <w:sz w:val="18"/>
          <w:szCs w:val="18"/>
          <w:lang w:eastAsia="en-GB"/>
        </w:rPr>
        <w:t>(3), 221-234.</w:t>
      </w:r>
    </w:p>
    <w:p w:rsidR="00A27044" w:rsidRPr="007A4A58" w:rsidRDefault="00A27044" w:rsidP="003B5900">
      <w:pPr>
        <w:spacing w:line="240" w:lineRule="auto"/>
        <w:jc w:val="both"/>
        <w:rPr>
          <w:rFonts w:cs="Arial"/>
          <w:color w:val="222222"/>
          <w:sz w:val="18"/>
          <w:szCs w:val="18"/>
          <w:shd w:val="clear" w:color="auto" w:fill="FFFFFF"/>
        </w:rPr>
      </w:pPr>
      <w:r w:rsidRPr="007A4A58">
        <w:rPr>
          <w:rFonts w:cs="Arial"/>
          <w:color w:val="222222"/>
          <w:sz w:val="18"/>
          <w:szCs w:val="18"/>
          <w:shd w:val="clear" w:color="auto" w:fill="FFFFFF"/>
        </w:rPr>
        <w:t>Lewis, M. (2002) Impact of industrialization: comparative study of child health in four sites from medieval and postmedieval England (AD 850–1859).</w:t>
      </w:r>
      <w:r w:rsidRPr="007A4A58">
        <w:rPr>
          <w:rStyle w:val="apple-converted-space"/>
          <w:rFonts w:cs="Arial"/>
          <w:color w:val="222222"/>
          <w:sz w:val="18"/>
          <w:szCs w:val="18"/>
          <w:shd w:val="clear" w:color="auto" w:fill="FFFFFF"/>
        </w:rPr>
        <w:t> </w:t>
      </w:r>
      <w:r w:rsidRPr="007A4A58">
        <w:rPr>
          <w:rFonts w:cs="Arial"/>
          <w:i/>
          <w:iCs/>
          <w:color w:val="222222"/>
          <w:sz w:val="18"/>
          <w:szCs w:val="18"/>
          <w:shd w:val="clear" w:color="auto" w:fill="FFFFFF"/>
        </w:rPr>
        <w:t>American Journal of Physical Anthropology</w:t>
      </w:r>
      <w:r w:rsidRPr="007A4A58">
        <w:rPr>
          <w:rFonts w:cs="Arial"/>
          <w:i/>
          <w:color w:val="222222"/>
          <w:sz w:val="18"/>
          <w:szCs w:val="18"/>
          <w:shd w:val="clear" w:color="auto" w:fill="FFFFFF"/>
        </w:rPr>
        <w:t>,</w:t>
      </w:r>
      <w:r w:rsidRPr="007A4A58">
        <w:rPr>
          <w:rStyle w:val="apple-converted-space"/>
          <w:rFonts w:cs="Arial"/>
          <w:color w:val="222222"/>
          <w:sz w:val="18"/>
          <w:szCs w:val="18"/>
          <w:shd w:val="clear" w:color="auto" w:fill="FFFFFF"/>
        </w:rPr>
        <w:t> </w:t>
      </w:r>
      <w:r w:rsidRPr="007A4A58">
        <w:rPr>
          <w:rFonts w:cs="Arial"/>
          <w:b/>
          <w:iCs/>
          <w:color w:val="222222"/>
          <w:sz w:val="18"/>
          <w:szCs w:val="18"/>
          <w:shd w:val="clear" w:color="auto" w:fill="FFFFFF"/>
        </w:rPr>
        <w:t>119</w:t>
      </w:r>
      <w:r w:rsidRPr="007A4A58">
        <w:rPr>
          <w:rFonts w:cs="Arial"/>
          <w:iCs/>
          <w:color w:val="222222"/>
          <w:sz w:val="18"/>
          <w:szCs w:val="18"/>
          <w:shd w:val="clear" w:color="auto" w:fill="FFFFFF"/>
        </w:rPr>
        <w:t xml:space="preserve"> </w:t>
      </w:r>
      <w:r w:rsidRPr="007A4A58">
        <w:rPr>
          <w:rFonts w:cs="Arial"/>
          <w:color w:val="222222"/>
          <w:sz w:val="18"/>
          <w:szCs w:val="18"/>
          <w:shd w:val="clear" w:color="auto" w:fill="FFFFFF"/>
        </w:rPr>
        <w:t>(3), 211-223.</w:t>
      </w:r>
    </w:p>
    <w:p w:rsidR="00A27044" w:rsidRPr="007A4A58" w:rsidRDefault="00A27044" w:rsidP="003B5900">
      <w:pPr>
        <w:spacing w:line="240" w:lineRule="auto"/>
        <w:jc w:val="both"/>
        <w:rPr>
          <w:rFonts w:cs="Arial"/>
          <w:color w:val="222222"/>
          <w:sz w:val="18"/>
          <w:szCs w:val="18"/>
          <w:shd w:val="clear" w:color="auto" w:fill="FFFFFF"/>
        </w:rPr>
      </w:pPr>
      <w:r w:rsidRPr="007A4A58">
        <w:rPr>
          <w:rFonts w:cs="Arial"/>
          <w:color w:val="222222"/>
          <w:sz w:val="18"/>
          <w:szCs w:val="18"/>
          <w:shd w:val="clear" w:color="auto" w:fill="FFFFFF"/>
        </w:rPr>
        <w:t>L</w:t>
      </w:r>
      <w:r>
        <w:rPr>
          <w:rFonts w:cs="Arial"/>
          <w:color w:val="222222"/>
          <w:sz w:val="18"/>
          <w:szCs w:val="18"/>
          <w:shd w:val="clear" w:color="auto" w:fill="FFFFFF"/>
        </w:rPr>
        <w:t>ewis, M. and Gowland, R. (2007)</w:t>
      </w:r>
      <w:r w:rsidRPr="007A4A58">
        <w:rPr>
          <w:rFonts w:cs="Arial"/>
          <w:color w:val="222222"/>
          <w:sz w:val="18"/>
          <w:szCs w:val="18"/>
          <w:shd w:val="clear" w:color="auto" w:fill="FFFFFF"/>
        </w:rPr>
        <w:t xml:space="preserve"> Brief and precarious lives: Infant mortality in contrasting sites from medieval and post</w:t>
      </w:r>
      <w:r w:rsidRPr="007A4A58">
        <w:rPr>
          <w:rFonts w:cs="Cambria Math"/>
          <w:color w:val="222222"/>
          <w:sz w:val="18"/>
          <w:szCs w:val="18"/>
          <w:shd w:val="clear" w:color="auto" w:fill="FFFFFF"/>
        </w:rPr>
        <w:t>‐</w:t>
      </w:r>
      <w:r w:rsidRPr="007A4A58">
        <w:rPr>
          <w:rFonts w:cs="Arial"/>
          <w:color w:val="222222"/>
          <w:sz w:val="18"/>
          <w:szCs w:val="18"/>
          <w:shd w:val="clear" w:color="auto" w:fill="FFFFFF"/>
        </w:rPr>
        <w:t>medieval England (AD 850–1859).</w:t>
      </w:r>
      <w:r w:rsidRPr="007A4A58">
        <w:rPr>
          <w:rStyle w:val="apple-converted-space"/>
          <w:rFonts w:cs="Arial"/>
          <w:color w:val="222222"/>
          <w:sz w:val="18"/>
          <w:szCs w:val="18"/>
          <w:shd w:val="clear" w:color="auto" w:fill="FFFFFF"/>
        </w:rPr>
        <w:t> </w:t>
      </w:r>
      <w:r w:rsidRPr="007A4A58">
        <w:rPr>
          <w:rFonts w:cs="Arial"/>
          <w:i/>
          <w:iCs/>
          <w:color w:val="222222"/>
          <w:sz w:val="18"/>
          <w:szCs w:val="18"/>
          <w:shd w:val="clear" w:color="auto" w:fill="FFFFFF"/>
        </w:rPr>
        <w:t>American Journal of Physical Anthropology</w:t>
      </w:r>
      <w:r>
        <w:rPr>
          <w:rFonts w:cs="Arial"/>
          <w:color w:val="222222"/>
          <w:sz w:val="18"/>
          <w:szCs w:val="18"/>
          <w:shd w:val="clear" w:color="auto" w:fill="FFFFFF"/>
        </w:rPr>
        <w:t>,</w:t>
      </w:r>
      <w:r w:rsidRPr="007A4A58">
        <w:rPr>
          <w:rStyle w:val="apple-converted-space"/>
          <w:rFonts w:cs="Arial"/>
          <w:color w:val="222222"/>
          <w:sz w:val="18"/>
          <w:szCs w:val="18"/>
          <w:shd w:val="clear" w:color="auto" w:fill="FFFFFF"/>
        </w:rPr>
        <w:t> </w:t>
      </w:r>
      <w:r w:rsidRPr="007A4A58">
        <w:rPr>
          <w:rFonts w:cs="Arial"/>
          <w:b/>
          <w:iCs/>
          <w:color w:val="222222"/>
          <w:sz w:val="18"/>
          <w:szCs w:val="18"/>
          <w:shd w:val="clear" w:color="auto" w:fill="FFFFFF"/>
        </w:rPr>
        <w:t>134</w:t>
      </w:r>
      <w:r w:rsidRPr="007A4A58">
        <w:rPr>
          <w:rFonts w:cs="Arial"/>
          <w:i/>
          <w:iCs/>
          <w:color w:val="222222"/>
          <w:sz w:val="18"/>
          <w:szCs w:val="18"/>
          <w:shd w:val="clear" w:color="auto" w:fill="FFFFFF"/>
        </w:rPr>
        <w:t xml:space="preserve"> </w:t>
      </w:r>
      <w:r w:rsidRPr="007A4A58">
        <w:rPr>
          <w:rFonts w:cs="Arial"/>
          <w:color w:val="222222"/>
          <w:sz w:val="18"/>
          <w:szCs w:val="18"/>
          <w:shd w:val="clear" w:color="auto" w:fill="FFFFFF"/>
        </w:rPr>
        <w:t>(1), 117-129.</w:t>
      </w:r>
    </w:p>
    <w:p w:rsidR="00A27044" w:rsidRPr="00A42F24" w:rsidRDefault="00A27044" w:rsidP="003B5900">
      <w:pPr>
        <w:spacing w:line="240" w:lineRule="auto"/>
        <w:jc w:val="both"/>
        <w:rPr>
          <w:rFonts w:cs="Arial"/>
          <w:color w:val="222222"/>
          <w:sz w:val="18"/>
          <w:szCs w:val="18"/>
          <w:shd w:val="clear" w:color="auto" w:fill="FFFFFF"/>
        </w:rPr>
      </w:pPr>
      <w:r>
        <w:rPr>
          <w:rFonts w:cs="Arial"/>
          <w:color w:val="222222"/>
          <w:sz w:val="18"/>
          <w:szCs w:val="18"/>
          <w:shd w:val="clear" w:color="auto" w:fill="FFFFFF"/>
        </w:rPr>
        <w:t>Lloyd, M. (2008)</w:t>
      </w:r>
      <w:r w:rsidRPr="007A4A58">
        <w:rPr>
          <w:rFonts w:cs="Arial"/>
          <w:color w:val="222222"/>
          <w:sz w:val="18"/>
          <w:szCs w:val="18"/>
          <w:shd w:val="clear" w:color="auto" w:fill="FFFFFF"/>
        </w:rPr>
        <w:t xml:space="preserve"> Forensic Anthropology, Paleopathology, and the Creation of Osteobiographies.</w:t>
      </w:r>
      <w:r w:rsidRPr="007A4A58">
        <w:rPr>
          <w:rStyle w:val="apple-converted-space"/>
          <w:rFonts w:cs="Arial"/>
          <w:color w:val="222222"/>
          <w:sz w:val="18"/>
          <w:szCs w:val="18"/>
          <w:shd w:val="clear" w:color="auto" w:fill="FFFFFF"/>
        </w:rPr>
        <w:t> </w:t>
      </w:r>
      <w:r w:rsidRPr="007A4A58">
        <w:rPr>
          <w:rFonts w:cs="Arial"/>
          <w:i/>
          <w:iCs/>
          <w:color w:val="222222"/>
          <w:sz w:val="18"/>
          <w:szCs w:val="18"/>
          <w:shd w:val="clear" w:color="auto" w:fill="FFFFFF"/>
        </w:rPr>
        <w:t>Culture, Society and Praxis</w:t>
      </w:r>
      <w:r w:rsidRPr="007A4A58">
        <w:rPr>
          <w:rFonts w:cs="Arial"/>
          <w:color w:val="222222"/>
          <w:sz w:val="18"/>
          <w:szCs w:val="18"/>
          <w:shd w:val="clear" w:color="auto" w:fill="FFFFFF"/>
        </w:rPr>
        <w:t>,</w:t>
      </w:r>
      <w:r w:rsidRPr="007A4A58">
        <w:rPr>
          <w:rStyle w:val="apple-converted-space"/>
          <w:rFonts w:cs="Arial"/>
          <w:color w:val="222222"/>
          <w:sz w:val="18"/>
          <w:szCs w:val="18"/>
          <w:shd w:val="clear" w:color="auto" w:fill="FFFFFF"/>
        </w:rPr>
        <w:t> </w:t>
      </w:r>
      <w:r w:rsidRPr="009D41BE">
        <w:rPr>
          <w:rFonts w:cs="Arial"/>
          <w:b/>
          <w:iCs/>
          <w:color w:val="222222"/>
          <w:sz w:val="18"/>
          <w:szCs w:val="18"/>
          <w:shd w:val="clear" w:color="auto" w:fill="FFFFFF"/>
        </w:rPr>
        <w:t>7</w:t>
      </w:r>
      <w:r>
        <w:rPr>
          <w:rFonts w:cs="Arial"/>
          <w:i/>
          <w:iCs/>
          <w:color w:val="222222"/>
          <w:sz w:val="18"/>
          <w:szCs w:val="18"/>
          <w:shd w:val="clear" w:color="auto" w:fill="FFFFFF"/>
        </w:rPr>
        <w:t xml:space="preserve"> </w:t>
      </w:r>
      <w:r w:rsidRPr="007A4A58">
        <w:rPr>
          <w:rFonts w:cs="Arial"/>
          <w:color w:val="222222"/>
          <w:sz w:val="18"/>
          <w:szCs w:val="18"/>
          <w:shd w:val="clear" w:color="auto" w:fill="FFFFFF"/>
        </w:rPr>
        <w:t>(2).</w:t>
      </w:r>
    </w:p>
    <w:p w:rsidR="00A27044" w:rsidRPr="007A4A58" w:rsidRDefault="00A27044" w:rsidP="003B5900">
      <w:pPr>
        <w:spacing w:line="240" w:lineRule="auto"/>
        <w:jc w:val="both"/>
        <w:rPr>
          <w:rFonts w:cs="Arial"/>
          <w:color w:val="222222"/>
          <w:sz w:val="18"/>
          <w:szCs w:val="18"/>
          <w:shd w:val="clear" w:color="auto" w:fill="FFFFFF"/>
        </w:rPr>
      </w:pPr>
      <w:r w:rsidRPr="007A4A58">
        <w:rPr>
          <w:rFonts w:cs="Arial"/>
          <w:color w:val="222222"/>
          <w:sz w:val="18"/>
          <w:szCs w:val="18"/>
          <w:shd w:val="clear" w:color="auto" w:fill="FFFFFF"/>
        </w:rPr>
        <w:t>Loeb, L. (1994)</w:t>
      </w:r>
      <w:r w:rsidRPr="007A4A58">
        <w:rPr>
          <w:rStyle w:val="apple-converted-space"/>
          <w:rFonts w:cs="Arial"/>
          <w:color w:val="222222"/>
          <w:sz w:val="18"/>
          <w:szCs w:val="18"/>
          <w:shd w:val="clear" w:color="auto" w:fill="FFFFFF"/>
        </w:rPr>
        <w:t> </w:t>
      </w:r>
      <w:r w:rsidRPr="007A4A58">
        <w:rPr>
          <w:rFonts w:cs="Arial"/>
          <w:i/>
          <w:iCs/>
          <w:color w:val="222222"/>
          <w:sz w:val="18"/>
          <w:szCs w:val="18"/>
          <w:shd w:val="clear" w:color="auto" w:fill="FFFFFF"/>
        </w:rPr>
        <w:t>Consuming angels: advertising and Victorian women</w:t>
      </w:r>
      <w:r w:rsidRPr="007A4A58">
        <w:rPr>
          <w:rFonts w:cs="Arial"/>
          <w:color w:val="222222"/>
          <w:sz w:val="18"/>
          <w:szCs w:val="18"/>
          <w:shd w:val="clear" w:color="auto" w:fill="FFFFFF"/>
        </w:rPr>
        <w:t>. Oxford University Press.</w:t>
      </w:r>
    </w:p>
    <w:p w:rsidR="00A27044" w:rsidRPr="007A4A58" w:rsidRDefault="00A27044" w:rsidP="003B5900">
      <w:pPr>
        <w:spacing w:line="240" w:lineRule="auto"/>
        <w:jc w:val="both"/>
        <w:rPr>
          <w:rFonts w:cs="Arial"/>
          <w:color w:val="222222"/>
          <w:sz w:val="18"/>
          <w:szCs w:val="18"/>
          <w:shd w:val="clear" w:color="auto" w:fill="FFFFFF"/>
        </w:rPr>
      </w:pPr>
      <w:r>
        <w:rPr>
          <w:rFonts w:cs="Arial"/>
          <w:color w:val="222222"/>
          <w:sz w:val="18"/>
          <w:szCs w:val="18"/>
          <w:shd w:val="clear" w:color="auto" w:fill="FFFFFF"/>
        </w:rPr>
        <w:t>Lovejoy, O., Meindl, S., Pryzbeck, R. and Mensforth, P. (1985)</w:t>
      </w:r>
      <w:r w:rsidRPr="007A4A58">
        <w:rPr>
          <w:rFonts w:cs="Arial"/>
          <w:color w:val="222222"/>
          <w:sz w:val="18"/>
          <w:szCs w:val="18"/>
          <w:shd w:val="clear" w:color="auto" w:fill="FFFFFF"/>
        </w:rPr>
        <w:t xml:space="preserve"> Chronological metamorphosis of the auricular surface of the ilium: a new method for the determination of adult skeletal age at death.</w:t>
      </w:r>
      <w:r w:rsidRPr="007A4A58">
        <w:rPr>
          <w:rStyle w:val="apple-converted-space"/>
          <w:rFonts w:cs="Arial"/>
          <w:color w:val="222222"/>
          <w:sz w:val="18"/>
          <w:szCs w:val="18"/>
          <w:shd w:val="clear" w:color="auto" w:fill="FFFFFF"/>
        </w:rPr>
        <w:t> </w:t>
      </w:r>
      <w:r w:rsidRPr="007A4A58">
        <w:rPr>
          <w:rFonts w:cs="Arial"/>
          <w:i/>
          <w:iCs/>
          <w:color w:val="222222"/>
          <w:sz w:val="18"/>
          <w:szCs w:val="18"/>
          <w:shd w:val="clear" w:color="auto" w:fill="FFFFFF"/>
        </w:rPr>
        <w:t>American journal of physical anthropology</w:t>
      </w:r>
      <w:r w:rsidRPr="007A4A58">
        <w:rPr>
          <w:rFonts w:cs="Arial"/>
          <w:color w:val="222222"/>
          <w:sz w:val="18"/>
          <w:szCs w:val="18"/>
          <w:shd w:val="clear" w:color="auto" w:fill="FFFFFF"/>
        </w:rPr>
        <w:t>,</w:t>
      </w:r>
      <w:r w:rsidRPr="007A4A58">
        <w:rPr>
          <w:rStyle w:val="apple-converted-space"/>
          <w:rFonts w:cs="Arial"/>
          <w:color w:val="222222"/>
          <w:sz w:val="18"/>
          <w:szCs w:val="18"/>
          <w:shd w:val="clear" w:color="auto" w:fill="FFFFFF"/>
        </w:rPr>
        <w:t> </w:t>
      </w:r>
      <w:r w:rsidRPr="007A4A58">
        <w:rPr>
          <w:rFonts w:cs="Arial"/>
          <w:b/>
          <w:iCs/>
          <w:color w:val="222222"/>
          <w:sz w:val="18"/>
          <w:szCs w:val="18"/>
          <w:shd w:val="clear" w:color="auto" w:fill="FFFFFF"/>
        </w:rPr>
        <w:t>68</w:t>
      </w:r>
      <w:r>
        <w:rPr>
          <w:rFonts w:cs="Arial"/>
          <w:i/>
          <w:iCs/>
          <w:color w:val="222222"/>
          <w:sz w:val="18"/>
          <w:szCs w:val="18"/>
          <w:shd w:val="clear" w:color="auto" w:fill="FFFFFF"/>
        </w:rPr>
        <w:t xml:space="preserve"> </w:t>
      </w:r>
      <w:r w:rsidRPr="007A4A58">
        <w:rPr>
          <w:rFonts w:cs="Arial"/>
          <w:color w:val="222222"/>
          <w:sz w:val="18"/>
          <w:szCs w:val="18"/>
          <w:shd w:val="clear" w:color="auto" w:fill="FFFFFF"/>
        </w:rPr>
        <w:t>(1), 15-28.</w:t>
      </w:r>
    </w:p>
    <w:p w:rsidR="00A27044" w:rsidRPr="000105A4" w:rsidRDefault="00A27044" w:rsidP="003B5900">
      <w:pPr>
        <w:spacing w:line="240" w:lineRule="auto"/>
        <w:jc w:val="both"/>
        <w:rPr>
          <w:rFonts w:cstheme="minorHAnsi"/>
          <w:color w:val="333333"/>
          <w:sz w:val="18"/>
          <w:szCs w:val="18"/>
          <w:shd w:val="clear" w:color="auto" w:fill="FFFFFF"/>
        </w:rPr>
      </w:pPr>
      <w:r w:rsidRPr="000105A4">
        <w:rPr>
          <w:rFonts w:cstheme="minorHAnsi"/>
          <w:color w:val="222222"/>
          <w:sz w:val="18"/>
          <w:szCs w:val="18"/>
          <w:shd w:val="clear" w:color="auto" w:fill="FFFFFF"/>
        </w:rPr>
        <w:t>Mitchell, K., Banks, S., Morgan, D. and Sugaya, H. (2003) Shoulder motions during the golf swing in male amateur golfers. </w:t>
      </w:r>
      <w:r w:rsidRPr="000105A4">
        <w:rPr>
          <w:rFonts w:cstheme="minorHAnsi"/>
          <w:i/>
          <w:iCs/>
          <w:color w:val="222222"/>
          <w:sz w:val="18"/>
          <w:szCs w:val="18"/>
          <w:shd w:val="clear" w:color="auto" w:fill="FFFFFF"/>
        </w:rPr>
        <w:t>Journal of Orthopaedic &amp; Sports Physical Therapy</w:t>
      </w:r>
      <w:r w:rsidRPr="000105A4">
        <w:rPr>
          <w:rFonts w:cstheme="minorHAnsi"/>
          <w:color w:val="222222"/>
          <w:sz w:val="18"/>
          <w:szCs w:val="18"/>
          <w:shd w:val="clear" w:color="auto" w:fill="FFFFFF"/>
        </w:rPr>
        <w:t>, </w:t>
      </w:r>
      <w:r w:rsidRPr="000105A4">
        <w:rPr>
          <w:rFonts w:cstheme="minorHAnsi"/>
          <w:b/>
          <w:iCs/>
          <w:color w:val="222222"/>
          <w:sz w:val="18"/>
          <w:szCs w:val="18"/>
          <w:shd w:val="clear" w:color="auto" w:fill="FFFFFF"/>
        </w:rPr>
        <w:t>33</w:t>
      </w:r>
      <w:r w:rsidRPr="000105A4">
        <w:rPr>
          <w:rFonts w:cstheme="minorHAnsi"/>
          <w:i/>
          <w:iCs/>
          <w:color w:val="222222"/>
          <w:sz w:val="18"/>
          <w:szCs w:val="18"/>
          <w:shd w:val="clear" w:color="auto" w:fill="FFFFFF"/>
        </w:rPr>
        <w:t xml:space="preserve"> </w:t>
      </w:r>
      <w:r w:rsidRPr="000105A4">
        <w:rPr>
          <w:rFonts w:cstheme="minorHAnsi"/>
          <w:color w:val="222222"/>
          <w:sz w:val="18"/>
          <w:szCs w:val="18"/>
          <w:shd w:val="clear" w:color="auto" w:fill="FFFFFF"/>
        </w:rPr>
        <w:t>(4), 196-203.</w:t>
      </w:r>
    </w:p>
    <w:p w:rsidR="00A27044" w:rsidRDefault="00A27044" w:rsidP="003B5900">
      <w:pPr>
        <w:spacing w:line="240" w:lineRule="auto"/>
        <w:jc w:val="both"/>
        <w:rPr>
          <w:rFonts w:cs="Arial"/>
          <w:color w:val="222222"/>
          <w:sz w:val="18"/>
          <w:szCs w:val="18"/>
          <w:shd w:val="clear" w:color="auto" w:fill="FFFFFF"/>
        </w:rPr>
      </w:pPr>
      <w:r>
        <w:rPr>
          <w:rFonts w:cs="Arial"/>
          <w:color w:val="222222"/>
          <w:sz w:val="18"/>
          <w:szCs w:val="18"/>
          <w:shd w:val="clear" w:color="auto" w:fill="FFFFFF"/>
        </w:rPr>
        <w:t>Molleson, T. (2007)</w:t>
      </w:r>
      <w:r w:rsidRPr="007A4A58">
        <w:rPr>
          <w:rFonts w:cs="Arial"/>
          <w:color w:val="222222"/>
          <w:sz w:val="18"/>
          <w:szCs w:val="18"/>
          <w:shd w:val="clear" w:color="auto" w:fill="FFFFFF"/>
        </w:rPr>
        <w:t xml:space="preserve"> A method for the study of activity related skeletal morphologies.</w:t>
      </w:r>
      <w:r w:rsidRPr="007A4A58">
        <w:rPr>
          <w:rStyle w:val="apple-converted-space"/>
          <w:rFonts w:cs="Arial"/>
          <w:color w:val="222222"/>
          <w:sz w:val="18"/>
          <w:szCs w:val="18"/>
          <w:shd w:val="clear" w:color="auto" w:fill="FFFFFF"/>
        </w:rPr>
        <w:t> </w:t>
      </w:r>
      <w:r w:rsidRPr="007A4A58">
        <w:rPr>
          <w:rFonts w:cs="Arial"/>
          <w:i/>
          <w:iCs/>
          <w:color w:val="222222"/>
          <w:sz w:val="18"/>
          <w:szCs w:val="18"/>
          <w:shd w:val="clear" w:color="auto" w:fill="FFFFFF"/>
        </w:rPr>
        <w:t>Bioarchaeology of the Near East</w:t>
      </w:r>
      <w:r w:rsidRPr="007A4A58">
        <w:rPr>
          <w:rFonts w:cs="Arial"/>
          <w:color w:val="222222"/>
          <w:sz w:val="18"/>
          <w:szCs w:val="18"/>
          <w:shd w:val="clear" w:color="auto" w:fill="FFFFFF"/>
        </w:rPr>
        <w:t>,</w:t>
      </w:r>
      <w:r w:rsidRPr="007A4A58">
        <w:rPr>
          <w:rStyle w:val="apple-converted-space"/>
          <w:rFonts w:cs="Arial"/>
          <w:color w:val="222222"/>
          <w:sz w:val="18"/>
          <w:szCs w:val="18"/>
          <w:shd w:val="clear" w:color="auto" w:fill="FFFFFF"/>
        </w:rPr>
        <w:t> </w:t>
      </w:r>
      <w:r w:rsidRPr="007A4A58">
        <w:rPr>
          <w:rFonts w:cs="Arial"/>
          <w:b/>
          <w:iCs/>
          <w:color w:val="222222"/>
          <w:sz w:val="18"/>
          <w:szCs w:val="18"/>
          <w:shd w:val="clear" w:color="auto" w:fill="FFFFFF"/>
        </w:rPr>
        <w:t>1</w:t>
      </w:r>
      <w:r w:rsidRPr="007A4A58">
        <w:rPr>
          <w:rFonts w:cs="Arial"/>
          <w:color w:val="222222"/>
          <w:sz w:val="18"/>
          <w:szCs w:val="18"/>
          <w:shd w:val="clear" w:color="auto" w:fill="FFFFFF"/>
        </w:rPr>
        <w:t>, 5-33.</w:t>
      </w:r>
    </w:p>
    <w:p w:rsidR="00A27044" w:rsidRPr="00424FCA" w:rsidRDefault="00A27044" w:rsidP="003B5900">
      <w:pPr>
        <w:spacing w:line="240" w:lineRule="auto"/>
        <w:jc w:val="both"/>
        <w:rPr>
          <w:rFonts w:cs="Arial"/>
          <w:color w:val="333333"/>
          <w:sz w:val="18"/>
          <w:szCs w:val="18"/>
          <w:shd w:val="clear" w:color="auto" w:fill="FFFFFF"/>
        </w:rPr>
      </w:pPr>
      <w:r>
        <w:rPr>
          <w:rFonts w:cs="Arial"/>
          <w:color w:val="333333"/>
          <w:sz w:val="18"/>
          <w:szCs w:val="18"/>
          <w:shd w:val="clear" w:color="auto" w:fill="FFFFFF"/>
        </w:rPr>
        <w:t>Morgan, R.</w:t>
      </w:r>
      <w:r w:rsidRPr="00424FCA">
        <w:rPr>
          <w:rFonts w:cs="Arial"/>
          <w:color w:val="333333"/>
          <w:sz w:val="18"/>
          <w:szCs w:val="18"/>
          <w:shd w:val="clear" w:color="auto" w:fill="FFFFFF"/>
        </w:rPr>
        <w:t xml:space="preserve"> </w:t>
      </w:r>
      <w:r>
        <w:rPr>
          <w:rFonts w:cs="Arial"/>
          <w:color w:val="333333"/>
          <w:sz w:val="18"/>
          <w:szCs w:val="18"/>
          <w:shd w:val="clear" w:color="auto" w:fill="FFFFFF"/>
        </w:rPr>
        <w:t>(1992)</w:t>
      </w:r>
      <w:r w:rsidRPr="00424FCA">
        <w:rPr>
          <w:rFonts w:cs="Arial"/>
          <w:color w:val="333333"/>
          <w:sz w:val="18"/>
          <w:szCs w:val="18"/>
          <w:shd w:val="clear" w:color="auto" w:fill="FFFFFF"/>
        </w:rPr>
        <w:t xml:space="preserve"> Chichester: A documentary history, 1st ed, Chichester, Sussex: Phillmore &amp; Co Ltd.</w:t>
      </w:r>
    </w:p>
    <w:p w:rsidR="00A27044" w:rsidRPr="00A40555" w:rsidRDefault="00A27044" w:rsidP="003B5900">
      <w:pPr>
        <w:spacing w:line="360" w:lineRule="auto"/>
        <w:jc w:val="both"/>
        <w:rPr>
          <w:rFonts w:cstheme="minorHAnsi"/>
          <w:sz w:val="18"/>
          <w:szCs w:val="18"/>
        </w:rPr>
      </w:pPr>
      <w:r w:rsidRPr="00A40555">
        <w:rPr>
          <w:rFonts w:cstheme="minorHAnsi"/>
          <w:color w:val="222222"/>
          <w:sz w:val="18"/>
          <w:szCs w:val="18"/>
          <w:shd w:val="clear" w:color="auto" w:fill="FFFFFF"/>
        </w:rPr>
        <w:t>Mytum, H. (2004) </w:t>
      </w:r>
      <w:r w:rsidRPr="00A40555">
        <w:rPr>
          <w:rFonts w:cstheme="minorHAnsi"/>
          <w:i/>
          <w:iCs/>
          <w:color w:val="222222"/>
          <w:sz w:val="18"/>
          <w:szCs w:val="18"/>
          <w:shd w:val="clear" w:color="auto" w:fill="FFFFFF"/>
        </w:rPr>
        <w:t>Mortuary monuments and burial grounds of the historic period</w:t>
      </w:r>
      <w:r w:rsidRPr="00A40555">
        <w:rPr>
          <w:rFonts w:cstheme="minorHAnsi"/>
          <w:color w:val="222222"/>
          <w:sz w:val="18"/>
          <w:szCs w:val="18"/>
          <w:shd w:val="clear" w:color="auto" w:fill="FFFFFF"/>
        </w:rPr>
        <w:t>. Springer: Science and Business Media.</w:t>
      </w:r>
    </w:p>
    <w:p w:rsidR="00A27044" w:rsidRPr="00B256EE" w:rsidRDefault="00A27044" w:rsidP="003B5900">
      <w:pPr>
        <w:spacing w:line="240" w:lineRule="auto"/>
        <w:jc w:val="both"/>
        <w:rPr>
          <w:rFonts w:cstheme="minorHAnsi"/>
          <w:sz w:val="18"/>
          <w:szCs w:val="18"/>
        </w:rPr>
      </w:pPr>
      <w:r w:rsidRPr="00B256EE">
        <w:rPr>
          <w:rFonts w:cstheme="minorHAnsi"/>
          <w:sz w:val="18"/>
          <w:szCs w:val="18"/>
        </w:rPr>
        <w:t>Neer, S. (1983) Impingement lesions.</w:t>
      </w:r>
      <w:r w:rsidRPr="00B256EE">
        <w:rPr>
          <w:rFonts w:cstheme="minorHAnsi"/>
          <w:i/>
          <w:sz w:val="18"/>
          <w:szCs w:val="18"/>
        </w:rPr>
        <w:t xml:space="preserve"> Clinical Orthopaedic Related Research, </w:t>
      </w:r>
      <w:r w:rsidRPr="00B256EE">
        <w:rPr>
          <w:rFonts w:cstheme="minorHAnsi"/>
          <w:b/>
          <w:sz w:val="18"/>
          <w:szCs w:val="18"/>
        </w:rPr>
        <w:t>173</w:t>
      </w:r>
      <w:r w:rsidRPr="00B256EE">
        <w:rPr>
          <w:rFonts w:cstheme="minorHAnsi"/>
          <w:sz w:val="18"/>
          <w:szCs w:val="18"/>
        </w:rPr>
        <w:t>, 70–77.</w:t>
      </w:r>
    </w:p>
    <w:p w:rsidR="00A27044" w:rsidRPr="005858EE" w:rsidRDefault="00A27044" w:rsidP="003B5900">
      <w:pPr>
        <w:spacing w:line="240" w:lineRule="auto"/>
        <w:jc w:val="both"/>
        <w:rPr>
          <w:rFonts w:cs="Arial"/>
          <w:color w:val="222222"/>
          <w:sz w:val="18"/>
          <w:szCs w:val="18"/>
          <w:shd w:val="clear" w:color="auto" w:fill="FFFFFF"/>
        </w:rPr>
      </w:pPr>
      <w:r>
        <w:rPr>
          <w:rFonts w:cs="Arial"/>
          <w:color w:val="222222"/>
          <w:sz w:val="18"/>
          <w:szCs w:val="18"/>
          <w:shd w:val="clear" w:color="auto" w:fill="FFFFFF"/>
        </w:rPr>
        <w:t>Nirschl, P. (1988)</w:t>
      </w:r>
      <w:r w:rsidRPr="005858EE">
        <w:rPr>
          <w:rFonts w:cs="Arial"/>
          <w:color w:val="222222"/>
          <w:sz w:val="18"/>
          <w:szCs w:val="18"/>
          <w:shd w:val="clear" w:color="auto" w:fill="FFFFFF"/>
        </w:rPr>
        <w:t xml:space="preserve"> Prevention and treatment of elbow and shoulder injuries in the tennis player.</w:t>
      </w:r>
      <w:r w:rsidRPr="005858EE">
        <w:rPr>
          <w:rStyle w:val="apple-converted-space"/>
          <w:rFonts w:cs="Arial"/>
          <w:color w:val="222222"/>
          <w:sz w:val="18"/>
          <w:szCs w:val="18"/>
          <w:shd w:val="clear" w:color="auto" w:fill="FFFFFF"/>
        </w:rPr>
        <w:t> </w:t>
      </w:r>
      <w:r w:rsidRPr="005858EE">
        <w:rPr>
          <w:rFonts w:cs="Arial"/>
          <w:i/>
          <w:iCs/>
          <w:color w:val="222222"/>
          <w:sz w:val="18"/>
          <w:szCs w:val="18"/>
          <w:shd w:val="clear" w:color="auto" w:fill="FFFFFF"/>
        </w:rPr>
        <w:t>Clinics in sports medicine</w:t>
      </w:r>
      <w:r w:rsidRPr="005858EE">
        <w:rPr>
          <w:rFonts w:cs="Arial"/>
          <w:color w:val="222222"/>
          <w:sz w:val="18"/>
          <w:szCs w:val="18"/>
          <w:shd w:val="clear" w:color="auto" w:fill="FFFFFF"/>
        </w:rPr>
        <w:t>,</w:t>
      </w:r>
      <w:r w:rsidRPr="005858EE">
        <w:rPr>
          <w:rStyle w:val="apple-converted-space"/>
          <w:rFonts w:cs="Arial"/>
          <w:color w:val="222222"/>
          <w:sz w:val="18"/>
          <w:szCs w:val="18"/>
          <w:shd w:val="clear" w:color="auto" w:fill="FFFFFF"/>
        </w:rPr>
        <w:t> </w:t>
      </w:r>
      <w:r w:rsidRPr="009D41BE">
        <w:rPr>
          <w:rFonts w:cs="Arial"/>
          <w:b/>
          <w:iCs/>
          <w:color w:val="222222"/>
          <w:sz w:val="18"/>
          <w:szCs w:val="18"/>
          <w:shd w:val="clear" w:color="auto" w:fill="FFFFFF"/>
        </w:rPr>
        <w:t>7</w:t>
      </w:r>
      <w:r>
        <w:rPr>
          <w:rFonts w:cs="Arial"/>
          <w:color w:val="222222"/>
          <w:sz w:val="18"/>
          <w:szCs w:val="18"/>
          <w:shd w:val="clear" w:color="auto" w:fill="FFFFFF"/>
        </w:rPr>
        <w:t xml:space="preserve"> </w:t>
      </w:r>
      <w:r w:rsidRPr="005858EE">
        <w:rPr>
          <w:rFonts w:cs="Arial"/>
          <w:color w:val="222222"/>
          <w:sz w:val="18"/>
          <w:szCs w:val="18"/>
          <w:shd w:val="clear" w:color="auto" w:fill="FFFFFF"/>
        </w:rPr>
        <w:t>(2), 289-308.</w:t>
      </w:r>
    </w:p>
    <w:p w:rsidR="00A27044" w:rsidRPr="005858EE" w:rsidRDefault="00A27044" w:rsidP="003B5900">
      <w:pPr>
        <w:spacing w:line="240" w:lineRule="auto"/>
        <w:jc w:val="both"/>
        <w:rPr>
          <w:rFonts w:cs="Arial"/>
          <w:color w:val="222222"/>
          <w:sz w:val="18"/>
          <w:szCs w:val="18"/>
          <w:shd w:val="clear" w:color="auto" w:fill="FFFFFF"/>
        </w:rPr>
      </w:pPr>
      <w:r>
        <w:rPr>
          <w:rFonts w:cs="Arial"/>
          <w:color w:val="222222"/>
          <w:sz w:val="18"/>
          <w:szCs w:val="18"/>
          <w:shd w:val="clear" w:color="auto" w:fill="FFFFFF"/>
        </w:rPr>
        <w:t>Nordqvist, A. and Petersson, J. (1995)</w:t>
      </w:r>
      <w:r w:rsidRPr="005858EE">
        <w:rPr>
          <w:rFonts w:cs="Arial"/>
          <w:color w:val="222222"/>
          <w:sz w:val="18"/>
          <w:szCs w:val="18"/>
          <w:shd w:val="clear" w:color="auto" w:fill="FFFFFF"/>
        </w:rPr>
        <w:t xml:space="preserve"> Incidence and causes of shoulder girdle injuries in an urban population.</w:t>
      </w:r>
      <w:r w:rsidRPr="005858EE">
        <w:rPr>
          <w:rStyle w:val="apple-converted-space"/>
          <w:rFonts w:cs="Arial"/>
          <w:color w:val="222222"/>
          <w:sz w:val="18"/>
          <w:szCs w:val="18"/>
          <w:shd w:val="clear" w:color="auto" w:fill="FFFFFF"/>
        </w:rPr>
        <w:t> </w:t>
      </w:r>
      <w:r w:rsidRPr="005858EE">
        <w:rPr>
          <w:rFonts w:cs="Arial"/>
          <w:i/>
          <w:iCs/>
          <w:color w:val="222222"/>
          <w:sz w:val="18"/>
          <w:szCs w:val="18"/>
          <w:shd w:val="clear" w:color="auto" w:fill="FFFFFF"/>
        </w:rPr>
        <w:t>Journal of Shoulder and Elbow Surgery</w:t>
      </w:r>
      <w:r w:rsidRPr="005858EE">
        <w:rPr>
          <w:rFonts w:cs="Arial"/>
          <w:color w:val="222222"/>
          <w:sz w:val="18"/>
          <w:szCs w:val="18"/>
          <w:shd w:val="clear" w:color="auto" w:fill="FFFFFF"/>
        </w:rPr>
        <w:t>,</w:t>
      </w:r>
      <w:r w:rsidRPr="005858EE">
        <w:rPr>
          <w:rStyle w:val="apple-converted-space"/>
          <w:rFonts w:cs="Arial"/>
          <w:color w:val="222222"/>
          <w:sz w:val="18"/>
          <w:szCs w:val="18"/>
          <w:shd w:val="clear" w:color="auto" w:fill="FFFFFF"/>
        </w:rPr>
        <w:t> </w:t>
      </w:r>
      <w:r w:rsidRPr="009D41BE">
        <w:rPr>
          <w:rFonts w:cs="Arial"/>
          <w:b/>
          <w:iCs/>
          <w:color w:val="222222"/>
          <w:sz w:val="18"/>
          <w:szCs w:val="18"/>
          <w:shd w:val="clear" w:color="auto" w:fill="FFFFFF"/>
        </w:rPr>
        <w:t>4</w:t>
      </w:r>
      <w:r>
        <w:rPr>
          <w:rFonts w:cs="Arial"/>
          <w:i/>
          <w:iCs/>
          <w:color w:val="222222"/>
          <w:sz w:val="18"/>
          <w:szCs w:val="18"/>
          <w:shd w:val="clear" w:color="auto" w:fill="FFFFFF"/>
        </w:rPr>
        <w:t xml:space="preserve"> </w:t>
      </w:r>
      <w:r w:rsidRPr="005858EE">
        <w:rPr>
          <w:rFonts w:cs="Arial"/>
          <w:color w:val="222222"/>
          <w:sz w:val="18"/>
          <w:szCs w:val="18"/>
          <w:shd w:val="clear" w:color="auto" w:fill="FFFFFF"/>
        </w:rPr>
        <w:t>(2), 107-112.</w:t>
      </w:r>
    </w:p>
    <w:p w:rsidR="00A27044" w:rsidRPr="00B256EE" w:rsidRDefault="00A27044" w:rsidP="003B5900">
      <w:pPr>
        <w:spacing w:before="144" w:line="240" w:lineRule="auto"/>
        <w:jc w:val="both"/>
        <w:rPr>
          <w:rFonts w:cstheme="minorHAnsi"/>
          <w:spacing w:val="-1"/>
          <w:sz w:val="18"/>
          <w:szCs w:val="18"/>
        </w:rPr>
      </w:pPr>
      <w:bookmarkStart w:id="24" w:name="_Hlk484946463"/>
      <w:r w:rsidRPr="00B256EE">
        <w:rPr>
          <w:rFonts w:cstheme="minorHAnsi"/>
          <w:color w:val="222222"/>
          <w:sz w:val="18"/>
          <w:szCs w:val="18"/>
          <w:shd w:val="clear" w:color="auto" w:fill="FFFFFF"/>
        </w:rPr>
        <w:t>Oygucu</w:t>
      </w:r>
      <w:bookmarkEnd w:id="24"/>
      <w:r w:rsidRPr="00B256EE">
        <w:rPr>
          <w:rFonts w:cstheme="minorHAnsi"/>
          <w:color w:val="222222"/>
          <w:sz w:val="18"/>
          <w:szCs w:val="18"/>
          <w:shd w:val="clear" w:color="auto" w:fill="FFFFFF"/>
        </w:rPr>
        <w:t>, H., Kurt, A., Ikiz, I., Erem, T. and Davies, C. (1998) Squatting facets on the neck of the talus and extensions of the trochlear surface of the talus in late Byzantine males. </w:t>
      </w:r>
      <w:r w:rsidRPr="00B256EE">
        <w:rPr>
          <w:rFonts w:cstheme="minorHAnsi"/>
          <w:i/>
          <w:iCs/>
          <w:color w:val="222222"/>
          <w:sz w:val="18"/>
          <w:szCs w:val="18"/>
          <w:shd w:val="clear" w:color="auto" w:fill="FFFFFF"/>
        </w:rPr>
        <w:t>Journal of anatomy</w:t>
      </w:r>
      <w:r w:rsidRPr="00B256EE">
        <w:rPr>
          <w:rFonts w:cstheme="minorHAnsi"/>
          <w:color w:val="222222"/>
          <w:sz w:val="18"/>
          <w:szCs w:val="18"/>
          <w:shd w:val="clear" w:color="auto" w:fill="FFFFFF"/>
        </w:rPr>
        <w:t>, </w:t>
      </w:r>
      <w:r w:rsidRPr="00B256EE">
        <w:rPr>
          <w:rFonts w:cstheme="minorHAnsi"/>
          <w:b/>
          <w:iCs/>
          <w:color w:val="222222"/>
          <w:sz w:val="18"/>
          <w:szCs w:val="18"/>
          <w:shd w:val="clear" w:color="auto" w:fill="FFFFFF"/>
        </w:rPr>
        <w:t>192</w:t>
      </w:r>
      <w:r w:rsidRPr="00B256EE">
        <w:rPr>
          <w:rFonts w:cstheme="minorHAnsi"/>
          <w:i/>
          <w:iCs/>
          <w:color w:val="222222"/>
          <w:sz w:val="18"/>
          <w:szCs w:val="18"/>
          <w:shd w:val="clear" w:color="auto" w:fill="FFFFFF"/>
        </w:rPr>
        <w:t xml:space="preserve"> </w:t>
      </w:r>
      <w:r w:rsidRPr="00B256EE">
        <w:rPr>
          <w:rFonts w:cstheme="minorHAnsi"/>
          <w:color w:val="222222"/>
          <w:sz w:val="18"/>
          <w:szCs w:val="18"/>
          <w:shd w:val="clear" w:color="auto" w:fill="FFFFFF"/>
        </w:rPr>
        <w:t>(2), 287-291.</w:t>
      </w:r>
    </w:p>
    <w:p w:rsidR="00A27044" w:rsidRPr="007A4A58" w:rsidRDefault="00A27044" w:rsidP="003B5900">
      <w:pPr>
        <w:spacing w:line="240" w:lineRule="auto"/>
        <w:jc w:val="both"/>
        <w:rPr>
          <w:rFonts w:cs="Arial"/>
          <w:color w:val="222222"/>
          <w:sz w:val="18"/>
          <w:szCs w:val="18"/>
          <w:shd w:val="clear" w:color="auto" w:fill="FFFFFF"/>
        </w:rPr>
      </w:pPr>
      <w:r>
        <w:rPr>
          <w:rFonts w:cs="Arial"/>
          <w:color w:val="222222"/>
          <w:sz w:val="18"/>
          <w:szCs w:val="18"/>
          <w:shd w:val="clear" w:color="auto" w:fill="FFFFFF"/>
        </w:rPr>
        <w:t>Peterson, J. (2002)</w:t>
      </w:r>
      <w:r w:rsidRPr="007A4A58">
        <w:rPr>
          <w:rStyle w:val="apple-converted-space"/>
          <w:rFonts w:cs="Arial"/>
          <w:color w:val="222222"/>
          <w:sz w:val="18"/>
          <w:szCs w:val="18"/>
          <w:shd w:val="clear" w:color="auto" w:fill="FFFFFF"/>
        </w:rPr>
        <w:t> </w:t>
      </w:r>
      <w:r w:rsidRPr="007A4A58">
        <w:rPr>
          <w:rFonts w:cs="Arial"/>
          <w:i/>
          <w:iCs/>
          <w:color w:val="222222"/>
          <w:sz w:val="18"/>
          <w:szCs w:val="18"/>
          <w:shd w:val="clear" w:color="auto" w:fill="FFFFFF"/>
        </w:rPr>
        <w:t>Sexual revolutions: gender and labor at the dawn of agriculture</w:t>
      </w:r>
      <w:r w:rsidRPr="007A4A58">
        <w:rPr>
          <w:rStyle w:val="apple-converted-space"/>
          <w:rFonts w:cs="Arial"/>
          <w:color w:val="222222"/>
          <w:sz w:val="18"/>
          <w:szCs w:val="18"/>
          <w:shd w:val="clear" w:color="auto" w:fill="FFFFFF"/>
        </w:rPr>
        <w:t> </w:t>
      </w:r>
      <w:r w:rsidRPr="007A4A58">
        <w:rPr>
          <w:rFonts w:cs="Arial"/>
          <w:color w:val="222222"/>
          <w:sz w:val="18"/>
          <w:szCs w:val="18"/>
          <w:shd w:val="clear" w:color="auto" w:fill="FFFFFF"/>
        </w:rPr>
        <w:t>(Vol. 4). Rowman Altamira.</w:t>
      </w:r>
    </w:p>
    <w:p w:rsidR="00A27044" w:rsidRPr="007A4A58" w:rsidRDefault="00A27044" w:rsidP="003B5900">
      <w:pPr>
        <w:spacing w:line="240" w:lineRule="auto"/>
        <w:jc w:val="both"/>
        <w:rPr>
          <w:rFonts w:cs="Arial"/>
          <w:color w:val="222222"/>
          <w:sz w:val="18"/>
          <w:szCs w:val="18"/>
          <w:shd w:val="clear" w:color="auto" w:fill="FFFFFF"/>
        </w:rPr>
      </w:pPr>
      <w:r>
        <w:rPr>
          <w:rFonts w:cs="Arial"/>
          <w:color w:val="222222"/>
          <w:sz w:val="18"/>
          <w:szCs w:val="18"/>
          <w:shd w:val="clear" w:color="auto" w:fill="FFFFFF"/>
        </w:rPr>
        <w:t>Phenice, W. (1969)</w:t>
      </w:r>
      <w:r w:rsidRPr="007A4A58">
        <w:rPr>
          <w:rFonts w:cs="Arial"/>
          <w:color w:val="222222"/>
          <w:sz w:val="18"/>
          <w:szCs w:val="18"/>
          <w:shd w:val="clear" w:color="auto" w:fill="FFFFFF"/>
        </w:rPr>
        <w:t xml:space="preserve"> A newly developed visual method of sexing the os pubis.</w:t>
      </w:r>
      <w:r w:rsidRPr="007A4A58">
        <w:rPr>
          <w:rStyle w:val="apple-converted-space"/>
          <w:rFonts w:cs="Arial"/>
          <w:color w:val="222222"/>
          <w:sz w:val="18"/>
          <w:szCs w:val="18"/>
          <w:shd w:val="clear" w:color="auto" w:fill="FFFFFF"/>
        </w:rPr>
        <w:t> </w:t>
      </w:r>
      <w:r w:rsidRPr="007A4A58">
        <w:rPr>
          <w:rFonts w:cs="Arial"/>
          <w:i/>
          <w:iCs/>
          <w:color w:val="222222"/>
          <w:sz w:val="18"/>
          <w:szCs w:val="18"/>
          <w:shd w:val="clear" w:color="auto" w:fill="FFFFFF"/>
        </w:rPr>
        <w:t>American Journal of Physical Anthropology</w:t>
      </w:r>
      <w:r w:rsidRPr="007A4A58">
        <w:rPr>
          <w:rFonts w:cs="Arial"/>
          <w:color w:val="222222"/>
          <w:sz w:val="18"/>
          <w:szCs w:val="18"/>
          <w:shd w:val="clear" w:color="auto" w:fill="FFFFFF"/>
        </w:rPr>
        <w:t>,</w:t>
      </w:r>
      <w:r w:rsidRPr="007A4A58">
        <w:rPr>
          <w:rStyle w:val="apple-converted-space"/>
          <w:rFonts w:cs="Arial"/>
          <w:color w:val="222222"/>
          <w:sz w:val="18"/>
          <w:szCs w:val="18"/>
          <w:shd w:val="clear" w:color="auto" w:fill="FFFFFF"/>
        </w:rPr>
        <w:t> </w:t>
      </w:r>
      <w:r w:rsidRPr="007A4A58">
        <w:rPr>
          <w:rFonts w:cs="Arial"/>
          <w:b/>
          <w:iCs/>
          <w:color w:val="222222"/>
          <w:sz w:val="18"/>
          <w:szCs w:val="18"/>
          <w:shd w:val="clear" w:color="auto" w:fill="FFFFFF"/>
        </w:rPr>
        <w:t xml:space="preserve">30 </w:t>
      </w:r>
      <w:r w:rsidRPr="007A4A58">
        <w:rPr>
          <w:rFonts w:cs="Arial"/>
          <w:color w:val="222222"/>
          <w:sz w:val="18"/>
          <w:szCs w:val="18"/>
          <w:shd w:val="clear" w:color="auto" w:fill="FFFFFF"/>
        </w:rPr>
        <w:t>(2), 297-301.</w:t>
      </w:r>
    </w:p>
    <w:p w:rsidR="00A27044" w:rsidRPr="007165B6" w:rsidRDefault="00A27044" w:rsidP="003B5900">
      <w:pPr>
        <w:spacing w:line="240" w:lineRule="auto"/>
        <w:jc w:val="both"/>
        <w:rPr>
          <w:rFonts w:cs="Arial"/>
          <w:color w:val="222222"/>
          <w:sz w:val="18"/>
          <w:szCs w:val="18"/>
          <w:shd w:val="clear" w:color="auto" w:fill="FFFFFF"/>
        </w:rPr>
      </w:pPr>
      <w:r>
        <w:rPr>
          <w:rFonts w:cs="Arial"/>
          <w:color w:val="222222"/>
          <w:sz w:val="18"/>
          <w:szCs w:val="18"/>
          <w:shd w:val="clear" w:color="auto" w:fill="FFFFFF"/>
        </w:rPr>
        <w:t>Pinchbeck, I. (2013)</w:t>
      </w:r>
      <w:r w:rsidRPr="007165B6">
        <w:rPr>
          <w:rStyle w:val="apple-converted-space"/>
          <w:rFonts w:cs="Arial"/>
          <w:color w:val="222222"/>
          <w:sz w:val="18"/>
          <w:szCs w:val="18"/>
          <w:shd w:val="clear" w:color="auto" w:fill="FFFFFF"/>
        </w:rPr>
        <w:t> </w:t>
      </w:r>
      <w:r w:rsidRPr="007165B6">
        <w:rPr>
          <w:rFonts w:cs="Arial"/>
          <w:i/>
          <w:iCs/>
          <w:color w:val="222222"/>
          <w:sz w:val="18"/>
          <w:szCs w:val="18"/>
          <w:shd w:val="clear" w:color="auto" w:fill="FFFFFF"/>
        </w:rPr>
        <w:t>Women workers in the industrial revolution</w:t>
      </w:r>
      <w:r w:rsidRPr="007165B6">
        <w:rPr>
          <w:rFonts w:cs="Arial"/>
          <w:color w:val="222222"/>
          <w:sz w:val="18"/>
          <w:szCs w:val="18"/>
          <w:shd w:val="clear" w:color="auto" w:fill="FFFFFF"/>
        </w:rPr>
        <w:t>. Routledge.</w:t>
      </w:r>
    </w:p>
    <w:p w:rsidR="00A27044" w:rsidRPr="007A4A58" w:rsidRDefault="00A27044" w:rsidP="003B5900">
      <w:pPr>
        <w:spacing w:line="240" w:lineRule="auto"/>
        <w:jc w:val="both"/>
        <w:rPr>
          <w:rFonts w:cs="Arial"/>
          <w:color w:val="222222"/>
          <w:sz w:val="18"/>
          <w:szCs w:val="18"/>
          <w:shd w:val="clear" w:color="auto" w:fill="FFFFFF"/>
        </w:rPr>
      </w:pPr>
      <w:r w:rsidRPr="007A4A58">
        <w:rPr>
          <w:rFonts w:cs="Arial"/>
          <w:color w:val="222222"/>
          <w:sz w:val="18"/>
          <w:szCs w:val="18"/>
          <w:shd w:val="clear" w:color="auto" w:fill="FFFFFF"/>
        </w:rPr>
        <w:t>Pinhasi, R.</w:t>
      </w:r>
      <w:r>
        <w:rPr>
          <w:rFonts w:cs="Arial"/>
          <w:color w:val="222222"/>
          <w:sz w:val="18"/>
          <w:szCs w:val="18"/>
          <w:shd w:val="clear" w:color="auto" w:fill="FFFFFF"/>
        </w:rPr>
        <w:t>,</w:t>
      </w:r>
      <w:r w:rsidRPr="007A4A58">
        <w:rPr>
          <w:rFonts w:cs="Arial"/>
          <w:color w:val="222222"/>
          <w:sz w:val="18"/>
          <w:szCs w:val="18"/>
          <w:shd w:val="clear" w:color="auto" w:fill="FFFFFF"/>
        </w:rPr>
        <w:t xml:space="preserve"> Shaw, P.</w:t>
      </w:r>
      <w:r>
        <w:rPr>
          <w:rFonts w:cs="Arial"/>
          <w:color w:val="222222"/>
          <w:sz w:val="18"/>
          <w:szCs w:val="18"/>
          <w:shd w:val="clear" w:color="auto" w:fill="FFFFFF"/>
        </w:rPr>
        <w:t>, White, B. and Ogden, A. (2006)</w:t>
      </w:r>
      <w:r w:rsidRPr="007A4A58">
        <w:rPr>
          <w:rFonts w:cs="Arial"/>
          <w:color w:val="222222"/>
          <w:sz w:val="18"/>
          <w:szCs w:val="18"/>
          <w:shd w:val="clear" w:color="auto" w:fill="FFFFFF"/>
        </w:rPr>
        <w:t xml:space="preserve"> Morbidity, rickets and long-bone growth in post-medieval Britain—a cross-population analysis.</w:t>
      </w:r>
      <w:r w:rsidRPr="007A4A58">
        <w:rPr>
          <w:rStyle w:val="apple-converted-space"/>
          <w:rFonts w:cs="Arial"/>
          <w:color w:val="222222"/>
          <w:sz w:val="18"/>
          <w:szCs w:val="18"/>
          <w:shd w:val="clear" w:color="auto" w:fill="FFFFFF"/>
        </w:rPr>
        <w:t> </w:t>
      </w:r>
      <w:r w:rsidRPr="007A4A58">
        <w:rPr>
          <w:rFonts w:cs="Arial"/>
          <w:i/>
          <w:iCs/>
          <w:color w:val="222222"/>
          <w:sz w:val="18"/>
          <w:szCs w:val="18"/>
          <w:shd w:val="clear" w:color="auto" w:fill="FFFFFF"/>
        </w:rPr>
        <w:t>Annals of Human Biology</w:t>
      </w:r>
      <w:r w:rsidRPr="007A4A58">
        <w:rPr>
          <w:rFonts w:cs="Arial"/>
          <w:color w:val="222222"/>
          <w:sz w:val="18"/>
          <w:szCs w:val="18"/>
          <w:shd w:val="clear" w:color="auto" w:fill="FFFFFF"/>
        </w:rPr>
        <w:t>,</w:t>
      </w:r>
      <w:r w:rsidRPr="007A4A58">
        <w:rPr>
          <w:rStyle w:val="apple-converted-space"/>
          <w:rFonts w:cs="Arial"/>
          <w:color w:val="222222"/>
          <w:sz w:val="18"/>
          <w:szCs w:val="18"/>
          <w:shd w:val="clear" w:color="auto" w:fill="FFFFFF"/>
        </w:rPr>
        <w:t> </w:t>
      </w:r>
      <w:r w:rsidRPr="007A4A58">
        <w:rPr>
          <w:rFonts w:cs="Arial"/>
          <w:b/>
          <w:iCs/>
          <w:color w:val="222222"/>
          <w:sz w:val="18"/>
          <w:szCs w:val="18"/>
          <w:shd w:val="clear" w:color="auto" w:fill="FFFFFF"/>
        </w:rPr>
        <w:t>33</w:t>
      </w:r>
      <w:r w:rsidRPr="007A4A58">
        <w:rPr>
          <w:rFonts w:cs="Arial"/>
          <w:i/>
          <w:iCs/>
          <w:color w:val="222222"/>
          <w:sz w:val="18"/>
          <w:szCs w:val="18"/>
          <w:shd w:val="clear" w:color="auto" w:fill="FFFFFF"/>
        </w:rPr>
        <w:t xml:space="preserve"> </w:t>
      </w:r>
      <w:r w:rsidRPr="007A4A58">
        <w:rPr>
          <w:rFonts w:cs="Arial"/>
          <w:color w:val="222222"/>
          <w:sz w:val="18"/>
          <w:szCs w:val="18"/>
          <w:shd w:val="clear" w:color="auto" w:fill="FFFFFF"/>
        </w:rPr>
        <w:t>(3), 372-389.</w:t>
      </w:r>
    </w:p>
    <w:p w:rsidR="00A27044" w:rsidRPr="005B2DDD" w:rsidRDefault="00A27044" w:rsidP="003B5900">
      <w:pPr>
        <w:spacing w:line="240" w:lineRule="auto"/>
        <w:jc w:val="both"/>
        <w:rPr>
          <w:sz w:val="18"/>
          <w:szCs w:val="18"/>
        </w:rPr>
      </w:pPr>
      <w:r w:rsidRPr="005B2DDD">
        <w:rPr>
          <w:sz w:val="18"/>
          <w:szCs w:val="18"/>
        </w:rPr>
        <w:lastRenderedPageBreak/>
        <w:t xml:space="preserve">Plochocki, J. (2002) Directional bilateral asymmetry in human sacral morphology. </w:t>
      </w:r>
      <w:r w:rsidRPr="005B2DDD">
        <w:rPr>
          <w:i/>
          <w:sz w:val="18"/>
          <w:szCs w:val="18"/>
        </w:rPr>
        <w:t>International Journal of Osteoarchaeology</w:t>
      </w:r>
      <w:r w:rsidRPr="005B2DDD">
        <w:rPr>
          <w:sz w:val="18"/>
          <w:szCs w:val="18"/>
        </w:rPr>
        <w:t xml:space="preserve">, </w:t>
      </w:r>
      <w:r w:rsidRPr="005B2DDD">
        <w:rPr>
          <w:b/>
          <w:sz w:val="18"/>
          <w:szCs w:val="18"/>
        </w:rPr>
        <w:t>12</w:t>
      </w:r>
      <w:r w:rsidRPr="005B2DDD">
        <w:rPr>
          <w:sz w:val="18"/>
          <w:szCs w:val="18"/>
        </w:rPr>
        <w:t>, 349–55</w:t>
      </w:r>
    </w:p>
    <w:p w:rsidR="00A27044" w:rsidRPr="00C25B20" w:rsidRDefault="00A27044" w:rsidP="003B5900">
      <w:pPr>
        <w:spacing w:before="144" w:line="240" w:lineRule="auto"/>
        <w:jc w:val="both"/>
        <w:rPr>
          <w:rFonts w:cs="Calibri"/>
          <w:spacing w:val="-1"/>
          <w:sz w:val="18"/>
          <w:szCs w:val="18"/>
        </w:rPr>
      </w:pPr>
      <w:r w:rsidRPr="00C25B20">
        <w:rPr>
          <w:rFonts w:eastAsia="Times New Roman" w:cs="Times New Roman"/>
          <w:color w:val="333333"/>
          <w:sz w:val="18"/>
          <w:szCs w:val="18"/>
          <w:lang w:eastAsia="en-GB"/>
        </w:rPr>
        <w:t xml:space="preserve">Prieto-Alhambra, D., Judge, A., Javaid, K., Cooper, C., Diez-Perez, A. and Arden, K. (2014). Incidence and risk factors for clinically diagnosed knee, hip and hand osteoarthritis: influences of age, gender and osteoarthritis affecting other joints. </w:t>
      </w:r>
      <w:r w:rsidRPr="00C25B20">
        <w:rPr>
          <w:rFonts w:eastAsia="Times New Roman" w:cs="Times New Roman"/>
          <w:i/>
          <w:color w:val="333333"/>
          <w:sz w:val="18"/>
          <w:szCs w:val="18"/>
          <w:lang w:eastAsia="en-GB"/>
        </w:rPr>
        <w:t>Annals of the rheumatic diseases,</w:t>
      </w:r>
      <w:r w:rsidRPr="00C25B20">
        <w:rPr>
          <w:rFonts w:eastAsia="Times New Roman" w:cs="Times New Roman"/>
          <w:color w:val="333333"/>
          <w:sz w:val="18"/>
          <w:szCs w:val="18"/>
          <w:lang w:eastAsia="en-GB"/>
        </w:rPr>
        <w:t xml:space="preserve"> </w:t>
      </w:r>
      <w:r w:rsidRPr="00C25B20">
        <w:rPr>
          <w:rFonts w:eastAsia="Times New Roman" w:cs="Times New Roman"/>
          <w:b/>
          <w:color w:val="333333"/>
          <w:sz w:val="18"/>
          <w:szCs w:val="18"/>
          <w:lang w:eastAsia="en-GB"/>
        </w:rPr>
        <w:t>73</w:t>
      </w:r>
      <w:r w:rsidRPr="00C25B20">
        <w:rPr>
          <w:rFonts w:eastAsia="Times New Roman" w:cs="Times New Roman"/>
          <w:color w:val="333333"/>
          <w:sz w:val="18"/>
          <w:szCs w:val="18"/>
          <w:lang w:eastAsia="en-GB"/>
        </w:rPr>
        <w:t xml:space="preserve"> (9), 1659-1664.</w:t>
      </w:r>
    </w:p>
    <w:p w:rsidR="00A27044" w:rsidRPr="00B256EE" w:rsidRDefault="00A27044" w:rsidP="003B5900">
      <w:pPr>
        <w:spacing w:line="240" w:lineRule="auto"/>
        <w:jc w:val="both"/>
        <w:rPr>
          <w:rFonts w:cstheme="minorHAnsi"/>
          <w:spacing w:val="-1"/>
          <w:sz w:val="18"/>
          <w:szCs w:val="18"/>
        </w:rPr>
      </w:pPr>
      <w:r w:rsidRPr="00B256EE">
        <w:rPr>
          <w:rFonts w:cstheme="minorHAnsi"/>
          <w:color w:val="222222"/>
          <w:sz w:val="18"/>
          <w:szCs w:val="18"/>
          <w:shd w:val="clear" w:color="auto" w:fill="FFFFFF"/>
        </w:rPr>
        <w:t>Rajakumar, K. (2003) Vitamin D, cod-liver oil, sunlight, and rickets: a historical perspective. </w:t>
      </w:r>
      <w:r w:rsidRPr="00B256EE">
        <w:rPr>
          <w:rFonts w:cstheme="minorHAnsi"/>
          <w:i/>
          <w:iCs/>
          <w:color w:val="222222"/>
          <w:sz w:val="18"/>
          <w:szCs w:val="18"/>
          <w:shd w:val="clear" w:color="auto" w:fill="FFFFFF"/>
        </w:rPr>
        <w:t>Pediatrics</w:t>
      </w:r>
      <w:r w:rsidRPr="00B256EE">
        <w:rPr>
          <w:rFonts w:cstheme="minorHAnsi"/>
          <w:color w:val="222222"/>
          <w:sz w:val="18"/>
          <w:szCs w:val="18"/>
          <w:shd w:val="clear" w:color="auto" w:fill="FFFFFF"/>
        </w:rPr>
        <w:t>, </w:t>
      </w:r>
      <w:r w:rsidRPr="00B256EE">
        <w:rPr>
          <w:rFonts w:cstheme="minorHAnsi"/>
          <w:b/>
          <w:iCs/>
          <w:color w:val="222222"/>
          <w:sz w:val="18"/>
          <w:szCs w:val="18"/>
          <w:shd w:val="clear" w:color="auto" w:fill="FFFFFF"/>
        </w:rPr>
        <w:t>112</w:t>
      </w:r>
      <w:r w:rsidRPr="00B256EE">
        <w:rPr>
          <w:rFonts w:cstheme="minorHAnsi"/>
          <w:i/>
          <w:iCs/>
          <w:color w:val="222222"/>
          <w:sz w:val="18"/>
          <w:szCs w:val="18"/>
          <w:shd w:val="clear" w:color="auto" w:fill="FFFFFF"/>
        </w:rPr>
        <w:t xml:space="preserve"> </w:t>
      </w:r>
      <w:r w:rsidRPr="00B256EE">
        <w:rPr>
          <w:rFonts w:cstheme="minorHAnsi"/>
          <w:color w:val="222222"/>
          <w:sz w:val="18"/>
          <w:szCs w:val="18"/>
          <w:shd w:val="clear" w:color="auto" w:fill="FFFFFF"/>
        </w:rPr>
        <w:t>(2), e132-e135.</w:t>
      </w:r>
    </w:p>
    <w:p w:rsidR="00A27044" w:rsidRPr="00B256EE" w:rsidRDefault="00A27044" w:rsidP="003B5900">
      <w:pPr>
        <w:spacing w:before="144" w:line="240" w:lineRule="auto"/>
        <w:jc w:val="both"/>
        <w:rPr>
          <w:rFonts w:cstheme="minorHAnsi"/>
          <w:sz w:val="18"/>
          <w:szCs w:val="18"/>
        </w:rPr>
      </w:pPr>
      <w:r w:rsidRPr="00B256EE">
        <w:rPr>
          <w:rFonts w:cstheme="minorHAnsi"/>
          <w:sz w:val="18"/>
          <w:szCs w:val="18"/>
        </w:rPr>
        <w:t xml:space="preserve">Reed, M. (1977) Fractures and dislocations of the extremities in children. </w:t>
      </w:r>
      <w:r w:rsidRPr="00B256EE">
        <w:rPr>
          <w:rFonts w:cstheme="minorHAnsi"/>
          <w:i/>
          <w:sz w:val="18"/>
          <w:szCs w:val="18"/>
        </w:rPr>
        <w:t>Journal of Trauma</w:t>
      </w:r>
      <w:r w:rsidRPr="00B256EE">
        <w:rPr>
          <w:rFonts w:cstheme="minorHAnsi"/>
          <w:sz w:val="18"/>
          <w:szCs w:val="18"/>
        </w:rPr>
        <w:t xml:space="preserve">, </w:t>
      </w:r>
      <w:r w:rsidRPr="00B256EE">
        <w:rPr>
          <w:rFonts w:cstheme="minorHAnsi"/>
          <w:b/>
          <w:sz w:val="18"/>
          <w:szCs w:val="18"/>
        </w:rPr>
        <w:t>17</w:t>
      </w:r>
      <w:r w:rsidRPr="00B256EE">
        <w:rPr>
          <w:rFonts w:cstheme="minorHAnsi"/>
          <w:sz w:val="18"/>
          <w:szCs w:val="18"/>
        </w:rPr>
        <w:t>, 351-4.</w:t>
      </w:r>
    </w:p>
    <w:p w:rsidR="00A27044" w:rsidRPr="005858EE" w:rsidRDefault="00A27044" w:rsidP="003B5900">
      <w:pPr>
        <w:spacing w:before="144" w:line="240" w:lineRule="auto"/>
        <w:jc w:val="both"/>
        <w:rPr>
          <w:sz w:val="18"/>
          <w:szCs w:val="18"/>
        </w:rPr>
      </w:pPr>
      <w:r w:rsidRPr="005858EE">
        <w:rPr>
          <w:rFonts w:cs="Arial"/>
          <w:color w:val="222222"/>
          <w:sz w:val="18"/>
          <w:szCs w:val="18"/>
          <w:shd w:val="clear" w:color="auto" w:fill="FFFFFF"/>
        </w:rPr>
        <w:t>Ring, J. and Jupiter, B. (2007) "Fractures of the clavilce."</w:t>
      </w:r>
      <w:r w:rsidRPr="005858EE">
        <w:rPr>
          <w:rStyle w:val="apple-converted-space"/>
          <w:rFonts w:cs="Arial"/>
          <w:color w:val="222222"/>
          <w:sz w:val="18"/>
          <w:szCs w:val="18"/>
          <w:shd w:val="clear" w:color="auto" w:fill="FFFFFF"/>
        </w:rPr>
        <w:t> </w:t>
      </w:r>
      <w:r w:rsidRPr="005858EE">
        <w:rPr>
          <w:rFonts w:cs="Arial"/>
          <w:i/>
          <w:iCs/>
          <w:color w:val="222222"/>
          <w:sz w:val="18"/>
          <w:szCs w:val="18"/>
          <w:shd w:val="clear" w:color="auto" w:fill="FFFFFF"/>
        </w:rPr>
        <w:t>Disorders of the Shoulder: Diagnosis &amp; Management</w:t>
      </w:r>
      <w:r>
        <w:rPr>
          <w:rFonts w:cs="Arial"/>
          <w:i/>
          <w:iCs/>
          <w:color w:val="222222"/>
          <w:sz w:val="18"/>
          <w:szCs w:val="18"/>
          <w:shd w:val="clear" w:color="auto" w:fill="FFFFFF"/>
        </w:rPr>
        <w:t>,</w:t>
      </w:r>
      <w:r w:rsidRPr="005858EE">
        <w:rPr>
          <w:rStyle w:val="apple-converted-space"/>
          <w:rFonts w:cs="Arial"/>
          <w:color w:val="222222"/>
          <w:sz w:val="18"/>
          <w:szCs w:val="18"/>
          <w:shd w:val="clear" w:color="auto" w:fill="FFFFFF"/>
        </w:rPr>
        <w:t> </w:t>
      </w:r>
      <w:r w:rsidRPr="005858EE">
        <w:rPr>
          <w:rFonts w:cs="Arial"/>
          <w:color w:val="222222"/>
          <w:sz w:val="18"/>
          <w:szCs w:val="18"/>
          <w:shd w:val="clear" w:color="auto" w:fill="FFFFFF"/>
        </w:rPr>
        <w:t>1.</w:t>
      </w:r>
    </w:p>
    <w:p w:rsidR="00A27044" w:rsidRPr="00B256EE" w:rsidRDefault="00A27044" w:rsidP="003B5900">
      <w:pPr>
        <w:spacing w:before="144" w:line="240" w:lineRule="auto"/>
        <w:jc w:val="both"/>
        <w:rPr>
          <w:rFonts w:cstheme="minorHAnsi"/>
          <w:sz w:val="18"/>
          <w:szCs w:val="18"/>
        </w:rPr>
      </w:pPr>
      <w:r>
        <w:rPr>
          <w:rFonts w:cstheme="minorHAnsi"/>
          <w:color w:val="222222"/>
          <w:sz w:val="18"/>
          <w:szCs w:val="18"/>
          <w:shd w:val="clear" w:color="auto" w:fill="FFFFFF"/>
        </w:rPr>
        <w:t>Roberts, A. (2007)</w:t>
      </w:r>
      <w:r w:rsidRPr="00B256EE">
        <w:rPr>
          <w:rFonts w:cstheme="minorHAnsi"/>
          <w:color w:val="222222"/>
          <w:sz w:val="18"/>
          <w:szCs w:val="18"/>
          <w:shd w:val="clear" w:color="auto" w:fill="FFFFFF"/>
        </w:rPr>
        <w:t xml:space="preserve"> A bioarcheological study of maxillary sinusitis. </w:t>
      </w:r>
      <w:r w:rsidRPr="00B256EE">
        <w:rPr>
          <w:rFonts w:cstheme="minorHAnsi"/>
          <w:i/>
          <w:iCs/>
          <w:color w:val="222222"/>
          <w:sz w:val="18"/>
          <w:szCs w:val="18"/>
          <w:shd w:val="clear" w:color="auto" w:fill="FFFFFF"/>
        </w:rPr>
        <w:t>American Journal of Physical Anthropology</w:t>
      </w:r>
      <w:r w:rsidRPr="00B256EE">
        <w:rPr>
          <w:rFonts w:cstheme="minorHAnsi"/>
          <w:color w:val="222222"/>
          <w:sz w:val="18"/>
          <w:szCs w:val="18"/>
          <w:shd w:val="clear" w:color="auto" w:fill="FFFFFF"/>
        </w:rPr>
        <w:t>, </w:t>
      </w:r>
      <w:r w:rsidRPr="00B256EE">
        <w:rPr>
          <w:rFonts w:cstheme="minorHAnsi"/>
          <w:b/>
          <w:iCs/>
          <w:color w:val="222222"/>
          <w:sz w:val="18"/>
          <w:szCs w:val="18"/>
          <w:shd w:val="clear" w:color="auto" w:fill="FFFFFF"/>
        </w:rPr>
        <w:t>133</w:t>
      </w:r>
      <w:r w:rsidRPr="00B256EE">
        <w:rPr>
          <w:rFonts w:cstheme="minorHAnsi"/>
          <w:i/>
          <w:iCs/>
          <w:color w:val="222222"/>
          <w:sz w:val="18"/>
          <w:szCs w:val="18"/>
          <w:shd w:val="clear" w:color="auto" w:fill="FFFFFF"/>
        </w:rPr>
        <w:t xml:space="preserve"> </w:t>
      </w:r>
      <w:r w:rsidRPr="00B256EE">
        <w:rPr>
          <w:rFonts w:cstheme="minorHAnsi"/>
          <w:color w:val="222222"/>
          <w:sz w:val="18"/>
          <w:szCs w:val="18"/>
          <w:shd w:val="clear" w:color="auto" w:fill="FFFFFF"/>
        </w:rPr>
        <w:t xml:space="preserve">(2), 792-807. </w:t>
      </w:r>
    </w:p>
    <w:p w:rsidR="00A27044" w:rsidRPr="00B256EE" w:rsidRDefault="00A27044" w:rsidP="003B5900">
      <w:pPr>
        <w:spacing w:line="240" w:lineRule="auto"/>
        <w:jc w:val="both"/>
        <w:rPr>
          <w:rFonts w:cstheme="minorHAnsi"/>
          <w:spacing w:val="-1"/>
          <w:sz w:val="18"/>
          <w:szCs w:val="18"/>
        </w:rPr>
      </w:pPr>
      <w:r w:rsidRPr="00B256EE">
        <w:rPr>
          <w:rFonts w:cstheme="minorHAnsi"/>
          <w:color w:val="222222"/>
          <w:sz w:val="18"/>
          <w:szCs w:val="18"/>
          <w:shd w:val="clear" w:color="auto" w:fill="FFFFFF"/>
        </w:rPr>
        <w:t>Roberts, A., Caffell, A., Filipek-Ogden, L., Gowland, R. and Jakob, T. (2016) ‘Til Poison Phosphorous Brought them Death’: A potentially occupationally-related disease in a post-medieval skeleton from north-east England. </w:t>
      </w:r>
      <w:r w:rsidRPr="00B256EE">
        <w:rPr>
          <w:rFonts w:cstheme="minorHAnsi"/>
          <w:i/>
          <w:iCs/>
          <w:color w:val="222222"/>
          <w:sz w:val="18"/>
          <w:szCs w:val="18"/>
          <w:shd w:val="clear" w:color="auto" w:fill="FFFFFF"/>
        </w:rPr>
        <w:t>International Journal of Paleopathology</w:t>
      </w:r>
      <w:r w:rsidRPr="00B256EE">
        <w:rPr>
          <w:rFonts w:cstheme="minorHAnsi"/>
          <w:color w:val="222222"/>
          <w:sz w:val="18"/>
          <w:szCs w:val="18"/>
          <w:shd w:val="clear" w:color="auto" w:fill="FFFFFF"/>
        </w:rPr>
        <w:t>, </w:t>
      </w:r>
      <w:r w:rsidRPr="00B256EE">
        <w:rPr>
          <w:rFonts w:cstheme="minorHAnsi"/>
          <w:b/>
          <w:iCs/>
          <w:color w:val="222222"/>
          <w:sz w:val="18"/>
          <w:szCs w:val="18"/>
          <w:shd w:val="clear" w:color="auto" w:fill="FFFFFF"/>
        </w:rPr>
        <w:t>13</w:t>
      </w:r>
      <w:r w:rsidRPr="00B256EE">
        <w:rPr>
          <w:rFonts w:cstheme="minorHAnsi"/>
          <w:color w:val="222222"/>
          <w:sz w:val="18"/>
          <w:szCs w:val="18"/>
          <w:shd w:val="clear" w:color="auto" w:fill="FFFFFF"/>
        </w:rPr>
        <w:t>, 39-48.</w:t>
      </w:r>
    </w:p>
    <w:p w:rsidR="00A27044" w:rsidRPr="007A4A58" w:rsidRDefault="00A27044" w:rsidP="003B5900">
      <w:pPr>
        <w:spacing w:line="240" w:lineRule="auto"/>
        <w:jc w:val="both"/>
        <w:rPr>
          <w:rFonts w:cs="Arial"/>
          <w:color w:val="222222"/>
          <w:sz w:val="18"/>
          <w:szCs w:val="18"/>
          <w:shd w:val="clear" w:color="auto" w:fill="FFFFFF"/>
        </w:rPr>
      </w:pPr>
      <w:r w:rsidRPr="007A4A58">
        <w:rPr>
          <w:rFonts w:cs="Arial"/>
          <w:color w:val="222222"/>
          <w:sz w:val="18"/>
          <w:szCs w:val="18"/>
          <w:shd w:val="clear" w:color="auto" w:fill="FFFFFF"/>
        </w:rPr>
        <w:t>Roberts, C. (2002) The antiquity of leprosy in Britain: the skeletal evidence.</w:t>
      </w:r>
    </w:p>
    <w:p w:rsidR="00A27044" w:rsidRPr="007A4A58" w:rsidRDefault="00A27044" w:rsidP="003B5900">
      <w:pPr>
        <w:spacing w:line="240" w:lineRule="auto"/>
        <w:jc w:val="both"/>
        <w:rPr>
          <w:sz w:val="18"/>
          <w:szCs w:val="18"/>
        </w:rPr>
      </w:pPr>
      <w:r w:rsidRPr="007A4A58">
        <w:rPr>
          <w:rFonts w:cs="Arial"/>
          <w:color w:val="222222"/>
          <w:sz w:val="18"/>
          <w:szCs w:val="18"/>
          <w:shd w:val="clear" w:color="auto" w:fill="FFFFFF"/>
        </w:rPr>
        <w:t>Roberts, C. and Cox, M. (2003)</w:t>
      </w:r>
      <w:r w:rsidRPr="007A4A58">
        <w:rPr>
          <w:rStyle w:val="apple-converted-space"/>
          <w:rFonts w:cs="Arial"/>
          <w:color w:val="222222"/>
          <w:sz w:val="18"/>
          <w:szCs w:val="18"/>
          <w:shd w:val="clear" w:color="auto" w:fill="FFFFFF"/>
        </w:rPr>
        <w:t> </w:t>
      </w:r>
      <w:r w:rsidRPr="007A4A58">
        <w:rPr>
          <w:rFonts w:cs="Arial"/>
          <w:i/>
          <w:iCs/>
          <w:color w:val="222222"/>
          <w:sz w:val="18"/>
          <w:szCs w:val="18"/>
          <w:shd w:val="clear" w:color="auto" w:fill="FFFFFF"/>
        </w:rPr>
        <w:t>Health and disease in Britain: from prehistory to the present day</w:t>
      </w:r>
      <w:r w:rsidRPr="007A4A58">
        <w:rPr>
          <w:rFonts w:cs="Arial"/>
          <w:color w:val="222222"/>
          <w:sz w:val="18"/>
          <w:szCs w:val="18"/>
          <w:shd w:val="clear" w:color="auto" w:fill="FFFFFF"/>
        </w:rPr>
        <w:t>. Sutton publishing.</w:t>
      </w:r>
    </w:p>
    <w:p w:rsidR="00A27044" w:rsidRPr="00B256EE" w:rsidRDefault="00A27044" w:rsidP="003B5900">
      <w:pPr>
        <w:spacing w:line="240" w:lineRule="auto"/>
        <w:jc w:val="both"/>
        <w:rPr>
          <w:rFonts w:cstheme="minorHAnsi"/>
          <w:spacing w:val="-1"/>
          <w:sz w:val="18"/>
          <w:szCs w:val="18"/>
        </w:rPr>
      </w:pPr>
      <w:r w:rsidRPr="00B256EE">
        <w:rPr>
          <w:rFonts w:cstheme="minorHAnsi"/>
          <w:color w:val="222222"/>
          <w:sz w:val="18"/>
          <w:szCs w:val="18"/>
          <w:shd w:val="clear" w:color="auto" w:fill="FFFFFF"/>
        </w:rPr>
        <w:t>Roberts, C., Lucy, D. and Manchester, K. (1994) Inflammatory lesions of ribs: an analysis of the Terry Collection. </w:t>
      </w:r>
      <w:r w:rsidRPr="00B256EE">
        <w:rPr>
          <w:rFonts w:cstheme="minorHAnsi"/>
          <w:i/>
          <w:iCs/>
          <w:color w:val="222222"/>
          <w:sz w:val="18"/>
          <w:szCs w:val="18"/>
          <w:shd w:val="clear" w:color="auto" w:fill="FFFFFF"/>
        </w:rPr>
        <w:t>American Journal of Physical Anthropology</w:t>
      </w:r>
      <w:r w:rsidRPr="00B256EE">
        <w:rPr>
          <w:rFonts w:cstheme="minorHAnsi"/>
          <w:color w:val="222222"/>
          <w:sz w:val="18"/>
          <w:szCs w:val="18"/>
          <w:shd w:val="clear" w:color="auto" w:fill="FFFFFF"/>
        </w:rPr>
        <w:t>, </w:t>
      </w:r>
      <w:r w:rsidRPr="00B256EE">
        <w:rPr>
          <w:rFonts w:cstheme="minorHAnsi"/>
          <w:b/>
          <w:iCs/>
          <w:color w:val="222222"/>
          <w:sz w:val="18"/>
          <w:szCs w:val="18"/>
          <w:shd w:val="clear" w:color="auto" w:fill="FFFFFF"/>
        </w:rPr>
        <w:t>95</w:t>
      </w:r>
      <w:r w:rsidRPr="00B256EE">
        <w:rPr>
          <w:rFonts w:cstheme="minorHAnsi"/>
          <w:i/>
          <w:iCs/>
          <w:color w:val="222222"/>
          <w:sz w:val="18"/>
          <w:szCs w:val="18"/>
          <w:shd w:val="clear" w:color="auto" w:fill="FFFFFF"/>
        </w:rPr>
        <w:t xml:space="preserve"> </w:t>
      </w:r>
      <w:r w:rsidRPr="00B256EE">
        <w:rPr>
          <w:rFonts w:cstheme="minorHAnsi"/>
          <w:color w:val="222222"/>
          <w:sz w:val="18"/>
          <w:szCs w:val="18"/>
          <w:shd w:val="clear" w:color="auto" w:fill="FFFFFF"/>
        </w:rPr>
        <w:t>(2), 169-182.</w:t>
      </w:r>
    </w:p>
    <w:p w:rsidR="00A27044" w:rsidRPr="00B256EE" w:rsidRDefault="00A27044" w:rsidP="003B5900">
      <w:pPr>
        <w:spacing w:before="144" w:line="240" w:lineRule="auto"/>
        <w:jc w:val="both"/>
        <w:rPr>
          <w:rFonts w:cstheme="minorHAnsi"/>
          <w:spacing w:val="-1"/>
          <w:sz w:val="18"/>
          <w:szCs w:val="18"/>
        </w:rPr>
      </w:pPr>
      <w:r w:rsidRPr="00B256EE">
        <w:rPr>
          <w:rFonts w:cstheme="minorHAnsi"/>
          <w:color w:val="222222"/>
          <w:sz w:val="18"/>
          <w:szCs w:val="18"/>
          <w:shd w:val="clear" w:color="auto" w:fill="FFFFFF"/>
        </w:rPr>
        <w:t>Ross, H. and Murray, J. (2004) Occupational respiratory disease in mining. </w:t>
      </w:r>
      <w:r w:rsidRPr="00B256EE">
        <w:rPr>
          <w:rFonts w:cstheme="minorHAnsi"/>
          <w:i/>
          <w:iCs/>
          <w:color w:val="222222"/>
          <w:sz w:val="18"/>
          <w:szCs w:val="18"/>
          <w:shd w:val="clear" w:color="auto" w:fill="FFFFFF"/>
        </w:rPr>
        <w:t>Occupational Medicine</w:t>
      </w:r>
      <w:r w:rsidRPr="00B256EE">
        <w:rPr>
          <w:rFonts w:cstheme="minorHAnsi"/>
          <w:color w:val="222222"/>
          <w:sz w:val="18"/>
          <w:szCs w:val="18"/>
          <w:shd w:val="clear" w:color="auto" w:fill="FFFFFF"/>
        </w:rPr>
        <w:t>, </w:t>
      </w:r>
      <w:r w:rsidRPr="00B256EE">
        <w:rPr>
          <w:rFonts w:cstheme="minorHAnsi"/>
          <w:b/>
          <w:iCs/>
          <w:color w:val="222222"/>
          <w:sz w:val="18"/>
          <w:szCs w:val="18"/>
          <w:shd w:val="clear" w:color="auto" w:fill="FFFFFF"/>
        </w:rPr>
        <w:t>54</w:t>
      </w:r>
      <w:r w:rsidRPr="00B256EE">
        <w:rPr>
          <w:rFonts w:cstheme="minorHAnsi"/>
          <w:i/>
          <w:iCs/>
          <w:color w:val="222222"/>
          <w:sz w:val="18"/>
          <w:szCs w:val="18"/>
          <w:shd w:val="clear" w:color="auto" w:fill="FFFFFF"/>
        </w:rPr>
        <w:t xml:space="preserve"> </w:t>
      </w:r>
      <w:r w:rsidRPr="00B256EE">
        <w:rPr>
          <w:rFonts w:cstheme="minorHAnsi"/>
          <w:color w:val="222222"/>
          <w:sz w:val="18"/>
          <w:szCs w:val="18"/>
          <w:shd w:val="clear" w:color="auto" w:fill="FFFFFF"/>
        </w:rPr>
        <w:t>(5), 304-310.</w:t>
      </w:r>
    </w:p>
    <w:p w:rsidR="00A27044" w:rsidRPr="00B256EE" w:rsidRDefault="00A27044" w:rsidP="003B5900">
      <w:pPr>
        <w:spacing w:before="144" w:line="240" w:lineRule="auto"/>
        <w:jc w:val="both"/>
        <w:rPr>
          <w:rFonts w:cstheme="minorHAnsi"/>
          <w:sz w:val="18"/>
          <w:szCs w:val="18"/>
        </w:rPr>
      </w:pPr>
      <w:r w:rsidRPr="00B256EE">
        <w:rPr>
          <w:rFonts w:cstheme="minorHAnsi"/>
          <w:sz w:val="18"/>
          <w:szCs w:val="18"/>
        </w:rPr>
        <w:t xml:space="preserve">Rowe, R. (1968) An atlas of anatomy and treatment of midclavicular fractures. </w:t>
      </w:r>
      <w:r w:rsidRPr="00B256EE">
        <w:rPr>
          <w:rFonts w:cstheme="minorHAnsi"/>
          <w:i/>
          <w:sz w:val="18"/>
          <w:szCs w:val="18"/>
        </w:rPr>
        <w:t>Clinical Orthopaedics and Related Research</w:t>
      </w:r>
      <w:r w:rsidRPr="00B256EE">
        <w:rPr>
          <w:rFonts w:cstheme="minorHAnsi"/>
          <w:sz w:val="18"/>
          <w:szCs w:val="18"/>
        </w:rPr>
        <w:t xml:space="preserve">, </w:t>
      </w:r>
      <w:r w:rsidRPr="00B256EE">
        <w:rPr>
          <w:rFonts w:cstheme="minorHAnsi"/>
          <w:b/>
          <w:sz w:val="18"/>
          <w:szCs w:val="18"/>
        </w:rPr>
        <w:t>58</w:t>
      </w:r>
      <w:r w:rsidRPr="00B256EE">
        <w:rPr>
          <w:rFonts w:cstheme="minorHAnsi"/>
          <w:sz w:val="18"/>
          <w:szCs w:val="18"/>
        </w:rPr>
        <w:t>, 29-42.</w:t>
      </w:r>
    </w:p>
    <w:p w:rsidR="00A27044" w:rsidRPr="00B256EE" w:rsidRDefault="00A27044" w:rsidP="003B5900">
      <w:pPr>
        <w:spacing w:line="240" w:lineRule="auto"/>
        <w:jc w:val="both"/>
        <w:rPr>
          <w:rFonts w:cstheme="minorHAnsi"/>
          <w:sz w:val="18"/>
          <w:szCs w:val="18"/>
        </w:rPr>
      </w:pPr>
      <w:r w:rsidRPr="00B256EE">
        <w:rPr>
          <w:rFonts w:cstheme="minorHAnsi"/>
          <w:sz w:val="18"/>
          <w:szCs w:val="18"/>
        </w:rPr>
        <w:t xml:space="preserve">Satre, J. (1982) After the Match Girls' Strike: Bryant and May in the 1890s. </w:t>
      </w:r>
      <w:r w:rsidRPr="00B256EE">
        <w:rPr>
          <w:rFonts w:cstheme="minorHAnsi"/>
          <w:i/>
          <w:sz w:val="18"/>
          <w:szCs w:val="18"/>
        </w:rPr>
        <w:t>Victorian Studies</w:t>
      </w:r>
      <w:r w:rsidRPr="00B256EE">
        <w:rPr>
          <w:rFonts w:cstheme="minorHAnsi"/>
          <w:sz w:val="18"/>
          <w:szCs w:val="18"/>
        </w:rPr>
        <w:t xml:space="preserve">, </w:t>
      </w:r>
      <w:r w:rsidRPr="00B256EE">
        <w:rPr>
          <w:rFonts w:cstheme="minorHAnsi"/>
          <w:b/>
          <w:sz w:val="18"/>
          <w:szCs w:val="18"/>
        </w:rPr>
        <w:t>26</w:t>
      </w:r>
      <w:r w:rsidRPr="00B256EE">
        <w:rPr>
          <w:rFonts w:cstheme="minorHAnsi"/>
          <w:sz w:val="18"/>
          <w:szCs w:val="18"/>
        </w:rPr>
        <w:t xml:space="preserve"> (1), 7-31.</w:t>
      </w:r>
    </w:p>
    <w:p w:rsidR="00A27044" w:rsidRPr="005858EE" w:rsidRDefault="00A27044" w:rsidP="003B5900">
      <w:pPr>
        <w:spacing w:line="240" w:lineRule="auto"/>
        <w:jc w:val="both"/>
        <w:rPr>
          <w:rFonts w:cs="Arial"/>
          <w:color w:val="222222"/>
          <w:sz w:val="18"/>
          <w:szCs w:val="18"/>
          <w:shd w:val="clear" w:color="auto" w:fill="FFFFFF"/>
        </w:rPr>
      </w:pPr>
      <w:r>
        <w:rPr>
          <w:rFonts w:cs="Arial"/>
          <w:color w:val="222222"/>
          <w:sz w:val="18"/>
          <w:szCs w:val="18"/>
          <w:shd w:val="clear" w:color="auto" w:fill="FFFFFF"/>
        </w:rPr>
        <w:t>Schmitt, D. (1998)</w:t>
      </w:r>
      <w:r w:rsidRPr="005858EE">
        <w:rPr>
          <w:rFonts w:cs="Arial"/>
          <w:color w:val="222222"/>
          <w:sz w:val="18"/>
          <w:szCs w:val="18"/>
          <w:shd w:val="clear" w:color="auto" w:fill="FFFFFF"/>
        </w:rPr>
        <w:t xml:space="preserve"> Forelimb mechanics during arboreal and terrestrial quadrupedalism in Old World monkeys. In</w:t>
      </w:r>
      <w:r w:rsidRPr="005858EE">
        <w:rPr>
          <w:rStyle w:val="apple-converted-space"/>
          <w:rFonts w:cs="Arial"/>
          <w:color w:val="222222"/>
          <w:sz w:val="18"/>
          <w:szCs w:val="18"/>
          <w:shd w:val="clear" w:color="auto" w:fill="FFFFFF"/>
        </w:rPr>
        <w:t> </w:t>
      </w:r>
      <w:r w:rsidRPr="005858EE">
        <w:rPr>
          <w:rFonts w:cs="Arial"/>
          <w:i/>
          <w:iCs/>
          <w:color w:val="222222"/>
          <w:sz w:val="18"/>
          <w:szCs w:val="18"/>
          <w:shd w:val="clear" w:color="auto" w:fill="FFFFFF"/>
        </w:rPr>
        <w:t>Primate Locomotion</w:t>
      </w:r>
      <w:r>
        <w:rPr>
          <w:rStyle w:val="apple-converted-space"/>
          <w:rFonts w:cs="Arial"/>
          <w:color w:val="222222"/>
          <w:sz w:val="18"/>
          <w:szCs w:val="18"/>
          <w:shd w:val="clear" w:color="auto" w:fill="FFFFFF"/>
        </w:rPr>
        <w:t xml:space="preserve">, pp. </w:t>
      </w:r>
      <w:r>
        <w:rPr>
          <w:rFonts w:cs="Arial"/>
          <w:color w:val="222222"/>
          <w:sz w:val="18"/>
          <w:szCs w:val="18"/>
          <w:shd w:val="clear" w:color="auto" w:fill="FFFFFF"/>
        </w:rPr>
        <w:t>175-200,</w:t>
      </w:r>
      <w:r w:rsidRPr="005858EE">
        <w:rPr>
          <w:rFonts w:cs="Arial"/>
          <w:color w:val="222222"/>
          <w:sz w:val="18"/>
          <w:szCs w:val="18"/>
          <w:shd w:val="clear" w:color="auto" w:fill="FFFFFF"/>
        </w:rPr>
        <w:t xml:space="preserve"> Springer US.</w:t>
      </w:r>
    </w:p>
    <w:p w:rsidR="00A27044" w:rsidRPr="005858EE" w:rsidRDefault="00A27044" w:rsidP="003B5900">
      <w:pPr>
        <w:spacing w:line="240" w:lineRule="auto"/>
        <w:jc w:val="both"/>
        <w:rPr>
          <w:rFonts w:cs="Arial"/>
          <w:color w:val="222222"/>
          <w:sz w:val="18"/>
          <w:szCs w:val="18"/>
          <w:shd w:val="clear" w:color="auto" w:fill="FFFFFF"/>
        </w:rPr>
      </w:pPr>
      <w:r>
        <w:rPr>
          <w:rFonts w:cs="Arial"/>
          <w:color w:val="222222"/>
          <w:sz w:val="18"/>
          <w:szCs w:val="18"/>
          <w:shd w:val="clear" w:color="auto" w:fill="FFFFFF"/>
        </w:rPr>
        <w:t>Segrave, K. (1994)</w:t>
      </w:r>
      <w:r w:rsidRPr="005858EE">
        <w:rPr>
          <w:rStyle w:val="apple-converted-space"/>
          <w:rFonts w:cs="Arial"/>
          <w:color w:val="222222"/>
          <w:sz w:val="18"/>
          <w:szCs w:val="18"/>
          <w:shd w:val="clear" w:color="auto" w:fill="FFFFFF"/>
        </w:rPr>
        <w:t> </w:t>
      </w:r>
      <w:r w:rsidRPr="005858EE">
        <w:rPr>
          <w:rFonts w:cs="Arial"/>
          <w:i/>
          <w:iCs/>
          <w:color w:val="222222"/>
          <w:sz w:val="18"/>
          <w:szCs w:val="18"/>
          <w:shd w:val="clear" w:color="auto" w:fill="FFFFFF"/>
        </w:rPr>
        <w:t>The sexual harassment of women in the workplace, 1600 to 1993.</w:t>
      </w:r>
      <w:r w:rsidRPr="005858EE">
        <w:rPr>
          <w:rStyle w:val="apple-converted-space"/>
          <w:rFonts w:cs="Arial"/>
          <w:color w:val="222222"/>
          <w:sz w:val="18"/>
          <w:szCs w:val="18"/>
          <w:shd w:val="clear" w:color="auto" w:fill="FFFFFF"/>
        </w:rPr>
        <w:t> </w:t>
      </w:r>
      <w:r w:rsidRPr="005858EE">
        <w:rPr>
          <w:rFonts w:cs="Arial"/>
          <w:color w:val="222222"/>
          <w:sz w:val="18"/>
          <w:szCs w:val="18"/>
          <w:shd w:val="clear" w:color="auto" w:fill="FFFFFF"/>
        </w:rPr>
        <w:t>Jefferson, NC.</w:t>
      </w:r>
    </w:p>
    <w:p w:rsidR="00A27044" w:rsidRPr="005858EE" w:rsidRDefault="00A27044" w:rsidP="003B5900">
      <w:pPr>
        <w:pStyle w:val="Default"/>
        <w:spacing w:after="200"/>
        <w:jc w:val="both"/>
        <w:rPr>
          <w:rFonts w:asciiTheme="minorHAnsi" w:hAnsiTheme="minorHAnsi"/>
          <w:sz w:val="18"/>
          <w:szCs w:val="18"/>
        </w:rPr>
      </w:pPr>
      <w:r w:rsidRPr="005858EE">
        <w:rPr>
          <w:rFonts w:asciiTheme="minorHAnsi" w:hAnsiTheme="minorHAnsi"/>
          <w:sz w:val="18"/>
          <w:szCs w:val="18"/>
        </w:rPr>
        <w:t>Shapland, F.</w:t>
      </w:r>
      <w:r>
        <w:rPr>
          <w:rFonts w:asciiTheme="minorHAnsi" w:hAnsiTheme="minorHAnsi"/>
          <w:sz w:val="18"/>
          <w:szCs w:val="18"/>
        </w:rPr>
        <w:t>,</w:t>
      </w:r>
      <w:r w:rsidRPr="005858EE">
        <w:rPr>
          <w:rFonts w:asciiTheme="minorHAnsi" w:hAnsiTheme="minorHAnsi"/>
          <w:sz w:val="18"/>
          <w:szCs w:val="18"/>
        </w:rPr>
        <w:t xml:space="preserve"> Lewis, M. and Watts, R. (2015) The Lives and Deaths of Young Medieval Women: The Osteological Evidence, </w:t>
      </w:r>
      <w:r w:rsidRPr="005858EE">
        <w:rPr>
          <w:rFonts w:asciiTheme="minorHAnsi" w:hAnsiTheme="minorHAnsi"/>
          <w:i/>
          <w:sz w:val="18"/>
          <w:szCs w:val="18"/>
        </w:rPr>
        <w:t>Medieval Archaeology</w:t>
      </w:r>
      <w:r w:rsidRPr="005858EE">
        <w:rPr>
          <w:rFonts w:asciiTheme="minorHAnsi" w:hAnsiTheme="minorHAnsi"/>
          <w:sz w:val="18"/>
          <w:szCs w:val="18"/>
        </w:rPr>
        <w:t xml:space="preserve">, </w:t>
      </w:r>
      <w:r w:rsidRPr="005858EE">
        <w:rPr>
          <w:rFonts w:asciiTheme="minorHAnsi" w:hAnsiTheme="minorHAnsi"/>
          <w:b/>
          <w:sz w:val="18"/>
          <w:szCs w:val="18"/>
        </w:rPr>
        <w:t>59</w:t>
      </w:r>
      <w:r w:rsidRPr="005858EE">
        <w:rPr>
          <w:rFonts w:asciiTheme="minorHAnsi" w:hAnsiTheme="minorHAnsi"/>
          <w:sz w:val="18"/>
          <w:szCs w:val="18"/>
        </w:rPr>
        <w:t xml:space="preserve"> (1), 272-289. </w:t>
      </w:r>
    </w:p>
    <w:p w:rsidR="00A27044" w:rsidRPr="00B256EE" w:rsidRDefault="00A27044" w:rsidP="003B5900">
      <w:pPr>
        <w:spacing w:before="144" w:line="240" w:lineRule="auto"/>
        <w:jc w:val="both"/>
        <w:rPr>
          <w:rFonts w:cstheme="minorHAnsi"/>
          <w:sz w:val="18"/>
          <w:szCs w:val="18"/>
        </w:rPr>
      </w:pPr>
      <w:r>
        <w:rPr>
          <w:rFonts w:cstheme="minorHAnsi"/>
          <w:sz w:val="18"/>
          <w:szCs w:val="18"/>
        </w:rPr>
        <w:t>Simonet, T., Melton, J</w:t>
      </w:r>
      <w:r w:rsidRPr="00B256EE">
        <w:rPr>
          <w:rFonts w:cstheme="minorHAnsi"/>
          <w:sz w:val="18"/>
          <w:szCs w:val="18"/>
        </w:rPr>
        <w:t>.</w:t>
      </w:r>
      <w:r>
        <w:rPr>
          <w:rFonts w:cstheme="minorHAnsi"/>
          <w:sz w:val="18"/>
          <w:szCs w:val="18"/>
        </w:rPr>
        <w:t>,</w:t>
      </w:r>
      <w:r w:rsidRPr="00B256EE">
        <w:rPr>
          <w:rFonts w:cstheme="minorHAnsi"/>
          <w:sz w:val="18"/>
          <w:szCs w:val="18"/>
        </w:rPr>
        <w:t xml:space="preserve"> Cofield, H. and llstrup, M. (1984) Incidence of anterior shoulder dislocation in Olmsted County, Minnesota. </w:t>
      </w:r>
      <w:r w:rsidRPr="00B256EE">
        <w:rPr>
          <w:rFonts w:cstheme="minorHAnsi"/>
          <w:i/>
          <w:sz w:val="18"/>
          <w:szCs w:val="18"/>
        </w:rPr>
        <w:t>Clinical Orthopaedics and Related Research,</w:t>
      </w:r>
      <w:r w:rsidRPr="00B256EE">
        <w:rPr>
          <w:rFonts w:cstheme="minorHAnsi"/>
          <w:sz w:val="18"/>
          <w:szCs w:val="18"/>
        </w:rPr>
        <w:t xml:space="preserve"> </w:t>
      </w:r>
      <w:r w:rsidRPr="00B256EE">
        <w:rPr>
          <w:rFonts w:cstheme="minorHAnsi"/>
          <w:b/>
          <w:sz w:val="18"/>
          <w:szCs w:val="18"/>
        </w:rPr>
        <w:t>186</w:t>
      </w:r>
      <w:r w:rsidRPr="00B256EE">
        <w:rPr>
          <w:rFonts w:cstheme="minorHAnsi"/>
          <w:sz w:val="18"/>
          <w:szCs w:val="18"/>
        </w:rPr>
        <w:t>, 186-91.</w:t>
      </w:r>
    </w:p>
    <w:p w:rsidR="00A27044" w:rsidRPr="00B256EE" w:rsidRDefault="00A27044" w:rsidP="003B5900">
      <w:pPr>
        <w:spacing w:line="240" w:lineRule="auto"/>
        <w:jc w:val="both"/>
        <w:rPr>
          <w:rFonts w:cstheme="minorHAnsi"/>
          <w:color w:val="222222"/>
          <w:sz w:val="18"/>
          <w:szCs w:val="18"/>
          <w:shd w:val="clear" w:color="auto" w:fill="FFFFFF"/>
        </w:rPr>
      </w:pPr>
      <w:r w:rsidRPr="00B256EE">
        <w:rPr>
          <w:rFonts w:cstheme="minorHAnsi"/>
          <w:color w:val="222222"/>
          <w:sz w:val="18"/>
          <w:szCs w:val="18"/>
          <w:shd w:val="clear" w:color="auto" w:fill="FFFFFF"/>
        </w:rPr>
        <w:t>Singh, J. and Chavali, H. (2011) Age estimation from clavicular epiphyseal union sequencing in a Northwest Indian population of the Chandigarh region.</w:t>
      </w:r>
      <w:r w:rsidRPr="00B256EE">
        <w:rPr>
          <w:rStyle w:val="apple-converted-space"/>
          <w:rFonts w:cstheme="minorHAnsi"/>
          <w:color w:val="222222"/>
          <w:sz w:val="18"/>
          <w:szCs w:val="18"/>
          <w:shd w:val="clear" w:color="auto" w:fill="FFFFFF"/>
        </w:rPr>
        <w:t> </w:t>
      </w:r>
      <w:r w:rsidRPr="00B256EE">
        <w:rPr>
          <w:rFonts w:cstheme="minorHAnsi"/>
          <w:i/>
          <w:iCs/>
          <w:color w:val="222222"/>
          <w:sz w:val="18"/>
          <w:szCs w:val="18"/>
          <w:shd w:val="clear" w:color="auto" w:fill="FFFFFF"/>
        </w:rPr>
        <w:t>Journal of forensic and legal medicine</w:t>
      </w:r>
      <w:r w:rsidRPr="00B256EE">
        <w:rPr>
          <w:rFonts w:cstheme="minorHAnsi"/>
          <w:color w:val="222222"/>
          <w:sz w:val="18"/>
          <w:szCs w:val="18"/>
          <w:shd w:val="clear" w:color="auto" w:fill="FFFFFF"/>
        </w:rPr>
        <w:t>,</w:t>
      </w:r>
      <w:r w:rsidRPr="00B256EE">
        <w:rPr>
          <w:rStyle w:val="apple-converted-space"/>
          <w:rFonts w:cstheme="minorHAnsi"/>
          <w:color w:val="222222"/>
          <w:sz w:val="18"/>
          <w:szCs w:val="18"/>
          <w:shd w:val="clear" w:color="auto" w:fill="FFFFFF"/>
        </w:rPr>
        <w:t> </w:t>
      </w:r>
      <w:r w:rsidRPr="00B256EE">
        <w:rPr>
          <w:rFonts w:cstheme="minorHAnsi"/>
          <w:b/>
          <w:iCs/>
          <w:color w:val="222222"/>
          <w:sz w:val="18"/>
          <w:szCs w:val="18"/>
          <w:shd w:val="clear" w:color="auto" w:fill="FFFFFF"/>
        </w:rPr>
        <w:t>18</w:t>
      </w:r>
      <w:r w:rsidRPr="00B256EE">
        <w:rPr>
          <w:rFonts w:cstheme="minorHAnsi"/>
          <w:i/>
          <w:iCs/>
          <w:color w:val="222222"/>
          <w:sz w:val="18"/>
          <w:szCs w:val="18"/>
          <w:shd w:val="clear" w:color="auto" w:fill="FFFFFF"/>
        </w:rPr>
        <w:t xml:space="preserve"> </w:t>
      </w:r>
      <w:r w:rsidRPr="00B256EE">
        <w:rPr>
          <w:rFonts w:cstheme="minorHAnsi"/>
          <w:color w:val="222222"/>
          <w:sz w:val="18"/>
          <w:szCs w:val="18"/>
          <w:shd w:val="clear" w:color="auto" w:fill="FFFFFF"/>
        </w:rPr>
        <w:t>(2), 82-87.</w:t>
      </w:r>
    </w:p>
    <w:p w:rsidR="00A27044" w:rsidRPr="00B256EE" w:rsidRDefault="00A27044" w:rsidP="003B5900">
      <w:pPr>
        <w:spacing w:line="240" w:lineRule="auto"/>
        <w:jc w:val="both"/>
        <w:rPr>
          <w:rFonts w:cstheme="minorHAnsi"/>
          <w:spacing w:val="-1"/>
          <w:sz w:val="18"/>
          <w:szCs w:val="18"/>
        </w:rPr>
      </w:pPr>
      <w:r w:rsidRPr="00B256EE">
        <w:rPr>
          <w:rFonts w:cstheme="minorHAnsi"/>
          <w:color w:val="222222"/>
          <w:sz w:val="18"/>
          <w:szCs w:val="18"/>
          <w:shd w:val="clear" w:color="auto" w:fill="FFFFFF"/>
        </w:rPr>
        <w:t>Stirland, J. and Waldron, T. (1997) Evidence for Activity Related Markers in the Vertebrae of the Crew of the</w:t>
      </w:r>
      <w:r w:rsidR="00E21A0C">
        <w:rPr>
          <w:rFonts w:cstheme="minorHAnsi"/>
          <w:color w:val="222222"/>
          <w:sz w:val="18"/>
          <w:szCs w:val="18"/>
          <w:shd w:val="clear" w:color="auto" w:fill="FFFFFF"/>
        </w:rPr>
        <w:t xml:space="preserve"> </w:t>
      </w:r>
      <w:r w:rsidRPr="00B256EE">
        <w:rPr>
          <w:rFonts w:cstheme="minorHAnsi"/>
          <w:color w:val="222222"/>
          <w:sz w:val="18"/>
          <w:szCs w:val="18"/>
          <w:shd w:val="clear" w:color="auto" w:fill="FFFFFF"/>
        </w:rPr>
        <w:t>Mary Rose. </w:t>
      </w:r>
      <w:r w:rsidRPr="00B256EE">
        <w:rPr>
          <w:rFonts w:cstheme="minorHAnsi"/>
          <w:i/>
          <w:iCs/>
          <w:color w:val="222222"/>
          <w:sz w:val="18"/>
          <w:szCs w:val="18"/>
          <w:shd w:val="clear" w:color="auto" w:fill="FFFFFF"/>
        </w:rPr>
        <w:t>Journal of Archaeological Science</w:t>
      </w:r>
      <w:r w:rsidRPr="00B256EE">
        <w:rPr>
          <w:rFonts w:cstheme="minorHAnsi"/>
          <w:color w:val="222222"/>
          <w:sz w:val="18"/>
          <w:szCs w:val="18"/>
          <w:shd w:val="clear" w:color="auto" w:fill="FFFFFF"/>
        </w:rPr>
        <w:t>, </w:t>
      </w:r>
      <w:r w:rsidRPr="00B256EE">
        <w:rPr>
          <w:rFonts w:cstheme="minorHAnsi"/>
          <w:b/>
          <w:iCs/>
          <w:color w:val="222222"/>
          <w:sz w:val="18"/>
          <w:szCs w:val="18"/>
          <w:shd w:val="clear" w:color="auto" w:fill="FFFFFF"/>
        </w:rPr>
        <w:t>24</w:t>
      </w:r>
      <w:r w:rsidRPr="00B256EE">
        <w:rPr>
          <w:rFonts w:cstheme="minorHAnsi"/>
          <w:i/>
          <w:iCs/>
          <w:color w:val="222222"/>
          <w:sz w:val="18"/>
          <w:szCs w:val="18"/>
          <w:shd w:val="clear" w:color="auto" w:fill="FFFFFF"/>
        </w:rPr>
        <w:t xml:space="preserve"> </w:t>
      </w:r>
      <w:r w:rsidRPr="00B256EE">
        <w:rPr>
          <w:rFonts w:cstheme="minorHAnsi"/>
          <w:color w:val="222222"/>
          <w:sz w:val="18"/>
          <w:szCs w:val="18"/>
          <w:shd w:val="clear" w:color="auto" w:fill="FFFFFF"/>
        </w:rPr>
        <w:t>(4), 329-335.</w:t>
      </w:r>
    </w:p>
    <w:p w:rsidR="00A27044" w:rsidRPr="00B256EE" w:rsidRDefault="00A27044" w:rsidP="003B5900">
      <w:pPr>
        <w:spacing w:line="240" w:lineRule="auto"/>
        <w:jc w:val="both"/>
        <w:rPr>
          <w:rFonts w:cstheme="minorHAnsi"/>
          <w:sz w:val="18"/>
          <w:szCs w:val="18"/>
        </w:rPr>
      </w:pPr>
      <w:r w:rsidRPr="00B256EE">
        <w:rPr>
          <w:rFonts w:cstheme="minorHAnsi"/>
          <w:sz w:val="18"/>
          <w:szCs w:val="18"/>
        </w:rPr>
        <w:t xml:space="preserve">Tempelhof, S., Rupp, S. and Seil, R. (1999) Age-related prevalence of rotator cuff tears in asymptomatic shoulders. </w:t>
      </w:r>
      <w:r w:rsidRPr="00B256EE">
        <w:rPr>
          <w:rFonts w:cstheme="minorHAnsi"/>
          <w:i/>
          <w:sz w:val="18"/>
          <w:szCs w:val="18"/>
        </w:rPr>
        <w:t>Journal of Shoulder and Elbow Surgery</w:t>
      </w:r>
      <w:r w:rsidRPr="00B256EE">
        <w:rPr>
          <w:rFonts w:cstheme="minorHAnsi"/>
          <w:sz w:val="18"/>
          <w:szCs w:val="18"/>
        </w:rPr>
        <w:t xml:space="preserve">, </w:t>
      </w:r>
      <w:r w:rsidRPr="00B256EE">
        <w:rPr>
          <w:rFonts w:cstheme="minorHAnsi"/>
          <w:b/>
          <w:sz w:val="18"/>
          <w:szCs w:val="18"/>
        </w:rPr>
        <w:t>8</w:t>
      </w:r>
      <w:r w:rsidRPr="00B256EE">
        <w:rPr>
          <w:rFonts w:cstheme="minorHAnsi"/>
          <w:sz w:val="18"/>
          <w:szCs w:val="18"/>
        </w:rPr>
        <w:t xml:space="preserve">, 296–299. </w:t>
      </w:r>
    </w:p>
    <w:p w:rsidR="00A27044" w:rsidRDefault="00A27044" w:rsidP="003B5900">
      <w:pPr>
        <w:spacing w:before="144" w:line="240" w:lineRule="auto"/>
        <w:jc w:val="both"/>
        <w:rPr>
          <w:rFonts w:cs="Arial"/>
          <w:color w:val="222222"/>
          <w:sz w:val="18"/>
          <w:szCs w:val="18"/>
          <w:shd w:val="clear" w:color="auto" w:fill="FFFFFF"/>
        </w:rPr>
      </w:pPr>
      <w:r>
        <w:rPr>
          <w:rFonts w:cs="Arial"/>
          <w:color w:val="222222"/>
          <w:sz w:val="18"/>
          <w:szCs w:val="18"/>
          <w:shd w:val="clear" w:color="auto" w:fill="FFFFFF"/>
        </w:rPr>
        <w:t>Verbrugge, M. (1995)</w:t>
      </w:r>
      <w:r w:rsidRPr="00961D7C">
        <w:rPr>
          <w:rFonts w:cs="Arial"/>
          <w:color w:val="222222"/>
          <w:sz w:val="18"/>
          <w:szCs w:val="18"/>
          <w:shd w:val="clear" w:color="auto" w:fill="FFFFFF"/>
        </w:rPr>
        <w:t xml:space="preserve"> Women, men, and osteoarthritis. </w:t>
      </w:r>
      <w:r w:rsidRPr="00961D7C">
        <w:rPr>
          <w:rFonts w:cs="Arial"/>
          <w:i/>
          <w:iCs/>
          <w:color w:val="222222"/>
          <w:sz w:val="18"/>
          <w:szCs w:val="18"/>
          <w:shd w:val="clear" w:color="auto" w:fill="FFFFFF"/>
        </w:rPr>
        <w:t>Arthritis &amp; Rheumatology</w:t>
      </w:r>
      <w:r w:rsidRPr="00961D7C">
        <w:rPr>
          <w:rFonts w:cs="Arial"/>
          <w:color w:val="222222"/>
          <w:sz w:val="18"/>
          <w:szCs w:val="18"/>
          <w:shd w:val="clear" w:color="auto" w:fill="FFFFFF"/>
        </w:rPr>
        <w:t>, </w:t>
      </w:r>
      <w:r w:rsidRPr="00961D7C">
        <w:rPr>
          <w:rFonts w:cs="Arial"/>
          <w:b/>
          <w:iCs/>
          <w:color w:val="222222"/>
          <w:sz w:val="18"/>
          <w:szCs w:val="18"/>
          <w:shd w:val="clear" w:color="auto" w:fill="FFFFFF"/>
        </w:rPr>
        <w:t>8</w:t>
      </w:r>
      <w:r w:rsidRPr="00961D7C">
        <w:rPr>
          <w:rFonts w:cs="Arial"/>
          <w:b/>
          <w:i/>
          <w:iCs/>
          <w:color w:val="222222"/>
          <w:sz w:val="18"/>
          <w:szCs w:val="18"/>
          <w:shd w:val="clear" w:color="auto" w:fill="FFFFFF"/>
        </w:rPr>
        <w:t xml:space="preserve"> </w:t>
      </w:r>
      <w:r w:rsidRPr="00961D7C">
        <w:rPr>
          <w:rFonts w:cs="Arial"/>
          <w:color w:val="222222"/>
          <w:sz w:val="18"/>
          <w:szCs w:val="18"/>
          <w:shd w:val="clear" w:color="auto" w:fill="FFFFFF"/>
        </w:rPr>
        <w:t>(4), 212-220.</w:t>
      </w:r>
    </w:p>
    <w:p w:rsidR="00A27044" w:rsidRPr="005858EE" w:rsidRDefault="00A27044" w:rsidP="003B5900">
      <w:pPr>
        <w:spacing w:line="240" w:lineRule="auto"/>
        <w:jc w:val="both"/>
        <w:rPr>
          <w:rFonts w:cs="Arial"/>
          <w:color w:val="222222"/>
          <w:sz w:val="18"/>
          <w:szCs w:val="18"/>
          <w:shd w:val="clear" w:color="auto" w:fill="FFFFFF"/>
        </w:rPr>
      </w:pPr>
      <w:r w:rsidRPr="005858EE">
        <w:rPr>
          <w:rFonts w:cs="Arial"/>
          <w:color w:val="222222"/>
          <w:sz w:val="18"/>
          <w:szCs w:val="18"/>
          <w:shd w:val="clear" w:color="auto" w:fill="FFFFFF"/>
        </w:rPr>
        <w:t>Vicinus, M. (2013)</w:t>
      </w:r>
      <w:r w:rsidRPr="005858EE">
        <w:rPr>
          <w:rStyle w:val="apple-converted-space"/>
          <w:rFonts w:cs="Arial"/>
          <w:color w:val="222222"/>
          <w:sz w:val="18"/>
          <w:szCs w:val="18"/>
          <w:shd w:val="clear" w:color="auto" w:fill="FFFFFF"/>
        </w:rPr>
        <w:t> </w:t>
      </w:r>
      <w:r w:rsidRPr="005858EE">
        <w:rPr>
          <w:rFonts w:cs="Arial"/>
          <w:i/>
          <w:iCs/>
          <w:color w:val="222222"/>
          <w:sz w:val="18"/>
          <w:szCs w:val="18"/>
          <w:shd w:val="clear" w:color="auto" w:fill="FFFFFF"/>
        </w:rPr>
        <w:t>A Widening Sphere (Routledge Revivals): Changing Roles of Victorian Women</w:t>
      </w:r>
      <w:r w:rsidRPr="005858EE">
        <w:rPr>
          <w:rFonts w:cs="Arial"/>
          <w:color w:val="222222"/>
          <w:sz w:val="18"/>
          <w:szCs w:val="18"/>
          <w:shd w:val="clear" w:color="auto" w:fill="FFFFFF"/>
        </w:rPr>
        <w:t>. Routledge.</w:t>
      </w:r>
    </w:p>
    <w:p w:rsidR="00A27044" w:rsidRPr="005858EE" w:rsidRDefault="00A27044" w:rsidP="003B5900">
      <w:pPr>
        <w:spacing w:line="240" w:lineRule="auto"/>
        <w:jc w:val="both"/>
        <w:rPr>
          <w:rFonts w:cs="Arial"/>
          <w:color w:val="333333"/>
          <w:sz w:val="18"/>
          <w:szCs w:val="18"/>
          <w:shd w:val="clear" w:color="auto" w:fill="FFFFFF"/>
        </w:rPr>
      </w:pPr>
      <w:r w:rsidRPr="005858EE">
        <w:rPr>
          <w:rFonts w:cs="Arial"/>
          <w:color w:val="333333"/>
          <w:sz w:val="18"/>
          <w:szCs w:val="18"/>
          <w:shd w:val="clear" w:color="auto" w:fill="FFFFFF"/>
        </w:rPr>
        <w:t>Vilensky</w:t>
      </w:r>
      <w:r>
        <w:rPr>
          <w:rFonts w:cs="Arial"/>
          <w:color w:val="333333"/>
          <w:sz w:val="18"/>
          <w:szCs w:val="18"/>
          <w:shd w:val="clear" w:color="auto" w:fill="FFFFFF"/>
        </w:rPr>
        <w:t xml:space="preserve">, </w:t>
      </w:r>
      <w:r w:rsidRPr="005858EE">
        <w:rPr>
          <w:rFonts w:cs="Arial"/>
          <w:color w:val="333333"/>
          <w:sz w:val="18"/>
          <w:szCs w:val="18"/>
          <w:shd w:val="clear" w:color="auto" w:fill="FFFFFF"/>
        </w:rPr>
        <w:t>A</w:t>
      </w:r>
      <w:r>
        <w:rPr>
          <w:rFonts w:cs="Arial"/>
          <w:color w:val="333333"/>
          <w:sz w:val="18"/>
          <w:szCs w:val="18"/>
          <w:shd w:val="clear" w:color="auto" w:fill="FFFFFF"/>
        </w:rPr>
        <w:t>.</w:t>
      </w:r>
      <w:r w:rsidRPr="005858EE">
        <w:rPr>
          <w:rFonts w:cs="Arial"/>
          <w:color w:val="333333"/>
          <w:sz w:val="18"/>
          <w:szCs w:val="18"/>
          <w:shd w:val="clear" w:color="auto" w:fill="FFFFFF"/>
        </w:rPr>
        <w:t xml:space="preserve"> (1989) Primate quadrupedalism: How and why does it differ from that of typical quadrupeds? </w:t>
      </w:r>
      <w:r w:rsidRPr="009D41BE">
        <w:rPr>
          <w:rFonts w:cs="Arial"/>
          <w:i/>
          <w:color w:val="333333"/>
          <w:sz w:val="18"/>
          <w:szCs w:val="18"/>
          <w:shd w:val="clear" w:color="auto" w:fill="FFFFFF"/>
        </w:rPr>
        <w:t>Brain Behav</w:t>
      </w:r>
      <w:r>
        <w:rPr>
          <w:rFonts w:cs="Arial"/>
          <w:i/>
          <w:color w:val="333333"/>
          <w:sz w:val="18"/>
          <w:szCs w:val="18"/>
          <w:shd w:val="clear" w:color="auto" w:fill="FFFFFF"/>
        </w:rPr>
        <w:t>ioural</w:t>
      </w:r>
      <w:r w:rsidRPr="009D41BE">
        <w:rPr>
          <w:rFonts w:cs="Arial"/>
          <w:i/>
          <w:color w:val="333333"/>
          <w:sz w:val="18"/>
          <w:szCs w:val="18"/>
          <w:shd w:val="clear" w:color="auto" w:fill="FFFFFF"/>
        </w:rPr>
        <w:t xml:space="preserve"> Evol</w:t>
      </w:r>
      <w:r>
        <w:rPr>
          <w:rFonts w:cs="Arial"/>
          <w:i/>
          <w:color w:val="333333"/>
          <w:sz w:val="18"/>
          <w:szCs w:val="18"/>
          <w:shd w:val="clear" w:color="auto" w:fill="FFFFFF"/>
        </w:rPr>
        <w:t>ution</w:t>
      </w:r>
      <w:r>
        <w:rPr>
          <w:rFonts w:cs="Arial"/>
          <w:color w:val="333333"/>
          <w:sz w:val="18"/>
          <w:szCs w:val="18"/>
          <w:shd w:val="clear" w:color="auto" w:fill="FFFFFF"/>
        </w:rPr>
        <w:t>,</w:t>
      </w:r>
      <w:r w:rsidRPr="005858EE">
        <w:rPr>
          <w:rStyle w:val="apple-converted-space"/>
          <w:rFonts w:cs="Arial"/>
          <w:color w:val="333333"/>
          <w:sz w:val="18"/>
          <w:szCs w:val="18"/>
          <w:shd w:val="clear" w:color="auto" w:fill="FFFFFF"/>
        </w:rPr>
        <w:t> </w:t>
      </w:r>
      <w:r w:rsidRPr="009D41BE">
        <w:rPr>
          <w:rStyle w:val="Emphasis"/>
          <w:rFonts w:cs="Arial"/>
          <w:b/>
          <w:i w:val="0"/>
          <w:color w:val="333333"/>
          <w:sz w:val="18"/>
          <w:szCs w:val="18"/>
          <w:shd w:val="clear" w:color="auto" w:fill="FFFFFF"/>
        </w:rPr>
        <w:t>34</w:t>
      </w:r>
      <w:r>
        <w:rPr>
          <w:rFonts w:cs="Arial"/>
          <w:color w:val="333333"/>
          <w:sz w:val="18"/>
          <w:szCs w:val="18"/>
          <w:shd w:val="clear" w:color="auto" w:fill="FFFFFF"/>
        </w:rPr>
        <w:t xml:space="preserve">, </w:t>
      </w:r>
      <w:r w:rsidRPr="005858EE">
        <w:rPr>
          <w:rFonts w:cs="Arial"/>
          <w:color w:val="333333"/>
          <w:sz w:val="18"/>
          <w:szCs w:val="18"/>
          <w:shd w:val="clear" w:color="auto" w:fill="FFFFFF"/>
        </w:rPr>
        <w:t>357–364.</w:t>
      </w:r>
    </w:p>
    <w:p w:rsidR="00A27044" w:rsidRPr="006901FF" w:rsidRDefault="00A27044" w:rsidP="003B5900">
      <w:pPr>
        <w:jc w:val="both"/>
        <w:rPr>
          <w:sz w:val="18"/>
          <w:szCs w:val="18"/>
        </w:rPr>
      </w:pPr>
      <w:r w:rsidRPr="006901FF">
        <w:rPr>
          <w:sz w:val="18"/>
          <w:szCs w:val="18"/>
        </w:rPr>
        <w:t>Waldron, A. (1991) Prevalence and distribution of osteoarthritis in a population from Georgian and early Victorian London. </w:t>
      </w:r>
      <w:r w:rsidRPr="006901FF">
        <w:rPr>
          <w:i/>
          <w:sz w:val="18"/>
          <w:szCs w:val="18"/>
        </w:rPr>
        <w:t>Annals of the rheumatic diseases</w:t>
      </w:r>
      <w:r w:rsidRPr="006901FF">
        <w:rPr>
          <w:sz w:val="18"/>
          <w:szCs w:val="18"/>
        </w:rPr>
        <w:t>, 50 (5), 301-307.</w:t>
      </w:r>
    </w:p>
    <w:p w:rsidR="00A27044" w:rsidRDefault="00A27044" w:rsidP="003B5900">
      <w:pPr>
        <w:spacing w:line="240" w:lineRule="auto"/>
        <w:jc w:val="both"/>
        <w:rPr>
          <w:rFonts w:cs="Arial"/>
          <w:color w:val="333333"/>
          <w:sz w:val="18"/>
          <w:szCs w:val="18"/>
          <w:shd w:val="clear" w:color="auto" w:fill="FFFFFF"/>
        </w:rPr>
      </w:pPr>
      <w:r>
        <w:rPr>
          <w:rFonts w:cs="Arial"/>
          <w:color w:val="333333"/>
          <w:sz w:val="18"/>
          <w:szCs w:val="18"/>
          <w:shd w:val="clear" w:color="auto" w:fill="FFFFFF"/>
        </w:rPr>
        <w:lastRenderedPageBreak/>
        <w:t xml:space="preserve">Waldron, </w:t>
      </w:r>
      <w:r w:rsidRPr="002E77B6">
        <w:rPr>
          <w:rFonts w:cs="Arial"/>
          <w:color w:val="333333"/>
          <w:sz w:val="18"/>
          <w:szCs w:val="18"/>
          <w:shd w:val="clear" w:color="auto" w:fill="FFFFFF"/>
        </w:rPr>
        <w:t xml:space="preserve">A. </w:t>
      </w:r>
      <w:r>
        <w:rPr>
          <w:rFonts w:cs="Arial"/>
          <w:color w:val="333333"/>
          <w:sz w:val="18"/>
          <w:szCs w:val="18"/>
          <w:shd w:val="clear" w:color="auto" w:fill="FFFFFF"/>
        </w:rPr>
        <w:t>and Cox, M. (1989)</w:t>
      </w:r>
      <w:r w:rsidRPr="002E77B6">
        <w:rPr>
          <w:rFonts w:cs="Arial"/>
          <w:color w:val="333333"/>
          <w:sz w:val="18"/>
          <w:szCs w:val="18"/>
          <w:shd w:val="clear" w:color="auto" w:fill="FFFFFF"/>
        </w:rPr>
        <w:t xml:space="preserve"> Occupational arthropathy: evidence from the past. </w:t>
      </w:r>
      <w:r w:rsidRPr="002E77B6">
        <w:rPr>
          <w:rFonts w:cs="Arial"/>
          <w:i/>
          <w:color w:val="333333"/>
          <w:sz w:val="18"/>
          <w:szCs w:val="18"/>
          <w:shd w:val="clear" w:color="auto" w:fill="FFFFFF"/>
        </w:rPr>
        <w:t>Occupational and Environmental Medicine</w:t>
      </w:r>
      <w:r w:rsidRPr="002E77B6">
        <w:rPr>
          <w:rFonts w:cs="Arial"/>
          <w:color w:val="333333"/>
          <w:sz w:val="18"/>
          <w:szCs w:val="18"/>
          <w:shd w:val="clear" w:color="auto" w:fill="FFFFFF"/>
        </w:rPr>
        <w:t xml:space="preserve">, </w:t>
      </w:r>
      <w:r w:rsidRPr="002E77B6">
        <w:rPr>
          <w:rFonts w:cs="Arial"/>
          <w:b/>
          <w:color w:val="333333"/>
          <w:sz w:val="18"/>
          <w:szCs w:val="18"/>
          <w:shd w:val="clear" w:color="auto" w:fill="FFFFFF"/>
        </w:rPr>
        <w:t>46</w:t>
      </w:r>
      <w:r>
        <w:rPr>
          <w:rFonts w:cs="Arial"/>
          <w:color w:val="333333"/>
          <w:sz w:val="18"/>
          <w:szCs w:val="18"/>
          <w:shd w:val="clear" w:color="auto" w:fill="FFFFFF"/>
        </w:rPr>
        <w:t xml:space="preserve"> </w:t>
      </w:r>
      <w:r w:rsidRPr="002E77B6">
        <w:rPr>
          <w:rFonts w:cs="Arial"/>
          <w:color w:val="333333"/>
          <w:sz w:val="18"/>
          <w:szCs w:val="18"/>
          <w:shd w:val="clear" w:color="auto" w:fill="FFFFFF"/>
        </w:rPr>
        <w:t>(6), 420-422.</w:t>
      </w:r>
    </w:p>
    <w:p w:rsidR="00A27044" w:rsidRPr="00EE2406" w:rsidRDefault="00A27044" w:rsidP="003B5900">
      <w:pPr>
        <w:spacing w:line="240" w:lineRule="auto"/>
        <w:jc w:val="both"/>
        <w:rPr>
          <w:rFonts w:cstheme="minorHAnsi"/>
          <w:sz w:val="18"/>
          <w:szCs w:val="18"/>
        </w:rPr>
      </w:pPr>
      <w:r w:rsidRPr="00EA1584">
        <w:rPr>
          <w:rFonts w:cstheme="minorHAnsi"/>
          <w:color w:val="222222"/>
          <w:sz w:val="18"/>
          <w:szCs w:val="18"/>
          <w:shd w:val="clear" w:color="auto" w:fill="FFFFFF"/>
        </w:rPr>
        <w:t>Waldron, T. (1992) Osteoarthritis in a Black Death cemetery in London. </w:t>
      </w:r>
      <w:r w:rsidRPr="00EA1584">
        <w:rPr>
          <w:rFonts w:cstheme="minorHAnsi"/>
          <w:i/>
          <w:iCs/>
          <w:color w:val="222222"/>
          <w:sz w:val="18"/>
          <w:szCs w:val="18"/>
          <w:shd w:val="clear" w:color="auto" w:fill="FFFFFF"/>
        </w:rPr>
        <w:t>International Journal of Osteoarchaeology</w:t>
      </w:r>
      <w:r w:rsidRPr="00EA1584">
        <w:rPr>
          <w:rFonts w:cstheme="minorHAnsi"/>
          <w:color w:val="222222"/>
          <w:sz w:val="18"/>
          <w:szCs w:val="18"/>
          <w:shd w:val="clear" w:color="auto" w:fill="FFFFFF"/>
        </w:rPr>
        <w:t>, </w:t>
      </w:r>
      <w:r w:rsidRPr="00EA1584">
        <w:rPr>
          <w:rFonts w:cstheme="minorHAnsi"/>
          <w:b/>
          <w:iCs/>
          <w:color w:val="222222"/>
          <w:sz w:val="18"/>
          <w:szCs w:val="18"/>
          <w:shd w:val="clear" w:color="auto" w:fill="FFFFFF"/>
        </w:rPr>
        <w:t>2</w:t>
      </w:r>
      <w:r w:rsidRPr="00EA1584">
        <w:rPr>
          <w:rFonts w:cstheme="minorHAnsi"/>
          <w:i/>
          <w:iCs/>
          <w:color w:val="222222"/>
          <w:sz w:val="18"/>
          <w:szCs w:val="18"/>
          <w:shd w:val="clear" w:color="auto" w:fill="FFFFFF"/>
        </w:rPr>
        <w:t xml:space="preserve"> </w:t>
      </w:r>
      <w:r w:rsidRPr="00EA1584">
        <w:rPr>
          <w:rFonts w:cstheme="minorHAnsi"/>
          <w:color w:val="222222"/>
          <w:sz w:val="18"/>
          <w:szCs w:val="18"/>
          <w:shd w:val="clear" w:color="auto" w:fill="FFFFFF"/>
        </w:rPr>
        <w:t xml:space="preserve">(3), </w:t>
      </w:r>
      <w:r w:rsidRPr="00EE2406">
        <w:rPr>
          <w:rFonts w:cstheme="minorHAnsi"/>
          <w:color w:val="222222"/>
          <w:sz w:val="18"/>
          <w:szCs w:val="18"/>
          <w:shd w:val="clear" w:color="auto" w:fill="FFFFFF"/>
        </w:rPr>
        <w:t>235-240.</w:t>
      </w:r>
    </w:p>
    <w:p w:rsidR="00A27044" w:rsidRDefault="00A27044" w:rsidP="003B5900">
      <w:pPr>
        <w:pStyle w:val="Default"/>
        <w:jc w:val="both"/>
        <w:rPr>
          <w:rFonts w:asciiTheme="minorHAnsi" w:hAnsiTheme="minorHAnsi"/>
          <w:sz w:val="18"/>
          <w:szCs w:val="18"/>
        </w:rPr>
      </w:pPr>
      <w:r w:rsidRPr="00EE2406">
        <w:rPr>
          <w:rFonts w:asciiTheme="minorHAnsi" w:hAnsiTheme="minorHAnsi"/>
          <w:sz w:val="18"/>
          <w:szCs w:val="18"/>
        </w:rPr>
        <w:t xml:space="preserve">Waldron, T. (1994) </w:t>
      </w:r>
      <w:r w:rsidRPr="00EE2406">
        <w:rPr>
          <w:rFonts w:asciiTheme="minorHAnsi" w:hAnsiTheme="minorHAnsi"/>
          <w:i/>
          <w:iCs/>
          <w:sz w:val="18"/>
          <w:szCs w:val="18"/>
        </w:rPr>
        <w:t>Counting the dead: the epidemiology of skeletal populations</w:t>
      </w:r>
      <w:r w:rsidRPr="00EE2406">
        <w:rPr>
          <w:rFonts w:asciiTheme="minorHAnsi" w:hAnsiTheme="minorHAnsi"/>
          <w:sz w:val="18"/>
          <w:szCs w:val="18"/>
        </w:rPr>
        <w:t xml:space="preserve">. John Wiley &amp; Sons. </w:t>
      </w:r>
    </w:p>
    <w:p w:rsidR="00A27044" w:rsidRPr="00EE2406" w:rsidRDefault="00A27044" w:rsidP="003B5900">
      <w:pPr>
        <w:pStyle w:val="Default"/>
        <w:jc w:val="both"/>
        <w:rPr>
          <w:rFonts w:asciiTheme="minorHAnsi" w:hAnsiTheme="minorHAnsi"/>
          <w:sz w:val="18"/>
          <w:szCs w:val="18"/>
        </w:rPr>
      </w:pPr>
    </w:p>
    <w:p w:rsidR="00A27044" w:rsidRPr="00EE2406" w:rsidRDefault="00A27044" w:rsidP="003B5900">
      <w:pPr>
        <w:spacing w:line="240" w:lineRule="auto"/>
        <w:jc w:val="both"/>
        <w:rPr>
          <w:sz w:val="18"/>
          <w:szCs w:val="18"/>
        </w:rPr>
      </w:pPr>
      <w:r w:rsidRPr="00EE2406">
        <w:rPr>
          <w:sz w:val="18"/>
          <w:szCs w:val="18"/>
          <w:shd w:val="clear" w:color="auto" w:fill="FFFFFF"/>
        </w:rPr>
        <w:t xml:space="preserve">Waldron, T. (2009) </w:t>
      </w:r>
      <w:r w:rsidRPr="00EE2406">
        <w:rPr>
          <w:i/>
          <w:iCs/>
          <w:sz w:val="18"/>
          <w:szCs w:val="18"/>
          <w:shd w:val="clear" w:color="auto" w:fill="FFFFFF"/>
        </w:rPr>
        <w:t>Palaeopathology</w:t>
      </w:r>
      <w:r w:rsidRPr="00EE2406">
        <w:rPr>
          <w:sz w:val="18"/>
          <w:szCs w:val="18"/>
          <w:shd w:val="clear" w:color="auto" w:fill="FFFFFF"/>
        </w:rPr>
        <w:t>. Cambridge University Press.</w:t>
      </w:r>
      <w:r w:rsidRPr="00EE2406">
        <w:rPr>
          <w:sz w:val="18"/>
          <w:szCs w:val="18"/>
        </w:rPr>
        <w:t xml:space="preserve"> </w:t>
      </w:r>
    </w:p>
    <w:p w:rsidR="00A27044" w:rsidRPr="00EE2406" w:rsidRDefault="00A27044" w:rsidP="003B5900">
      <w:pPr>
        <w:spacing w:line="240" w:lineRule="auto"/>
        <w:jc w:val="both"/>
        <w:rPr>
          <w:rFonts w:cstheme="minorHAnsi"/>
          <w:sz w:val="18"/>
          <w:szCs w:val="18"/>
        </w:rPr>
      </w:pPr>
      <w:r w:rsidRPr="00EE2406">
        <w:rPr>
          <w:rFonts w:cstheme="minorHAnsi"/>
          <w:color w:val="222222"/>
          <w:sz w:val="18"/>
          <w:szCs w:val="18"/>
          <w:shd w:val="clear" w:color="auto" w:fill="FFFFFF"/>
        </w:rPr>
        <w:t>Wrigley, A. (1990) </w:t>
      </w:r>
      <w:r w:rsidRPr="00EE2406">
        <w:rPr>
          <w:rFonts w:cstheme="minorHAnsi"/>
          <w:i/>
          <w:iCs/>
          <w:color w:val="222222"/>
          <w:sz w:val="18"/>
          <w:szCs w:val="18"/>
          <w:shd w:val="clear" w:color="auto" w:fill="FFFFFF"/>
        </w:rPr>
        <w:t>Continuity, chance and change: The character of the industrial revolution in England</w:t>
      </w:r>
      <w:r w:rsidRPr="00EE2406">
        <w:rPr>
          <w:rFonts w:cstheme="minorHAnsi"/>
          <w:color w:val="222222"/>
          <w:sz w:val="18"/>
          <w:szCs w:val="18"/>
          <w:shd w:val="clear" w:color="auto" w:fill="FFFFFF"/>
        </w:rPr>
        <w:t>. Cambridge University Press.</w:t>
      </w:r>
    </w:p>
    <w:p w:rsidR="00A27044" w:rsidRPr="00B256EE" w:rsidRDefault="00A27044" w:rsidP="003B5900">
      <w:pPr>
        <w:spacing w:line="240" w:lineRule="auto"/>
        <w:jc w:val="both"/>
        <w:rPr>
          <w:rFonts w:cstheme="minorHAnsi"/>
          <w:sz w:val="18"/>
          <w:szCs w:val="18"/>
        </w:rPr>
      </w:pPr>
      <w:r w:rsidRPr="00EE2406">
        <w:rPr>
          <w:rFonts w:cstheme="minorHAnsi"/>
          <w:sz w:val="18"/>
          <w:szCs w:val="18"/>
        </w:rPr>
        <w:t>Yamaguchi, K., Tetro</w:t>
      </w:r>
      <w:r w:rsidRPr="00B256EE">
        <w:rPr>
          <w:rFonts w:cstheme="minorHAnsi"/>
          <w:sz w:val="18"/>
          <w:szCs w:val="18"/>
        </w:rPr>
        <w:t xml:space="preserve">, M., Blam, O., Evanoff, A., Teefey, A. and Middleton, D. (2001) Natural history of asymptomatic rotator cuff tears: a longitudinal analysis of asymptomatic tears detected sonographically. </w:t>
      </w:r>
      <w:r w:rsidRPr="00B256EE">
        <w:rPr>
          <w:rFonts w:cstheme="minorHAnsi"/>
          <w:i/>
          <w:sz w:val="18"/>
          <w:szCs w:val="18"/>
        </w:rPr>
        <w:t>Journal of Shoulder and Elbow Surgery</w:t>
      </w:r>
      <w:r w:rsidRPr="00B256EE">
        <w:rPr>
          <w:rFonts w:cstheme="minorHAnsi"/>
          <w:sz w:val="18"/>
          <w:szCs w:val="18"/>
        </w:rPr>
        <w:t xml:space="preserve">, </w:t>
      </w:r>
      <w:r w:rsidRPr="00B256EE">
        <w:rPr>
          <w:rFonts w:cstheme="minorHAnsi"/>
          <w:b/>
          <w:sz w:val="18"/>
          <w:szCs w:val="18"/>
        </w:rPr>
        <w:t>10</w:t>
      </w:r>
      <w:r w:rsidRPr="00B256EE">
        <w:rPr>
          <w:rFonts w:cstheme="minorHAnsi"/>
          <w:sz w:val="18"/>
          <w:szCs w:val="18"/>
        </w:rPr>
        <w:t>, 199–203.</w:t>
      </w:r>
    </w:p>
    <w:p w:rsidR="00A27044" w:rsidRPr="000764DD" w:rsidRDefault="00A27044" w:rsidP="003B5900">
      <w:pPr>
        <w:spacing w:line="240" w:lineRule="auto"/>
        <w:jc w:val="both"/>
        <w:rPr>
          <w:sz w:val="18"/>
          <w:szCs w:val="18"/>
        </w:rPr>
      </w:pPr>
      <w:r w:rsidRPr="000764DD">
        <w:rPr>
          <w:rFonts w:cs="Arial"/>
          <w:color w:val="222222"/>
          <w:sz w:val="18"/>
          <w:szCs w:val="18"/>
          <w:shd w:val="clear" w:color="auto" w:fill="FFFFFF"/>
        </w:rPr>
        <w:t>Yamamoto, A., Takagishi, K., Osawa, T., Yanagawa, T., Nakajima, D., Shitara, H. and Kobayashi, T. (2010) Prevalence and risk factors of a rotator cuff tear in the general population. </w:t>
      </w:r>
      <w:r w:rsidRPr="000764DD">
        <w:rPr>
          <w:rFonts w:cs="Arial"/>
          <w:i/>
          <w:iCs/>
          <w:color w:val="222222"/>
          <w:sz w:val="18"/>
          <w:szCs w:val="18"/>
          <w:shd w:val="clear" w:color="auto" w:fill="FFFFFF"/>
        </w:rPr>
        <w:t>Journal of Shoulder and Elbow Surgery</w:t>
      </w:r>
      <w:r w:rsidRPr="000764DD">
        <w:rPr>
          <w:rFonts w:cs="Arial"/>
          <w:color w:val="222222"/>
          <w:sz w:val="18"/>
          <w:szCs w:val="18"/>
          <w:shd w:val="clear" w:color="auto" w:fill="FFFFFF"/>
        </w:rPr>
        <w:t>, </w:t>
      </w:r>
      <w:r w:rsidRPr="000764DD">
        <w:rPr>
          <w:rFonts w:cs="Arial"/>
          <w:b/>
          <w:iCs/>
          <w:color w:val="222222"/>
          <w:sz w:val="18"/>
          <w:szCs w:val="18"/>
          <w:shd w:val="clear" w:color="auto" w:fill="FFFFFF"/>
        </w:rPr>
        <w:t>19</w:t>
      </w:r>
      <w:r w:rsidRPr="000764DD">
        <w:rPr>
          <w:rFonts w:cs="Arial"/>
          <w:i/>
          <w:iCs/>
          <w:color w:val="222222"/>
          <w:sz w:val="18"/>
          <w:szCs w:val="18"/>
          <w:shd w:val="clear" w:color="auto" w:fill="FFFFFF"/>
        </w:rPr>
        <w:t xml:space="preserve"> </w:t>
      </w:r>
      <w:r w:rsidRPr="000764DD">
        <w:rPr>
          <w:rFonts w:cs="Arial"/>
          <w:color w:val="222222"/>
          <w:sz w:val="18"/>
          <w:szCs w:val="18"/>
          <w:shd w:val="clear" w:color="auto" w:fill="FFFFFF"/>
        </w:rPr>
        <w:t>(1), 116-120.</w:t>
      </w:r>
    </w:p>
    <w:p w:rsidR="00A27044" w:rsidRPr="00B256EE" w:rsidRDefault="00A27044" w:rsidP="003B5900">
      <w:pPr>
        <w:spacing w:line="240" w:lineRule="auto"/>
        <w:jc w:val="both"/>
        <w:rPr>
          <w:rFonts w:cstheme="minorHAnsi"/>
          <w:sz w:val="18"/>
          <w:szCs w:val="18"/>
        </w:rPr>
      </w:pPr>
      <w:r w:rsidRPr="00B256EE">
        <w:rPr>
          <w:rFonts w:cstheme="minorHAnsi"/>
          <w:sz w:val="18"/>
          <w:szCs w:val="18"/>
        </w:rPr>
        <w:t xml:space="preserve">Yamanaka, K. and Matsumoto, T. (1994) The joint side tear of the rotator cuff. A follow up study by arthrography. </w:t>
      </w:r>
      <w:r w:rsidRPr="00B256EE">
        <w:rPr>
          <w:rFonts w:cstheme="minorHAnsi"/>
          <w:i/>
          <w:sz w:val="18"/>
          <w:szCs w:val="18"/>
        </w:rPr>
        <w:t>Clinical Orthopaedic Related Research</w:t>
      </w:r>
      <w:r w:rsidRPr="00B256EE">
        <w:rPr>
          <w:rFonts w:cstheme="minorHAnsi"/>
          <w:sz w:val="18"/>
          <w:szCs w:val="18"/>
        </w:rPr>
        <w:t xml:space="preserve">, </w:t>
      </w:r>
      <w:r w:rsidRPr="00B256EE">
        <w:rPr>
          <w:rFonts w:cstheme="minorHAnsi"/>
          <w:b/>
          <w:sz w:val="18"/>
          <w:szCs w:val="18"/>
        </w:rPr>
        <w:t>304</w:t>
      </w:r>
      <w:r w:rsidRPr="00B256EE">
        <w:rPr>
          <w:rFonts w:cstheme="minorHAnsi"/>
          <w:sz w:val="18"/>
          <w:szCs w:val="18"/>
        </w:rPr>
        <w:t>, 68–73.</w:t>
      </w:r>
    </w:p>
    <w:p w:rsidR="00A27044" w:rsidRDefault="00A27044" w:rsidP="003B5900">
      <w:pPr>
        <w:spacing w:line="240" w:lineRule="auto"/>
        <w:jc w:val="both"/>
        <w:rPr>
          <w:rFonts w:cs="Arial"/>
          <w:color w:val="333333"/>
          <w:sz w:val="18"/>
          <w:szCs w:val="18"/>
          <w:shd w:val="clear" w:color="auto" w:fill="FFFFFF"/>
        </w:rPr>
      </w:pPr>
      <w:r w:rsidRPr="005858EE">
        <w:rPr>
          <w:rFonts w:cs="Arial"/>
          <w:color w:val="333333"/>
          <w:sz w:val="18"/>
          <w:szCs w:val="18"/>
          <w:shd w:val="clear" w:color="auto" w:fill="FFFFFF"/>
        </w:rPr>
        <w:t>Yamazaki</w:t>
      </w:r>
      <w:r>
        <w:rPr>
          <w:rFonts w:cs="Arial"/>
          <w:color w:val="333333"/>
          <w:sz w:val="18"/>
          <w:szCs w:val="18"/>
          <w:shd w:val="clear" w:color="auto" w:fill="FFFFFF"/>
        </w:rPr>
        <w:t>, N.</w:t>
      </w:r>
      <w:r w:rsidRPr="005858EE">
        <w:rPr>
          <w:rFonts w:cs="Arial"/>
          <w:color w:val="333333"/>
          <w:sz w:val="18"/>
          <w:szCs w:val="18"/>
          <w:shd w:val="clear" w:color="auto" w:fill="FFFFFF"/>
        </w:rPr>
        <w:t xml:space="preserve"> and Ishida</w:t>
      </w:r>
      <w:r>
        <w:rPr>
          <w:rFonts w:cs="Arial"/>
          <w:color w:val="333333"/>
          <w:sz w:val="18"/>
          <w:szCs w:val="18"/>
          <w:shd w:val="clear" w:color="auto" w:fill="FFFFFF"/>
        </w:rPr>
        <w:t>,</w:t>
      </w:r>
      <w:r w:rsidRPr="005858EE">
        <w:rPr>
          <w:rFonts w:cs="Arial"/>
          <w:color w:val="333333"/>
          <w:sz w:val="18"/>
          <w:szCs w:val="18"/>
          <w:shd w:val="clear" w:color="auto" w:fill="FFFFFF"/>
        </w:rPr>
        <w:t xml:space="preserve"> H</w:t>
      </w:r>
      <w:r>
        <w:rPr>
          <w:rFonts w:cs="Arial"/>
          <w:color w:val="333333"/>
          <w:sz w:val="18"/>
          <w:szCs w:val="18"/>
          <w:shd w:val="clear" w:color="auto" w:fill="FFFFFF"/>
        </w:rPr>
        <w:t>.</w:t>
      </w:r>
      <w:r w:rsidRPr="005858EE">
        <w:rPr>
          <w:rFonts w:cs="Arial"/>
          <w:color w:val="333333"/>
          <w:sz w:val="18"/>
          <w:szCs w:val="18"/>
          <w:shd w:val="clear" w:color="auto" w:fill="FFFFFF"/>
        </w:rPr>
        <w:t xml:space="preserve"> (1984) A biomechanical study of vertical climbing an</w:t>
      </w:r>
      <w:r>
        <w:rPr>
          <w:rFonts w:cs="Arial"/>
          <w:color w:val="333333"/>
          <w:sz w:val="18"/>
          <w:szCs w:val="18"/>
          <w:shd w:val="clear" w:color="auto" w:fill="FFFFFF"/>
        </w:rPr>
        <w:t xml:space="preserve">d bipedal walking in gibbons. </w:t>
      </w:r>
      <w:r w:rsidRPr="008E4CE1">
        <w:rPr>
          <w:rFonts w:cs="Arial"/>
          <w:i/>
          <w:color w:val="333333"/>
          <w:sz w:val="18"/>
          <w:szCs w:val="18"/>
          <w:shd w:val="clear" w:color="auto" w:fill="FFFFFF"/>
        </w:rPr>
        <w:t>Journal of Human Evolution,</w:t>
      </w:r>
      <w:r w:rsidRPr="005858EE">
        <w:rPr>
          <w:rStyle w:val="apple-converted-space"/>
          <w:rFonts w:cs="Arial"/>
          <w:color w:val="333333"/>
          <w:sz w:val="18"/>
          <w:szCs w:val="18"/>
          <w:shd w:val="clear" w:color="auto" w:fill="FFFFFF"/>
        </w:rPr>
        <w:t> </w:t>
      </w:r>
      <w:r w:rsidRPr="009D41BE">
        <w:rPr>
          <w:rStyle w:val="Emphasis"/>
          <w:rFonts w:cs="Arial"/>
          <w:b/>
          <w:i w:val="0"/>
          <w:color w:val="333333"/>
          <w:sz w:val="18"/>
          <w:szCs w:val="18"/>
          <w:shd w:val="clear" w:color="auto" w:fill="FFFFFF"/>
        </w:rPr>
        <w:t>13</w:t>
      </w:r>
      <w:r>
        <w:rPr>
          <w:rFonts w:cs="Arial"/>
          <w:color w:val="333333"/>
          <w:sz w:val="18"/>
          <w:szCs w:val="18"/>
          <w:shd w:val="clear" w:color="auto" w:fill="FFFFFF"/>
        </w:rPr>
        <w:t xml:space="preserve">, </w:t>
      </w:r>
      <w:r w:rsidRPr="005858EE">
        <w:rPr>
          <w:rFonts w:cs="Arial"/>
          <w:color w:val="333333"/>
          <w:sz w:val="18"/>
          <w:szCs w:val="18"/>
          <w:shd w:val="clear" w:color="auto" w:fill="FFFFFF"/>
        </w:rPr>
        <w:t>563–571.</w:t>
      </w:r>
    </w:p>
    <w:p w:rsidR="00912CF3" w:rsidRDefault="00912CF3" w:rsidP="003B5900">
      <w:pPr>
        <w:spacing w:line="240" w:lineRule="auto"/>
        <w:jc w:val="both"/>
        <w:rPr>
          <w:rFonts w:cs="Arial"/>
          <w:color w:val="333333"/>
          <w:sz w:val="18"/>
          <w:szCs w:val="18"/>
          <w:shd w:val="clear" w:color="auto" w:fill="FFFFFF"/>
        </w:rPr>
      </w:pPr>
    </w:p>
    <w:sectPr w:rsidR="00912CF3" w:rsidSect="00D201F2">
      <w:footerReference w:type="default" r:id="rId21"/>
      <w:pgSz w:w="11906" w:h="16838"/>
      <w:pgMar w:top="1440" w:right="1134" w:bottom="1440" w:left="1985" w:header="706" w:footer="706"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EA00D1" w15:done="0"/>
  <w15:commentEx w15:paraId="4AD9FF9B" w15:done="0"/>
  <w15:commentEx w15:paraId="6560D20F" w15:done="0"/>
  <w15:commentEx w15:paraId="34D9F41F" w15:done="0"/>
  <w15:commentEx w15:paraId="35B0262F" w15:done="0"/>
  <w15:commentEx w15:paraId="2A2D0791" w15:done="0"/>
  <w15:commentEx w15:paraId="59B3D436" w15:done="0"/>
  <w15:commentEx w15:paraId="6E2D54BB" w15:done="0"/>
  <w15:commentEx w15:paraId="2F6E613D" w15:done="0"/>
  <w15:commentEx w15:paraId="26A29C7B" w15:done="0"/>
  <w15:commentEx w15:paraId="2C882BF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EA00D1" w16cid:durableId="201213B3"/>
  <w16cid:commentId w16cid:paraId="4AD9FF9B" w16cid:durableId="20120F5B"/>
  <w16cid:commentId w16cid:paraId="6560D20F" w16cid:durableId="201215BE"/>
  <w16cid:commentId w16cid:paraId="34D9F41F" w16cid:durableId="2014B2DD"/>
  <w16cid:commentId w16cid:paraId="35B0262F" w16cid:durableId="2014B1FC"/>
  <w16cid:commentId w16cid:paraId="2A2D0791" w16cid:durableId="2014B232"/>
  <w16cid:commentId w16cid:paraId="59B3D436" w16cid:durableId="20120E48"/>
  <w16cid:commentId w16cid:paraId="6E2D54BB" w16cid:durableId="2012043C"/>
  <w16cid:commentId w16cid:paraId="2F6E613D" w16cid:durableId="20121AB1"/>
  <w16cid:commentId w16cid:paraId="26A29C7B" w16cid:durableId="20121F05"/>
  <w16cid:commentId w16cid:paraId="2C882BF2" w16cid:durableId="20120A2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406B" w:rsidRDefault="0035406B" w:rsidP="00255E88">
      <w:pPr>
        <w:spacing w:after="0" w:line="240" w:lineRule="auto"/>
      </w:pPr>
      <w:r>
        <w:separator/>
      </w:r>
    </w:p>
  </w:endnote>
  <w:endnote w:type="continuationSeparator" w:id="0">
    <w:p w:rsidR="0035406B" w:rsidRDefault="0035406B" w:rsidP="00255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Arial,Italic">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5717178"/>
      <w:docPartObj>
        <w:docPartGallery w:val="Page Numbers (Bottom of Page)"/>
        <w:docPartUnique/>
      </w:docPartObj>
    </w:sdtPr>
    <w:sdtEndPr>
      <w:rPr>
        <w:noProof/>
      </w:rPr>
    </w:sdtEndPr>
    <w:sdtContent>
      <w:p w:rsidR="008D066F" w:rsidRDefault="00FE7CBE">
        <w:pPr>
          <w:pStyle w:val="Footer"/>
          <w:jc w:val="right"/>
        </w:pPr>
        <w:r>
          <w:fldChar w:fldCharType="begin"/>
        </w:r>
        <w:r w:rsidR="008D066F">
          <w:instrText xml:space="preserve"> PAGE   \* MERGEFORMAT </w:instrText>
        </w:r>
        <w:r>
          <w:fldChar w:fldCharType="separate"/>
        </w:r>
        <w:r w:rsidR="00F442B7">
          <w:rPr>
            <w:noProof/>
          </w:rPr>
          <w:t>28</w:t>
        </w:r>
        <w:r>
          <w:rPr>
            <w:noProof/>
          </w:rPr>
          <w:fldChar w:fldCharType="end"/>
        </w:r>
      </w:p>
    </w:sdtContent>
  </w:sdt>
  <w:p w:rsidR="008D066F" w:rsidRDefault="008D06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406B" w:rsidRDefault="0035406B" w:rsidP="00255E88">
      <w:pPr>
        <w:spacing w:after="0" w:line="240" w:lineRule="auto"/>
      </w:pPr>
      <w:r>
        <w:separator/>
      </w:r>
    </w:p>
  </w:footnote>
  <w:footnote w:type="continuationSeparator" w:id="0">
    <w:p w:rsidR="0035406B" w:rsidRDefault="0035406B" w:rsidP="00255E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274B6"/>
    <w:multiLevelType w:val="multilevel"/>
    <w:tmpl w:val="FEF462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1B5070A8"/>
    <w:multiLevelType w:val="multilevel"/>
    <w:tmpl w:val="FEF462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290E339C"/>
    <w:multiLevelType w:val="multilevel"/>
    <w:tmpl w:val="6394B50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2A193C42"/>
    <w:multiLevelType w:val="hybridMultilevel"/>
    <w:tmpl w:val="36863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D067955"/>
    <w:multiLevelType w:val="multilevel"/>
    <w:tmpl w:val="FEF462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317E71F9"/>
    <w:multiLevelType w:val="hybridMultilevel"/>
    <w:tmpl w:val="9B128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2E368C9"/>
    <w:multiLevelType w:val="multilevel"/>
    <w:tmpl w:val="47C000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DB75ED9"/>
    <w:multiLevelType w:val="multilevel"/>
    <w:tmpl w:val="FEF462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43915D6B"/>
    <w:multiLevelType w:val="multilevel"/>
    <w:tmpl w:val="AE8010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48A05D52"/>
    <w:multiLevelType w:val="multilevel"/>
    <w:tmpl w:val="FEF462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49213D54"/>
    <w:multiLevelType w:val="multilevel"/>
    <w:tmpl w:val="FEF462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4DEC2028"/>
    <w:multiLevelType w:val="hybridMultilevel"/>
    <w:tmpl w:val="5ADE7090"/>
    <w:lvl w:ilvl="0" w:tplc="370E609A">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FF772D9"/>
    <w:multiLevelType w:val="hybridMultilevel"/>
    <w:tmpl w:val="1C10EE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2887771"/>
    <w:multiLevelType w:val="multilevel"/>
    <w:tmpl w:val="09382E06"/>
    <w:lvl w:ilvl="0">
      <w:start w:val="3"/>
      <w:numFmt w:val="decimal"/>
      <w:lvlText w:val="%1."/>
      <w:lvlJc w:val="left"/>
      <w:pPr>
        <w:ind w:left="495" w:hanging="495"/>
      </w:pPr>
      <w:rPr>
        <w:rFonts w:hint="default"/>
      </w:rPr>
    </w:lvl>
    <w:lvl w:ilvl="1">
      <w:start w:val="3"/>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nsid w:val="53005F31"/>
    <w:multiLevelType w:val="multilevel"/>
    <w:tmpl w:val="90BC1EB4"/>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5">
    <w:nsid w:val="614F5BCF"/>
    <w:multiLevelType w:val="multilevel"/>
    <w:tmpl w:val="FEF462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6C816E65"/>
    <w:multiLevelType w:val="multilevel"/>
    <w:tmpl w:val="9756310E"/>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7">
    <w:nsid w:val="763B1945"/>
    <w:multiLevelType w:val="multilevel"/>
    <w:tmpl w:val="ED5801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heme="minorHAnsi" w:hAnsiTheme="minorHAnsi"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772D3F44"/>
    <w:multiLevelType w:val="hybridMultilevel"/>
    <w:tmpl w:val="50B215E4"/>
    <w:lvl w:ilvl="0" w:tplc="38184758">
      <w:start w:val="4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7EA1DB0"/>
    <w:multiLevelType w:val="hybridMultilevel"/>
    <w:tmpl w:val="8BEE94B6"/>
    <w:lvl w:ilvl="0" w:tplc="0809000F">
      <w:start w:val="1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CC5593A"/>
    <w:multiLevelType w:val="multilevel"/>
    <w:tmpl w:val="FEF462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17"/>
  </w:num>
  <w:num w:numId="3">
    <w:abstractNumId w:val="16"/>
  </w:num>
  <w:num w:numId="4">
    <w:abstractNumId w:val="2"/>
  </w:num>
  <w:num w:numId="5">
    <w:abstractNumId w:val="6"/>
  </w:num>
  <w:num w:numId="6">
    <w:abstractNumId w:val="8"/>
  </w:num>
  <w:num w:numId="7">
    <w:abstractNumId w:val="11"/>
  </w:num>
  <w:num w:numId="8">
    <w:abstractNumId w:val="13"/>
  </w:num>
  <w:num w:numId="9">
    <w:abstractNumId w:val="19"/>
  </w:num>
  <w:num w:numId="10">
    <w:abstractNumId w:val="4"/>
  </w:num>
  <w:num w:numId="11">
    <w:abstractNumId w:val="5"/>
  </w:num>
  <w:num w:numId="12">
    <w:abstractNumId w:val="3"/>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9"/>
  </w:num>
  <w:num w:numId="16">
    <w:abstractNumId w:val="10"/>
  </w:num>
  <w:num w:numId="17">
    <w:abstractNumId w:val="7"/>
  </w:num>
  <w:num w:numId="18">
    <w:abstractNumId w:val="0"/>
  </w:num>
  <w:num w:numId="19">
    <w:abstractNumId w:val="15"/>
  </w:num>
  <w:num w:numId="20">
    <w:abstractNumId w:val="1"/>
  </w:num>
  <w:num w:numId="2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viewer">
    <w15:presenceInfo w15:providerId="None" w15:userId="Review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E88"/>
    <w:rsid w:val="00001DA2"/>
    <w:rsid w:val="000022FA"/>
    <w:rsid w:val="000024DB"/>
    <w:rsid w:val="00006CBD"/>
    <w:rsid w:val="000105A4"/>
    <w:rsid w:val="00010CFE"/>
    <w:rsid w:val="00011D7E"/>
    <w:rsid w:val="00017D1A"/>
    <w:rsid w:val="000216A1"/>
    <w:rsid w:val="00023C3F"/>
    <w:rsid w:val="00023CF6"/>
    <w:rsid w:val="00030A63"/>
    <w:rsid w:val="0003185E"/>
    <w:rsid w:val="00031E5F"/>
    <w:rsid w:val="00033B2E"/>
    <w:rsid w:val="0003475C"/>
    <w:rsid w:val="0003484A"/>
    <w:rsid w:val="0003584D"/>
    <w:rsid w:val="00036DD3"/>
    <w:rsid w:val="00036E97"/>
    <w:rsid w:val="00037800"/>
    <w:rsid w:val="000403F3"/>
    <w:rsid w:val="00040A65"/>
    <w:rsid w:val="0004133C"/>
    <w:rsid w:val="000416A5"/>
    <w:rsid w:val="00041BCA"/>
    <w:rsid w:val="00042EFC"/>
    <w:rsid w:val="00044714"/>
    <w:rsid w:val="000546C0"/>
    <w:rsid w:val="00056B84"/>
    <w:rsid w:val="00060943"/>
    <w:rsid w:val="00061BBE"/>
    <w:rsid w:val="00061E93"/>
    <w:rsid w:val="00062625"/>
    <w:rsid w:val="000671F1"/>
    <w:rsid w:val="000701B4"/>
    <w:rsid w:val="00073008"/>
    <w:rsid w:val="00073035"/>
    <w:rsid w:val="00073221"/>
    <w:rsid w:val="000737B4"/>
    <w:rsid w:val="000764DD"/>
    <w:rsid w:val="00076E3B"/>
    <w:rsid w:val="00080E4D"/>
    <w:rsid w:val="000865F3"/>
    <w:rsid w:val="00087671"/>
    <w:rsid w:val="00091DBF"/>
    <w:rsid w:val="00095D4E"/>
    <w:rsid w:val="00097C22"/>
    <w:rsid w:val="000A00ED"/>
    <w:rsid w:val="000A1D6B"/>
    <w:rsid w:val="000A7123"/>
    <w:rsid w:val="000A770F"/>
    <w:rsid w:val="000A7E1E"/>
    <w:rsid w:val="000B0A00"/>
    <w:rsid w:val="000B46D6"/>
    <w:rsid w:val="000B6690"/>
    <w:rsid w:val="000C4874"/>
    <w:rsid w:val="000C5A1B"/>
    <w:rsid w:val="000C6B24"/>
    <w:rsid w:val="000C741E"/>
    <w:rsid w:val="000D06E2"/>
    <w:rsid w:val="000D0874"/>
    <w:rsid w:val="000D09E5"/>
    <w:rsid w:val="000D0C63"/>
    <w:rsid w:val="000D3935"/>
    <w:rsid w:val="000D69CD"/>
    <w:rsid w:val="000E1235"/>
    <w:rsid w:val="000E51BE"/>
    <w:rsid w:val="000E63FA"/>
    <w:rsid w:val="000E69F6"/>
    <w:rsid w:val="000F06EC"/>
    <w:rsid w:val="000F2270"/>
    <w:rsid w:val="000F28FC"/>
    <w:rsid w:val="000F52E4"/>
    <w:rsid w:val="000F5527"/>
    <w:rsid w:val="000F591E"/>
    <w:rsid w:val="001009CD"/>
    <w:rsid w:val="00102B76"/>
    <w:rsid w:val="001046BF"/>
    <w:rsid w:val="00104A63"/>
    <w:rsid w:val="00107F3E"/>
    <w:rsid w:val="00110144"/>
    <w:rsid w:val="00113A1D"/>
    <w:rsid w:val="0011756A"/>
    <w:rsid w:val="00120902"/>
    <w:rsid w:val="0012160C"/>
    <w:rsid w:val="00126847"/>
    <w:rsid w:val="001270C6"/>
    <w:rsid w:val="00133C8F"/>
    <w:rsid w:val="0013478D"/>
    <w:rsid w:val="001365AD"/>
    <w:rsid w:val="00136CDC"/>
    <w:rsid w:val="00141462"/>
    <w:rsid w:val="00141DD5"/>
    <w:rsid w:val="00141E7E"/>
    <w:rsid w:val="00143703"/>
    <w:rsid w:val="00144665"/>
    <w:rsid w:val="00145EF4"/>
    <w:rsid w:val="0015050D"/>
    <w:rsid w:val="00151667"/>
    <w:rsid w:val="001522B4"/>
    <w:rsid w:val="00153E20"/>
    <w:rsid w:val="00154A70"/>
    <w:rsid w:val="00162FA7"/>
    <w:rsid w:val="00163C20"/>
    <w:rsid w:val="0016567B"/>
    <w:rsid w:val="00165989"/>
    <w:rsid w:val="00165D77"/>
    <w:rsid w:val="00166CDD"/>
    <w:rsid w:val="001678C7"/>
    <w:rsid w:val="00167FD2"/>
    <w:rsid w:val="001700F5"/>
    <w:rsid w:val="00170174"/>
    <w:rsid w:val="0017025D"/>
    <w:rsid w:val="001708D4"/>
    <w:rsid w:val="00170FF6"/>
    <w:rsid w:val="00171E44"/>
    <w:rsid w:val="0017330B"/>
    <w:rsid w:val="00173585"/>
    <w:rsid w:val="001735CE"/>
    <w:rsid w:val="0018144C"/>
    <w:rsid w:val="00183776"/>
    <w:rsid w:val="0018403D"/>
    <w:rsid w:val="0019086D"/>
    <w:rsid w:val="001914CB"/>
    <w:rsid w:val="0019323C"/>
    <w:rsid w:val="00193A06"/>
    <w:rsid w:val="00194EB9"/>
    <w:rsid w:val="00195A58"/>
    <w:rsid w:val="00195E7F"/>
    <w:rsid w:val="00196126"/>
    <w:rsid w:val="00197491"/>
    <w:rsid w:val="00197FA6"/>
    <w:rsid w:val="001A231A"/>
    <w:rsid w:val="001A2514"/>
    <w:rsid w:val="001A5757"/>
    <w:rsid w:val="001A7DB7"/>
    <w:rsid w:val="001B1035"/>
    <w:rsid w:val="001B357A"/>
    <w:rsid w:val="001B3A94"/>
    <w:rsid w:val="001B5884"/>
    <w:rsid w:val="001B6093"/>
    <w:rsid w:val="001C377C"/>
    <w:rsid w:val="001C3C28"/>
    <w:rsid w:val="001C3F04"/>
    <w:rsid w:val="001C3F3C"/>
    <w:rsid w:val="001C4382"/>
    <w:rsid w:val="001C5368"/>
    <w:rsid w:val="001C55C4"/>
    <w:rsid w:val="001C5CA6"/>
    <w:rsid w:val="001D1806"/>
    <w:rsid w:val="001D63A3"/>
    <w:rsid w:val="001E0F46"/>
    <w:rsid w:val="001E13D9"/>
    <w:rsid w:val="001E1CF9"/>
    <w:rsid w:val="001E6F4B"/>
    <w:rsid w:val="001E7118"/>
    <w:rsid w:val="001F254C"/>
    <w:rsid w:val="001F3D00"/>
    <w:rsid w:val="001F553D"/>
    <w:rsid w:val="001F7F47"/>
    <w:rsid w:val="00201586"/>
    <w:rsid w:val="0020292B"/>
    <w:rsid w:val="00203266"/>
    <w:rsid w:val="002044AB"/>
    <w:rsid w:val="00204547"/>
    <w:rsid w:val="00205A92"/>
    <w:rsid w:val="00206BE4"/>
    <w:rsid w:val="00210382"/>
    <w:rsid w:val="00211F70"/>
    <w:rsid w:val="0021453A"/>
    <w:rsid w:val="002165DE"/>
    <w:rsid w:val="00217800"/>
    <w:rsid w:val="00223099"/>
    <w:rsid w:val="002237CA"/>
    <w:rsid w:val="00226272"/>
    <w:rsid w:val="002266B4"/>
    <w:rsid w:val="00226C24"/>
    <w:rsid w:val="0023270D"/>
    <w:rsid w:val="00232ABD"/>
    <w:rsid w:val="00235988"/>
    <w:rsid w:val="00237937"/>
    <w:rsid w:val="002440A7"/>
    <w:rsid w:val="00244D2B"/>
    <w:rsid w:val="00247923"/>
    <w:rsid w:val="00250D3E"/>
    <w:rsid w:val="00250FB6"/>
    <w:rsid w:val="00253046"/>
    <w:rsid w:val="00255E88"/>
    <w:rsid w:val="0026009D"/>
    <w:rsid w:val="00264436"/>
    <w:rsid w:val="002656E3"/>
    <w:rsid w:val="00266C5F"/>
    <w:rsid w:val="00270186"/>
    <w:rsid w:val="00271386"/>
    <w:rsid w:val="00276259"/>
    <w:rsid w:val="0028136D"/>
    <w:rsid w:val="00285A11"/>
    <w:rsid w:val="00285B0F"/>
    <w:rsid w:val="00286CEB"/>
    <w:rsid w:val="0028756E"/>
    <w:rsid w:val="0029017A"/>
    <w:rsid w:val="00294929"/>
    <w:rsid w:val="0029623C"/>
    <w:rsid w:val="002A08BE"/>
    <w:rsid w:val="002A19B0"/>
    <w:rsid w:val="002A1FD8"/>
    <w:rsid w:val="002A2BE4"/>
    <w:rsid w:val="002A7226"/>
    <w:rsid w:val="002B14A7"/>
    <w:rsid w:val="002B273C"/>
    <w:rsid w:val="002B27A8"/>
    <w:rsid w:val="002B2893"/>
    <w:rsid w:val="002B2CFA"/>
    <w:rsid w:val="002B3024"/>
    <w:rsid w:val="002B7ADF"/>
    <w:rsid w:val="002B7CEF"/>
    <w:rsid w:val="002C11F2"/>
    <w:rsid w:val="002C34E4"/>
    <w:rsid w:val="002C39AF"/>
    <w:rsid w:val="002C4CED"/>
    <w:rsid w:val="002C4F54"/>
    <w:rsid w:val="002D11D2"/>
    <w:rsid w:val="002D1386"/>
    <w:rsid w:val="002D1D15"/>
    <w:rsid w:val="002D4873"/>
    <w:rsid w:val="002E0C96"/>
    <w:rsid w:val="002E26EC"/>
    <w:rsid w:val="002E279F"/>
    <w:rsid w:val="002E4364"/>
    <w:rsid w:val="002E4622"/>
    <w:rsid w:val="002E4926"/>
    <w:rsid w:val="002E4A32"/>
    <w:rsid w:val="002E5106"/>
    <w:rsid w:val="002E77B6"/>
    <w:rsid w:val="002F2ABE"/>
    <w:rsid w:val="002F5FD3"/>
    <w:rsid w:val="002F6203"/>
    <w:rsid w:val="002F75D3"/>
    <w:rsid w:val="002F7F42"/>
    <w:rsid w:val="00301C87"/>
    <w:rsid w:val="00301E57"/>
    <w:rsid w:val="00303920"/>
    <w:rsid w:val="003055BA"/>
    <w:rsid w:val="003077B4"/>
    <w:rsid w:val="003156A4"/>
    <w:rsid w:val="00315A8B"/>
    <w:rsid w:val="00316487"/>
    <w:rsid w:val="00322C97"/>
    <w:rsid w:val="00324C31"/>
    <w:rsid w:val="003259D3"/>
    <w:rsid w:val="00326B78"/>
    <w:rsid w:val="00330628"/>
    <w:rsid w:val="00331D13"/>
    <w:rsid w:val="00335D1B"/>
    <w:rsid w:val="003419B1"/>
    <w:rsid w:val="00342BE6"/>
    <w:rsid w:val="00343CCB"/>
    <w:rsid w:val="003442F1"/>
    <w:rsid w:val="00346DB1"/>
    <w:rsid w:val="00347AF4"/>
    <w:rsid w:val="00347BCC"/>
    <w:rsid w:val="00350088"/>
    <w:rsid w:val="00350EF9"/>
    <w:rsid w:val="00352E36"/>
    <w:rsid w:val="003535C8"/>
    <w:rsid w:val="0035406B"/>
    <w:rsid w:val="00354268"/>
    <w:rsid w:val="00354FC9"/>
    <w:rsid w:val="00356132"/>
    <w:rsid w:val="00356B89"/>
    <w:rsid w:val="00360BE3"/>
    <w:rsid w:val="003671AE"/>
    <w:rsid w:val="00370F97"/>
    <w:rsid w:val="0037201F"/>
    <w:rsid w:val="00373B48"/>
    <w:rsid w:val="003761CE"/>
    <w:rsid w:val="0037787C"/>
    <w:rsid w:val="0038000C"/>
    <w:rsid w:val="0038036D"/>
    <w:rsid w:val="00380960"/>
    <w:rsid w:val="00381506"/>
    <w:rsid w:val="00383CAB"/>
    <w:rsid w:val="003866C8"/>
    <w:rsid w:val="00387223"/>
    <w:rsid w:val="0038739D"/>
    <w:rsid w:val="00387CB8"/>
    <w:rsid w:val="0039048B"/>
    <w:rsid w:val="003916E9"/>
    <w:rsid w:val="003923FA"/>
    <w:rsid w:val="00392F3A"/>
    <w:rsid w:val="003969C2"/>
    <w:rsid w:val="003A22C5"/>
    <w:rsid w:val="003A2D7F"/>
    <w:rsid w:val="003A34BB"/>
    <w:rsid w:val="003A4689"/>
    <w:rsid w:val="003A5897"/>
    <w:rsid w:val="003A736A"/>
    <w:rsid w:val="003A771B"/>
    <w:rsid w:val="003A77CD"/>
    <w:rsid w:val="003B2D3B"/>
    <w:rsid w:val="003B5177"/>
    <w:rsid w:val="003B5900"/>
    <w:rsid w:val="003B5F13"/>
    <w:rsid w:val="003C5928"/>
    <w:rsid w:val="003C5A26"/>
    <w:rsid w:val="003C7F4F"/>
    <w:rsid w:val="003D1E9B"/>
    <w:rsid w:val="003D5999"/>
    <w:rsid w:val="003D74DF"/>
    <w:rsid w:val="003E13EB"/>
    <w:rsid w:val="003E568A"/>
    <w:rsid w:val="003E6B55"/>
    <w:rsid w:val="003F0C1A"/>
    <w:rsid w:val="003F3704"/>
    <w:rsid w:val="003F5BE2"/>
    <w:rsid w:val="00403B48"/>
    <w:rsid w:val="00404B2A"/>
    <w:rsid w:val="00407267"/>
    <w:rsid w:val="00412A4A"/>
    <w:rsid w:val="0041448E"/>
    <w:rsid w:val="004173DA"/>
    <w:rsid w:val="00422D27"/>
    <w:rsid w:val="00424911"/>
    <w:rsid w:val="00424FCA"/>
    <w:rsid w:val="00425F58"/>
    <w:rsid w:val="00426355"/>
    <w:rsid w:val="00427E5F"/>
    <w:rsid w:val="00430FAB"/>
    <w:rsid w:val="004311A0"/>
    <w:rsid w:val="00432A01"/>
    <w:rsid w:val="0043394F"/>
    <w:rsid w:val="004350A7"/>
    <w:rsid w:val="00442E6A"/>
    <w:rsid w:val="004526F4"/>
    <w:rsid w:val="00452AE1"/>
    <w:rsid w:val="00453150"/>
    <w:rsid w:val="00455578"/>
    <w:rsid w:val="00455CDF"/>
    <w:rsid w:val="0045662B"/>
    <w:rsid w:val="00456905"/>
    <w:rsid w:val="00460524"/>
    <w:rsid w:val="004615E4"/>
    <w:rsid w:val="00461E57"/>
    <w:rsid w:val="00461F30"/>
    <w:rsid w:val="0046248C"/>
    <w:rsid w:val="00463B1E"/>
    <w:rsid w:val="00467E79"/>
    <w:rsid w:val="004707FC"/>
    <w:rsid w:val="00471715"/>
    <w:rsid w:val="00473D17"/>
    <w:rsid w:val="0047680C"/>
    <w:rsid w:val="004771FD"/>
    <w:rsid w:val="00486475"/>
    <w:rsid w:val="004902E0"/>
    <w:rsid w:val="00492058"/>
    <w:rsid w:val="00493535"/>
    <w:rsid w:val="00496754"/>
    <w:rsid w:val="0049687B"/>
    <w:rsid w:val="00496A71"/>
    <w:rsid w:val="004A2059"/>
    <w:rsid w:val="004A32D3"/>
    <w:rsid w:val="004A552B"/>
    <w:rsid w:val="004A5561"/>
    <w:rsid w:val="004A6E30"/>
    <w:rsid w:val="004A7C40"/>
    <w:rsid w:val="004A7F8B"/>
    <w:rsid w:val="004B0C03"/>
    <w:rsid w:val="004B1B6E"/>
    <w:rsid w:val="004B3E3C"/>
    <w:rsid w:val="004B40C4"/>
    <w:rsid w:val="004B52C6"/>
    <w:rsid w:val="004B55F0"/>
    <w:rsid w:val="004C05BC"/>
    <w:rsid w:val="004C0DCA"/>
    <w:rsid w:val="004C1BBE"/>
    <w:rsid w:val="004C2954"/>
    <w:rsid w:val="004C3C1C"/>
    <w:rsid w:val="004C511F"/>
    <w:rsid w:val="004D163C"/>
    <w:rsid w:val="004D1942"/>
    <w:rsid w:val="004D3BC0"/>
    <w:rsid w:val="004D3F55"/>
    <w:rsid w:val="004D66EB"/>
    <w:rsid w:val="004D7348"/>
    <w:rsid w:val="004E0922"/>
    <w:rsid w:val="004E2622"/>
    <w:rsid w:val="004E4064"/>
    <w:rsid w:val="004E475E"/>
    <w:rsid w:val="004F0581"/>
    <w:rsid w:val="004F1B25"/>
    <w:rsid w:val="004F3E37"/>
    <w:rsid w:val="004F4F08"/>
    <w:rsid w:val="004F5BED"/>
    <w:rsid w:val="004F7F63"/>
    <w:rsid w:val="005021D5"/>
    <w:rsid w:val="00504750"/>
    <w:rsid w:val="00506EE8"/>
    <w:rsid w:val="00511C2B"/>
    <w:rsid w:val="00511E64"/>
    <w:rsid w:val="00512630"/>
    <w:rsid w:val="0051276D"/>
    <w:rsid w:val="00514BB1"/>
    <w:rsid w:val="00517827"/>
    <w:rsid w:val="00520A8A"/>
    <w:rsid w:val="00520AEF"/>
    <w:rsid w:val="00521496"/>
    <w:rsid w:val="00526956"/>
    <w:rsid w:val="005322F3"/>
    <w:rsid w:val="005349B3"/>
    <w:rsid w:val="005353C5"/>
    <w:rsid w:val="00540461"/>
    <w:rsid w:val="00541360"/>
    <w:rsid w:val="0054232B"/>
    <w:rsid w:val="00542548"/>
    <w:rsid w:val="00543126"/>
    <w:rsid w:val="00543510"/>
    <w:rsid w:val="00544EDB"/>
    <w:rsid w:val="005476C3"/>
    <w:rsid w:val="00560866"/>
    <w:rsid w:val="005617E3"/>
    <w:rsid w:val="00562806"/>
    <w:rsid w:val="00563705"/>
    <w:rsid w:val="00563997"/>
    <w:rsid w:val="00563A17"/>
    <w:rsid w:val="00564CA5"/>
    <w:rsid w:val="00565352"/>
    <w:rsid w:val="00567BB2"/>
    <w:rsid w:val="00567DB0"/>
    <w:rsid w:val="005725B1"/>
    <w:rsid w:val="00574A6B"/>
    <w:rsid w:val="00574FC0"/>
    <w:rsid w:val="00575A9E"/>
    <w:rsid w:val="00575D77"/>
    <w:rsid w:val="005858EE"/>
    <w:rsid w:val="00586AC4"/>
    <w:rsid w:val="005948C0"/>
    <w:rsid w:val="00596ED9"/>
    <w:rsid w:val="005A0F9F"/>
    <w:rsid w:val="005A13AE"/>
    <w:rsid w:val="005A46A6"/>
    <w:rsid w:val="005A5498"/>
    <w:rsid w:val="005A5790"/>
    <w:rsid w:val="005A6297"/>
    <w:rsid w:val="005A7686"/>
    <w:rsid w:val="005B0A7F"/>
    <w:rsid w:val="005B12EA"/>
    <w:rsid w:val="005B16BA"/>
    <w:rsid w:val="005B2DDD"/>
    <w:rsid w:val="005B3979"/>
    <w:rsid w:val="005B4484"/>
    <w:rsid w:val="005B7A2B"/>
    <w:rsid w:val="005C1D11"/>
    <w:rsid w:val="005C2E71"/>
    <w:rsid w:val="005C3A2D"/>
    <w:rsid w:val="005C6188"/>
    <w:rsid w:val="005D037D"/>
    <w:rsid w:val="005D0A4D"/>
    <w:rsid w:val="005D0D95"/>
    <w:rsid w:val="005D240B"/>
    <w:rsid w:val="005D283E"/>
    <w:rsid w:val="005D47DC"/>
    <w:rsid w:val="005D4D21"/>
    <w:rsid w:val="005D6D30"/>
    <w:rsid w:val="005D7A03"/>
    <w:rsid w:val="005E17FF"/>
    <w:rsid w:val="005E1E14"/>
    <w:rsid w:val="005E4DFD"/>
    <w:rsid w:val="005E52B1"/>
    <w:rsid w:val="005E608E"/>
    <w:rsid w:val="005E791C"/>
    <w:rsid w:val="005F11E3"/>
    <w:rsid w:val="005F37D0"/>
    <w:rsid w:val="005F3E38"/>
    <w:rsid w:val="005F3F60"/>
    <w:rsid w:val="00602777"/>
    <w:rsid w:val="00604E02"/>
    <w:rsid w:val="00605E71"/>
    <w:rsid w:val="00607C5E"/>
    <w:rsid w:val="0061074E"/>
    <w:rsid w:val="00610C36"/>
    <w:rsid w:val="00610DC3"/>
    <w:rsid w:val="00611AB3"/>
    <w:rsid w:val="006123A5"/>
    <w:rsid w:val="006158A5"/>
    <w:rsid w:val="00616E6D"/>
    <w:rsid w:val="006174DC"/>
    <w:rsid w:val="00617501"/>
    <w:rsid w:val="00624932"/>
    <w:rsid w:val="00625AF3"/>
    <w:rsid w:val="006279A8"/>
    <w:rsid w:val="00631F4A"/>
    <w:rsid w:val="00632797"/>
    <w:rsid w:val="00633021"/>
    <w:rsid w:val="00634B48"/>
    <w:rsid w:val="00637D44"/>
    <w:rsid w:val="00643F02"/>
    <w:rsid w:val="00645668"/>
    <w:rsid w:val="0065087C"/>
    <w:rsid w:val="00651E4A"/>
    <w:rsid w:val="00654B3D"/>
    <w:rsid w:val="00654DFD"/>
    <w:rsid w:val="00657B08"/>
    <w:rsid w:val="006602BA"/>
    <w:rsid w:val="00660D24"/>
    <w:rsid w:val="00663A77"/>
    <w:rsid w:val="00666611"/>
    <w:rsid w:val="00666ED1"/>
    <w:rsid w:val="006679C3"/>
    <w:rsid w:val="00667CDB"/>
    <w:rsid w:val="00684675"/>
    <w:rsid w:val="00685317"/>
    <w:rsid w:val="00686191"/>
    <w:rsid w:val="006901FF"/>
    <w:rsid w:val="00690685"/>
    <w:rsid w:val="006927D6"/>
    <w:rsid w:val="00693729"/>
    <w:rsid w:val="00694AA2"/>
    <w:rsid w:val="00695AE3"/>
    <w:rsid w:val="00696570"/>
    <w:rsid w:val="006969F4"/>
    <w:rsid w:val="0069799B"/>
    <w:rsid w:val="006A3133"/>
    <w:rsid w:val="006A33E6"/>
    <w:rsid w:val="006A3D9A"/>
    <w:rsid w:val="006A5517"/>
    <w:rsid w:val="006B056F"/>
    <w:rsid w:val="006B2ACD"/>
    <w:rsid w:val="006B403E"/>
    <w:rsid w:val="006B504B"/>
    <w:rsid w:val="006B5DC3"/>
    <w:rsid w:val="006C0480"/>
    <w:rsid w:val="006C175C"/>
    <w:rsid w:val="006C479D"/>
    <w:rsid w:val="006C4BA0"/>
    <w:rsid w:val="006C519C"/>
    <w:rsid w:val="006D552E"/>
    <w:rsid w:val="006E1172"/>
    <w:rsid w:val="006E49FE"/>
    <w:rsid w:val="006E5499"/>
    <w:rsid w:val="006E7AE4"/>
    <w:rsid w:val="006E7C42"/>
    <w:rsid w:val="006F0B11"/>
    <w:rsid w:val="006F0BDD"/>
    <w:rsid w:val="006F39A2"/>
    <w:rsid w:val="006F48B0"/>
    <w:rsid w:val="006F4FD0"/>
    <w:rsid w:val="006F5699"/>
    <w:rsid w:val="006F6BE8"/>
    <w:rsid w:val="00700177"/>
    <w:rsid w:val="0070311C"/>
    <w:rsid w:val="007037A6"/>
    <w:rsid w:val="00705ACB"/>
    <w:rsid w:val="00714CF3"/>
    <w:rsid w:val="007156B3"/>
    <w:rsid w:val="007165B6"/>
    <w:rsid w:val="0072242E"/>
    <w:rsid w:val="00725BBC"/>
    <w:rsid w:val="00727C76"/>
    <w:rsid w:val="00731003"/>
    <w:rsid w:val="00733EA8"/>
    <w:rsid w:val="007356C8"/>
    <w:rsid w:val="00735B8E"/>
    <w:rsid w:val="00735CC9"/>
    <w:rsid w:val="00735DCE"/>
    <w:rsid w:val="00736F3E"/>
    <w:rsid w:val="007372BE"/>
    <w:rsid w:val="007375CA"/>
    <w:rsid w:val="00737A6F"/>
    <w:rsid w:val="0074183E"/>
    <w:rsid w:val="00741DDC"/>
    <w:rsid w:val="00742E28"/>
    <w:rsid w:val="007430FB"/>
    <w:rsid w:val="00743DB5"/>
    <w:rsid w:val="00744EE4"/>
    <w:rsid w:val="00745BF3"/>
    <w:rsid w:val="00747C97"/>
    <w:rsid w:val="00747ED9"/>
    <w:rsid w:val="00747F8C"/>
    <w:rsid w:val="00751AFE"/>
    <w:rsid w:val="00751C84"/>
    <w:rsid w:val="00752C65"/>
    <w:rsid w:val="007530FE"/>
    <w:rsid w:val="0075469A"/>
    <w:rsid w:val="00754AE0"/>
    <w:rsid w:val="00756740"/>
    <w:rsid w:val="007616B4"/>
    <w:rsid w:val="007621F1"/>
    <w:rsid w:val="00763215"/>
    <w:rsid w:val="007657AD"/>
    <w:rsid w:val="00765836"/>
    <w:rsid w:val="00767C57"/>
    <w:rsid w:val="00767E4B"/>
    <w:rsid w:val="007716E2"/>
    <w:rsid w:val="007739C4"/>
    <w:rsid w:val="00773A07"/>
    <w:rsid w:val="00775EC6"/>
    <w:rsid w:val="00776B3D"/>
    <w:rsid w:val="00784F11"/>
    <w:rsid w:val="00792F95"/>
    <w:rsid w:val="00794C24"/>
    <w:rsid w:val="00797297"/>
    <w:rsid w:val="007A4A58"/>
    <w:rsid w:val="007A6262"/>
    <w:rsid w:val="007A7184"/>
    <w:rsid w:val="007B2FFF"/>
    <w:rsid w:val="007B429C"/>
    <w:rsid w:val="007B5D63"/>
    <w:rsid w:val="007B63CF"/>
    <w:rsid w:val="007C0EC9"/>
    <w:rsid w:val="007C1DA2"/>
    <w:rsid w:val="007C3B30"/>
    <w:rsid w:val="007C41A9"/>
    <w:rsid w:val="007C445C"/>
    <w:rsid w:val="007C78F3"/>
    <w:rsid w:val="007D1237"/>
    <w:rsid w:val="007D1AA3"/>
    <w:rsid w:val="007D2253"/>
    <w:rsid w:val="007D66A5"/>
    <w:rsid w:val="007E0281"/>
    <w:rsid w:val="007E0850"/>
    <w:rsid w:val="007E310A"/>
    <w:rsid w:val="007E52A7"/>
    <w:rsid w:val="007E6E0A"/>
    <w:rsid w:val="007F00F6"/>
    <w:rsid w:val="007F62E4"/>
    <w:rsid w:val="007F72AD"/>
    <w:rsid w:val="00800BAC"/>
    <w:rsid w:val="00802494"/>
    <w:rsid w:val="00802C1C"/>
    <w:rsid w:val="00802DDB"/>
    <w:rsid w:val="00803BFB"/>
    <w:rsid w:val="008072E5"/>
    <w:rsid w:val="00810EF4"/>
    <w:rsid w:val="0081250D"/>
    <w:rsid w:val="0081346E"/>
    <w:rsid w:val="00814481"/>
    <w:rsid w:val="00816860"/>
    <w:rsid w:val="00817245"/>
    <w:rsid w:val="0082033B"/>
    <w:rsid w:val="00821470"/>
    <w:rsid w:val="008216B2"/>
    <w:rsid w:val="00822E42"/>
    <w:rsid w:val="008241F6"/>
    <w:rsid w:val="00825840"/>
    <w:rsid w:val="008266BF"/>
    <w:rsid w:val="008312E9"/>
    <w:rsid w:val="00832817"/>
    <w:rsid w:val="00833144"/>
    <w:rsid w:val="008342BC"/>
    <w:rsid w:val="0083555F"/>
    <w:rsid w:val="00835D8E"/>
    <w:rsid w:val="00837B07"/>
    <w:rsid w:val="008435BB"/>
    <w:rsid w:val="00844E9D"/>
    <w:rsid w:val="008460BD"/>
    <w:rsid w:val="00846A33"/>
    <w:rsid w:val="0085012E"/>
    <w:rsid w:val="00850E6B"/>
    <w:rsid w:val="008510C0"/>
    <w:rsid w:val="00853EF3"/>
    <w:rsid w:val="00854729"/>
    <w:rsid w:val="00855863"/>
    <w:rsid w:val="00855F1A"/>
    <w:rsid w:val="008616E0"/>
    <w:rsid w:val="008646C8"/>
    <w:rsid w:val="00865524"/>
    <w:rsid w:val="008660CB"/>
    <w:rsid w:val="00867111"/>
    <w:rsid w:val="00867EE7"/>
    <w:rsid w:val="00870E56"/>
    <w:rsid w:val="008719CD"/>
    <w:rsid w:val="00871B7F"/>
    <w:rsid w:val="00874A39"/>
    <w:rsid w:val="00876F23"/>
    <w:rsid w:val="0088047C"/>
    <w:rsid w:val="008805AE"/>
    <w:rsid w:val="00883551"/>
    <w:rsid w:val="0088433E"/>
    <w:rsid w:val="00884F3E"/>
    <w:rsid w:val="00885791"/>
    <w:rsid w:val="008919D5"/>
    <w:rsid w:val="008A08EE"/>
    <w:rsid w:val="008A09FE"/>
    <w:rsid w:val="008A1E57"/>
    <w:rsid w:val="008A1E88"/>
    <w:rsid w:val="008A39E8"/>
    <w:rsid w:val="008A4317"/>
    <w:rsid w:val="008A459E"/>
    <w:rsid w:val="008A5AEA"/>
    <w:rsid w:val="008B05F7"/>
    <w:rsid w:val="008B358A"/>
    <w:rsid w:val="008B52B5"/>
    <w:rsid w:val="008B6AED"/>
    <w:rsid w:val="008B747F"/>
    <w:rsid w:val="008C12A9"/>
    <w:rsid w:val="008C139E"/>
    <w:rsid w:val="008C46E0"/>
    <w:rsid w:val="008C730F"/>
    <w:rsid w:val="008C787B"/>
    <w:rsid w:val="008D066F"/>
    <w:rsid w:val="008D2DEE"/>
    <w:rsid w:val="008D3418"/>
    <w:rsid w:val="008D40D1"/>
    <w:rsid w:val="008D60E4"/>
    <w:rsid w:val="008D7E6C"/>
    <w:rsid w:val="008E35AE"/>
    <w:rsid w:val="008E4A0E"/>
    <w:rsid w:val="008E7508"/>
    <w:rsid w:val="008E7A52"/>
    <w:rsid w:val="008F0208"/>
    <w:rsid w:val="008F0554"/>
    <w:rsid w:val="008F2032"/>
    <w:rsid w:val="008F24D3"/>
    <w:rsid w:val="008F282F"/>
    <w:rsid w:val="0090001D"/>
    <w:rsid w:val="00900C79"/>
    <w:rsid w:val="0090163F"/>
    <w:rsid w:val="0090228C"/>
    <w:rsid w:val="009037E4"/>
    <w:rsid w:val="00903C9E"/>
    <w:rsid w:val="00904494"/>
    <w:rsid w:val="00904D2F"/>
    <w:rsid w:val="009052F1"/>
    <w:rsid w:val="00906225"/>
    <w:rsid w:val="00906B4C"/>
    <w:rsid w:val="00910AE2"/>
    <w:rsid w:val="00910C36"/>
    <w:rsid w:val="00912262"/>
    <w:rsid w:val="00912CF3"/>
    <w:rsid w:val="0091348C"/>
    <w:rsid w:val="00914448"/>
    <w:rsid w:val="0091736B"/>
    <w:rsid w:val="00922E02"/>
    <w:rsid w:val="00923C07"/>
    <w:rsid w:val="0092419E"/>
    <w:rsid w:val="009268EF"/>
    <w:rsid w:val="00933488"/>
    <w:rsid w:val="00933DB6"/>
    <w:rsid w:val="009352A2"/>
    <w:rsid w:val="009373CD"/>
    <w:rsid w:val="00937A60"/>
    <w:rsid w:val="00940F40"/>
    <w:rsid w:val="00941EC8"/>
    <w:rsid w:val="00944DF0"/>
    <w:rsid w:val="009478BC"/>
    <w:rsid w:val="00950EDE"/>
    <w:rsid w:val="0095670F"/>
    <w:rsid w:val="0096165D"/>
    <w:rsid w:val="00961D7C"/>
    <w:rsid w:val="00963ACA"/>
    <w:rsid w:val="009646B5"/>
    <w:rsid w:val="00965FA5"/>
    <w:rsid w:val="00966C5B"/>
    <w:rsid w:val="00966DED"/>
    <w:rsid w:val="00971AA0"/>
    <w:rsid w:val="00974B66"/>
    <w:rsid w:val="00974F36"/>
    <w:rsid w:val="0098104C"/>
    <w:rsid w:val="0098652D"/>
    <w:rsid w:val="00992398"/>
    <w:rsid w:val="00993817"/>
    <w:rsid w:val="00995F7D"/>
    <w:rsid w:val="009973C1"/>
    <w:rsid w:val="009A176B"/>
    <w:rsid w:val="009A2BE5"/>
    <w:rsid w:val="009A43FC"/>
    <w:rsid w:val="009A44EA"/>
    <w:rsid w:val="009A555C"/>
    <w:rsid w:val="009A60C6"/>
    <w:rsid w:val="009A6BCB"/>
    <w:rsid w:val="009A7743"/>
    <w:rsid w:val="009B0DC1"/>
    <w:rsid w:val="009B0F89"/>
    <w:rsid w:val="009B21EE"/>
    <w:rsid w:val="009B2759"/>
    <w:rsid w:val="009B355B"/>
    <w:rsid w:val="009B3F06"/>
    <w:rsid w:val="009B4F2A"/>
    <w:rsid w:val="009C07D4"/>
    <w:rsid w:val="009C1418"/>
    <w:rsid w:val="009C5F5E"/>
    <w:rsid w:val="009C6425"/>
    <w:rsid w:val="009C6D03"/>
    <w:rsid w:val="009D267C"/>
    <w:rsid w:val="009D2D29"/>
    <w:rsid w:val="009D3FCF"/>
    <w:rsid w:val="009D5D04"/>
    <w:rsid w:val="009D6726"/>
    <w:rsid w:val="009D69F1"/>
    <w:rsid w:val="009E0E3B"/>
    <w:rsid w:val="009E3FDD"/>
    <w:rsid w:val="009E4C5A"/>
    <w:rsid w:val="009E5001"/>
    <w:rsid w:val="009E5357"/>
    <w:rsid w:val="009E7A5E"/>
    <w:rsid w:val="009F3792"/>
    <w:rsid w:val="009F78FA"/>
    <w:rsid w:val="00A02B7A"/>
    <w:rsid w:val="00A060F2"/>
    <w:rsid w:val="00A0779F"/>
    <w:rsid w:val="00A10618"/>
    <w:rsid w:val="00A10F26"/>
    <w:rsid w:val="00A1171C"/>
    <w:rsid w:val="00A11A0F"/>
    <w:rsid w:val="00A15765"/>
    <w:rsid w:val="00A165AC"/>
    <w:rsid w:val="00A170C6"/>
    <w:rsid w:val="00A177F7"/>
    <w:rsid w:val="00A20394"/>
    <w:rsid w:val="00A2487A"/>
    <w:rsid w:val="00A2492E"/>
    <w:rsid w:val="00A26CBE"/>
    <w:rsid w:val="00A27044"/>
    <w:rsid w:val="00A35CC5"/>
    <w:rsid w:val="00A367FE"/>
    <w:rsid w:val="00A37583"/>
    <w:rsid w:val="00A376D9"/>
    <w:rsid w:val="00A40555"/>
    <w:rsid w:val="00A4299B"/>
    <w:rsid w:val="00A42F24"/>
    <w:rsid w:val="00A4429A"/>
    <w:rsid w:val="00A44DB9"/>
    <w:rsid w:val="00A4523F"/>
    <w:rsid w:val="00A4760A"/>
    <w:rsid w:val="00A47C58"/>
    <w:rsid w:val="00A520D0"/>
    <w:rsid w:val="00A523E1"/>
    <w:rsid w:val="00A5404E"/>
    <w:rsid w:val="00A54ED4"/>
    <w:rsid w:val="00A54FC4"/>
    <w:rsid w:val="00A57D74"/>
    <w:rsid w:val="00A63EA1"/>
    <w:rsid w:val="00A6483C"/>
    <w:rsid w:val="00A6502F"/>
    <w:rsid w:val="00A65806"/>
    <w:rsid w:val="00A65E16"/>
    <w:rsid w:val="00A674D9"/>
    <w:rsid w:val="00A708F5"/>
    <w:rsid w:val="00A71F0C"/>
    <w:rsid w:val="00A72BEC"/>
    <w:rsid w:val="00A72C1C"/>
    <w:rsid w:val="00A738EA"/>
    <w:rsid w:val="00A749FA"/>
    <w:rsid w:val="00A8239F"/>
    <w:rsid w:val="00A87629"/>
    <w:rsid w:val="00A93D80"/>
    <w:rsid w:val="00A9586A"/>
    <w:rsid w:val="00A96286"/>
    <w:rsid w:val="00AA196F"/>
    <w:rsid w:val="00AA1E89"/>
    <w:rsid w:val="00AA27E6"/>
    <w:rsid w:val="00AA3E3C"/>
    <w:rsid w:val="00AA4E92"/>
    <w:rsid w:val="00AA5EFB"/>
    <w:rsid w:val="00AB0776"/>
    <w:rsid w:val="00AB4777"/>
    <w:rsid w:val="00AB5BF5"/>
    <w:rsid w:val="00AB6A6D"/>
    <w:rsid w:val="00AC08FD"/>
    <w:rsid w:val="00AC51B5"/>
    <w:rsid w:val="00AC634B"/>
    <w:rsid w:val="00AD0E31"/>
    <w:rsid w:val="00AD22CB"/>
    <w:rsid w:val="00AD564B"/>
    <w:rsid w:val="00AD578B"/>
    <w:rsid w:val="00AE0C54"/>
    <w:rsid w:val="00AE12BC"/>
    <w:rsid w:val="00AE3617"/>
    <w:rsid w:val="00AE41F9"/>
    <w:rsid w:val="00AF2C71"/>
    <w:rsid w:val="00AF2DED"/>
    <w:rsid w:val="00AF373A"/>
    <w:rsid w:val="00AF47B0"/>
    <w:rsid w:val="00AF634F"/>
    <w:rsid w:val="00AF6BBD"/>
    <w:rsid w:val="00B00D6A"/>
    <w:rsid w:val="00B01ECB"/>
    <w:rsid w:val="00B05BBA"/>
    <w:rsid w:val="00B06238"/>
    <w:rsid w:val="00B07722"/>
    <w:rsid w:val="00B1199D"/>
    <w:rsid w:val="00B12A43"/>
    <w:rsid w:val="00B16E0E"/>
    <w:rsid w:val="00B2078A"/>
    <w:rsid w:val="00B20C05"/>
    <w:rsid w:val="00B22DC4"/>
    <w:rsid w:val="00B231E8"/>
    <w:rsid w:val="00B2394E"/>
    <w:rsid w:val="00B25F6A"/>
    <w:rsid w:val="00B2778E"/>
    <w:rsid w:val="00B27C1A"/>
    <w:rsid w:val="00B31F7F"/>
    <w:rsid w:val="00B33964"/>
    <w:rsid w:val="00B33A1B"/>
    <w:rsid w:val="00B34309"/>
    <w:rsid w:val="00B34412"/>
    <w:rsid w:val="00B3527D"/>
    <w:rsid w:val="00B36FF5"/>
    <w:rsid w:val="00B40A8C"/>
    <w:rsid w:val="00B41A85"/>
    <w:rsid w:val="00B4486E"/>
    <w:rsid w:val="00B44C57"/>
    <w:rsid w:val="00B50C42"/>
    <w:rsid w:val="00B50F17"/>
    <w:rsid w:val="00B52907"/>
    <w:rsid w:val="00B52D7B"/>
    <w:rsid w:val="00B54FC3"/>
    <w:rsid w:val="00B55313"/>
    <w:rsid w:val="00B56BEB"/>
    <w:rsid w:val="00B56E55"/>
    <w:rsid w:val="00B62502"/>
    <w:rsid w:val="00B642F7"/>
    <w:rsid w:val="00B67EA1"/>
    <w:rsid w:val="00B70879"/>
    <w:rsid w:val="00B74549"/>
    <w:rsid w:val="00B75E42"/>
    <w:rsid w:val="00B805D1"/>
    <w:rsid w:val="00B82A47"/>
    <w:rsid w:val="00B8312C"/>
    <w:rsid w:val="00B84FCE"/>
    <w:rsid w:val="00B85AE0"/>
    <w:rsid w:val="00B8791E"/>
    <w:rsid w:val="00B92138"/>
    <w:rsid w:val="00B92CD3"/>
    <w:rsid w:val="00B93F9A"/>
    <w:rsid w:val="00B96E63"/>
    <w:rsid w:val="00B971B6"/>
    <w:rsid w:val="00BA0CD0"/>
    <w:rsid w:val="00BA29DC"/>
    <w:rsid w:val="00BA47E8"/>
    <w:rsid w:val="00BA4DA1"/>
    <w:rsid w:val="00BA54BB"/>
    <w:rsid w:val="00BA737C"/>
    <w:rsid w:val="00BB48C0"/>
    <w:rsid w:val="00BB6080"/>
    <w:rsid w:val="00BB7455"/>
    <w:rsid w:val="00BC061A"/>
    <w:rsid w:val="00BC6C25"/>
    <w:rsid w:val="00BD185D"/>
    <w:rsid w:val="00BD1DFB"/>
    <w:rsid w:val="00BD1E08"/>
    <w:rsid w:val="00BD32E2"/>
    <w:rsid w:val="00BD4CCF"/>
    <w:rsid w:val="00BD7030"/>
    <w:rsid w:val="00BE1924"/>
    <w:rsid w:val="00BE5B7E"/>
    <w:rsid w:val="00BE600E"/>
    <w:rsid w:val="00BF143E"/>
    <w:rsid w:val="00BF18A8"/>
    <w:rsid w:val="00BF2BEA"/>
    <w:rsid w:val="00BF3BE7"/>
    <w:rsid w:val="00BF48B3"/>
    <w:rsid w:val="00BF7238"/>
    <w:rsid w:val="00BF7464"/>
    <w:rsid w:val="00BF7886"/>
    <w:rsid w:val="00C01CA1"/>
    <w:rsid w:val="00C03971"/>
    <w:rsid w:val="00C0570A"/>
    <w:rsid w:val="00C05E12"/>
    <w:rsid w:val="00C07EAF"/>
    <w:rsid w:val="00C102C5"/>
    <w:rsid w:val="00C10ABF"/>
    <w:rsid w:val="00C121DE"/>
    <w:rsid w:val="00C12890"/>
    <w:rsid w:val="00C14FDA"/>
    <w:rsid w:val="00C151F3"/>
    <w:rsid w:val="00C16863"/>
    <w:rsid w:val="00C20EA7"/>
    <w:rsid w:val="00C230B6"/>
    <w:rsid w:val="00C2388D"/>
    <w:rsid w:val="00C2451F"/>
    <w:rsid w:val="00C24C65"/>
    <w:rsid w:val="00C25B20"/>
    <w:rsid w:val="00C26047"/>
    <w:rsid w:val="00C27A58"/>
    <w:rsid w:val="00C31854"/>
    <w:rsid w:val="00C337B5"/>
    <w:rsid w:val="00C3412A"/>
    <w:rsid w:val="00C422A9"/>
    <w:rsid w:val="00C5090C"/>
    <w:rsid w:val="00C50A3D"/>
    <w:rsid w:val="00C511AE"/>
    <w:rsid w:val="00C52BF7"/>
    <w:rsid w:val="00C532E3"/>
    <w:rsid w:val="00C53350"/>
    <w:rsid w:val="00C5510D"/>
    <w:rsid w:val="00C57710"/>
    <w:rsid w:val="00C57D0D"/>
    <w:rsid w:val="00C57DDB"/>
    <w:rsid w:val="00C604EB"/>
    <w:rsid w:val="00C63282"/>
    <w:rsid w:val="00C63D5A"/>
    <w:rsid w:val="00C65458"/>
    <w:rsid w:val="00C657FE"/>
    <w:rsid w:val="00C670FD"/>
    <w:rsid w:val="00C677A1"/>
    <w:rsid w:val="00C7010C"/>
    <w:rsid w:val="00C71ACF"/>
    <w:rsid w:val="00C71B08"/>
    <w:rsid w:val="00C72558"/>
    <w:rsid w:val="00C7595D"/>
    <w:rsid w:val="00C77269"/>
    <w:rsid w:val="00C81A37"/>
    <w:rsid w:val="00C825CF"/>
    <w:rsid w:val="00C8279B"/>
    <w:rsid w:val="00C847B5"/>
    <w:rsid w:val="00C84F04"/>
    <w:rsid w:val="00C91001"/>
    <w:rsid w:val="00C912DC"/>
    <w:rsid w:val="00C9551C"/>
    <w:rsid w:val="00C970A4"/>
    <w:rsid w:val="00C97DC8"/>
    <w:rsid w:val="00CA0FFE"/>
    <w:rsid w:val="00CA65E3"/>
    <w:rsid w:val="00CA6D44"/>
    <w:rsid w:val="00CB0724"/>
    <w:rsid w:val="00CB2812"/>
    <w:rsid w:val="00CB2CC6"/>
    <w:rsid w:val="00CB35C0"/>
    <w:rsid w:val="00CB4A86"/>
    <w:rsid w:val="00CB7177"/>
    <w:rsid w:val="00CB7496"/>
    <w:rsid w:val="00CC07F0"/>
    <w:rsid w:val="00CC2A2A"/>
    <w:rsid w:val="00CC39F0"/>
    <w:rsid w:val="00CC6E9F"/>
    <w:rsid w:val="00CD0553"/>
    <w:rsid w:val="00CD10B7"/>
    <w:rsid w:val="00CD206D"/>
    <w:rsid w:val="00CD27E4"/>
    <w:rsid w:val="00CD2C00"/>
    <w:rsid w:val="00CD3AF6"/>
    <w:rsid w:val="00CD44E1"/>
    <w:rsid w:val="00CD464D"/>
    <w:rsid w:val="00CD465D"/>
    <w:rsid w:val="00CD52A1"/>
    <w:rsid w:val="00CD7C51"/>
    <w:rsid w:val="00CE06D1"/>
    <w:rsid w:val="00CE0AEC"/>
    <w:rsid w:val="00CE0EFE"/>
    <w:rsid w:val="00CE22A7"/>
    <w:rsid w:val="00CE2D06"/>
    <w:rsid w:val="00CE333E"/>
    <w:rsid w:val="00CE3BD2"/>
    <w:rsid w:val="00CE5B93"/>
    <w:rsid w:val="00CE5C24"/>
    <w:rsid w:val="00CE5DD7"/>
    <w:rsid w:val="00CE6525"/>
    <w:rsid w:val="00CF1C56"/>
    <w:rsid w:val="00CF2408"/>
    <w:rsid w:val="00CF2AC9"/>
    <w:rsid w:val="00CF3412"/>
    <w:rsid w:val="00CF4CA8"/>
    <w:rsid w:val="00CF5611"/>
    <w:rsid w:val="00CF61A8"/>
    <w:rsid w:val="00CF72E2"/>
    <w:rsid w:val="00CF759F"/>
    <w:rsid w:val="00D000AF"/>
    <w:rsid w:val="00D0060E"/>
    <w:rsid w:val="00D02A24"/>
    <w:rsid w:val="00D02B70"/>
    <w:rsid w:val="00D03B4A"/>
    <w:rsid w:val="00D0414F"/>
    <w:rsid w:val="00D04AD6"/>
    <w:rsid w:val="00D04C9C"/>
    <w:rsid w:val="00D10401"/>
    <w:rsid w:val="00D12573"/>
    <w:rsid w:val="00D1308A"/>
    <w:rsid w:val="00D15050"/>
    <w:rsid w:val="00D17A77"/>
    <w:rsid w:val="00D201F2"/>
    <w:rsid w:val="00D2053C"/>
    <w:rsid w:val="00D20FC8"/>
    <w:rsid w:val="00D23BBD"/>
    <w:rsid w:val="00D244BE"/>
    <w:rsid w:val="00D2474C"/>
    <w:rsid w:val="00D263A8"/>
    <w:rsid w:val="00D26B8F"/>
    <w:rsid w:val="00D27F0B"/>
    <w:rsid w:val="00D304E2"/>
    <w:rsid w:val="00D341D7"/>
    <w:rsid w:val="00D36B39"/>
    <w:rsid w:val="00D402C1"/>
    <w:rsid w:val="00D40B9B"/>
    <w:rsid w:val="00D4361F"/>
    <w:rsid w:val="00D45F42"/>
    <w:rsid w:val="00D46AD9"/>
    <w:rsid w:val="00D509FA"/>
    <w:rsid w:val="00D50DED"/>
    <w:rsid w:val="00D52588"/>
    <w:rsid w:val="00D53314"/>
    <w:rsid w:val="00D533AD"/>
    <w:rsid w:val="00D554E5"/>
    <w:rsid w:val="00D602F4"/>
    <w:rsid w:val="00D615A8"/>
    <w:rsid w:val="00D639F5"/>
    <w:rsid w:val="00D63B11"/>
    <w:rsid w:val="00D648E8"/>
    <w:rsid w:val="00D70B08"/>
    <w:rsid w:val="00D71602"/>
    <w:rsid w:val="00D74122"/>
    <w:rsid w:val="00D767F1"/>
    <w:rsid w:val="00D80C53"/>
    <w:rsid w:val="00D903E6"/>
    <w:rsid w:val="00D9177D"/>
    <w:rsid w:val="00D92860"/>
    <w:rsid w:val="00D9414B"/>
    <w:rsid w:val="00D9434C"/>
    <w:rsid w:val="00D94A21"/>
    <w:rsid w:val="00D94F98"/>
    <w:rsid w:val="00D95864"/>
    <w:rsid w:val="00D95AC0"/>
    <w:rsid w:val="00D9635D"/>
    <w:rsid w:val="00D976BA"/>
    <w:rsid w:val="00D9782A"/>
    <w:rsid w:val="00DA0993"/>
    <w:rsid w:val="00DA1611"/>
    <w:rsid w:val="00DA19E9"/>
    <w:rsid w:val="00DA4A5A"/>
    <w:rsid w:val="00DA5088"/>
    <w:rsid w:val="00DA59B6"/>
    <w:rsid w:val="00DA5CDA"/>
    <w:rsid w:val="00DA6D1A"/>
    <w:rsid w:val="00DA7BC8"/>
    <w:rsid w:val="00DA7D8D"/>
    <w:rsid w:val="00DB0B36"/>
    <w:rsid w:val="00DB1F95"/>
    <w:rsid w:val="00DB3A80"/>
    <w:rsid w:val="00DB472F"/>
    <w:rsid w:val="00DB638F"/>
    <w:rsid w:val="00DB7682"/>
    <w:rsid w:val="00DC03EB"/>
    <w:rsid w:val="00DC2C93"/>
    <w:rsid w:val="00DC37C6"/>
    <w:rsid w:val="00DD0F5A"/>
    <w:rsid w:val="00DD49BD"/>
    <w:rsid w:val="00DD5943"/>
    <w:rsid w:val="00DD5EE8"/>
    <w:rsid w:val="00DD6148"/>
    <w:rsid w:val="00DE0008"/>
    <w:rsid w:val="00DE05E5"/>
    <w:rsid w:val="00DE084C"/>
    <w:rsid w:val="00DE13E6"/>
    <w:rsid w:val="00DE209F"/>
    <w:rsid w:val="00DE25CC"/>
    <w:rsid w:val="00DE4B6D"/>
    <w:rsid w:val="00DE5136"/>
    <w:rsid w:val="00DE6E20"/>
    <w:rsid w:val="00DE7442"/>
    <w:rsid w:val="00DF07F9"/>
    <w:rsid w:val="00DF0960"/>
    <w:rsid w:val="00DF1B55"/>
    <w:rsid w:val="00DF23B3"/>
    <w:rsid w:val="00DF3D89"/>
    <w:rsid w:val="00DF50B8"/>
    <w:rsid w:val="00DF50ED"/>
    <w:rsid w:val="00DF7BB0"/>
    <w:rsid w:val="00E012A9"/>
    <w:rsid w:val="00E029B3"/>
    <w:rsid w:val="00E030CD"/>
    <w:rsid w:val="00E0467F"/>
    <w:rsid w:val="00E055C1"/>
    <w:rsid w:val="00E056BF"/>
    <w:rsid w:val="00E0661F"/>
    <w:rsid w:val="00E06D47"/>
    <w:rsid w:val="00E10ABD"/>
    <w:rsid w:val="00E116B8"/>
    <w:rsid w:val="00E122C9"/>
    <w:rsid w:val="00E12393"/>
    <w:rsid w:val="00E125AD"/>
    <w:rsid w:val="00E13477"/>
    <w:rsid w:val="00E14966"/>
    <w:rsid w:val="00E15F95"/>
    <w:rsid w:val="00E171D8"/>
    <w:rsid w:val="00E21A0C"/>
    <w:rsid w:val="00E2230C"/>
    <w:rsid w:val="00E2363E"/>
    <w:rsid w:val="00E254A8"/>
    <w:rsid w:val="00E2664E"/>
    <w:rsid w:val="00E304F7"/>
    <w:rsid w:val="00E35B1A"/>
    <w:rsid w:val="00E370EC"/>
    <w:rsid w:val="00E422AA"/>
    <w:rsid w:val="00E42B41"/>
    <w:rsid w:val="00E43D79"/>
    <w:rsid w:val="00E43D8F"/>
    <w:rsid w:val="00E44CAF"/>
    <w:rsid w:val="00E4502F"/>
    <w:rsid w:val="00E5090A"/>
    <w:rsid w:val="00E51071"/>
    <w:rsid w:val="00E51BB2"/>
    <w:rsid w:val="00E52617"/>
    <w:rsid w:val="00E52E97"/>
    <w:rsid w:val="00E53858"/>
    <w:rsid w:val="00E5434B"/>
    <w:rsid w:val="00E54D3D"/>
    <w:rsid w:val="00E552B9"/>
    <w:rsid w:val="00E5558E"/>
    <w:rsid w:val="00E571A2"/>
    <w:rsid w:val="00E659B1"/>
    <w:rsid w:val="00E6657A"/>
    <w:rsid w:val="00E66E9C"/>
    <w:rsid w:val="00E67697"/>
    <w:rsid w:val="00E70FE3"/>
    <w:rsid w:val="00E714C9"/>
    <w:rsid w:val="00E71C85"/>
    <w:rsid w:val="00E7329F"/>
    <w:rsid w:val="00E748BB"/>
    <w:rsid w:val="00E74F4A"/>
    <w:rsid w:val="00E7535B"/>
    <w:rsid w:val="00E77587"/>
    <w:rsid w:val="00E77F22"/>
    <w:rsid w:val="00E82544"/>
    <w:rsid w:val="00E835C2"/>
    <w:rsid w:val="00E83EE3"/>
    <w:rsid w:val="00E85222"/>
    <w:rsid w:val="00E906F1"/>
    <w:rsid w:val="00E90EAC"/>
    <w:rsid w:val="00E948D9"/>
    <w:rsid w:val="00E94CFE"/>
    <w:rsid w:val="00EA1584"/>
    <w:rsid w:val="00EA2B89"/>
    <w:rsid w:val="00EA5CBD"/>
    <w:rsid w:val="00EA6CA2"/>
    <w:rsid w:val="00EA7406"/>
    <w:rsid w:val="00EB0ACF"/>
    <w:rsid w:val="00EB18DB"/>
    <w:rsid w:val="00EB48D8"/>
    <w:rsid w:val="00EB5D7B"/>
    <w:rsid w:val="00EB6ACC"/>
    <w:rsid w:val="00EC01F8"/>
    <w:rsid w:val="00EC07D3"/>
    <w:rsid w:val="00EC39A0"/>
    <w:rsid w:val="00EC3FE1"/>
    <w:rsid w:val="00EC5995"/>
    <w:rsid w:val="00ED1C4C"/>
    <w:rsid w:val="00ED23B0"/>
    <w:rsid w:val="00ED3E29"/>
    <w:rsid w:val="00ED4A61"/>
    <w:rsid w:val="00ED51F3"/>
    <w:rsid w:val="00ED5826"/>
    <w:rsid w:val="00EE0EBD"/>
    <w:rsid w:val="00EE2406"/>
    <w:rsid w:val="00EE3753"/>
    <w:rsid w:val="00EE4591"/>
    <w:rsid w:val="00EF3AF1"/>
    <w:rsid w:val="00EF5210"/>
    <w:rsid w:val="00EF639C"/>
    <w:rsid w:val="00EF6BEF"/>
    <w:rsid w:val="00EF6D24"/>
    <w:rsid w:val="00EF6F1F"/>
    <w:rsid w:val="00EF7191"/>
    <w:rsid w:val="00F00B23"/>
    <w:rsid w:val="00F02019"/>
    <w:rsid w:val="00F0366C"/>
    <w:rsid w:val="00F0672B"/>
    <w:rsid w:val="00F1066B"/>
    <w:rsid w:val="00F12EF9"/>
    <w:rsid w:val="00F14034"/>
    <w:rsid w:val="00F14813"/>
    <w:rsid w:val="00F14EE6"/>
    <w:rsid w:val="00F15453"/>
    <w:rsid w:val="00F15898"/>
    <w:rsid w:val="00F15E0A"/>
    <w:rsid w:val="00F20088"/>
    <w:rsid w:val="00F222D8"/>
    <w:rsid w:val="00F2274F"/>
    <w:rsid w:val="00F23145"/>
    <w:rsid w:val="00F25D49"/>
    <w:rsid w:val="00F31030"/>
    <w:rsid w:val="00F31E7B"/>
    <w:rsid w:val="00F327E6"/>
    <w:rsid w:val="00F33021"/>
    <w:rsid w:val="00F33E4B"/>
    <w:rsid w:val="00F344BA"/>
    <w:rsid w:val="00F364B9"/>
    <w:rsid w:val="00F36D5A"/>
    <w:rsid w:val="00F37FCB"/>
    <w:rsid w:val="00F41F71"/>
    <w:rsid w:val="00F422BD"/>
    <w:rsid w:val="00F427C9"/>
    <w:rsid w:val="00F43761"/>
    <w:rsid w:val="00F442B7"/>
    <w:rsid w:val="00F46CF0"/>
    <w:rsid w:val="00F53697"/>
    <w:rsid w:val="00F60095"/>
    <w:rsid w:val="00F61F6B"/>
    <w:rsid w:val="00F628E3"/>
    <w:rsid w:val="00F62C7E"/>
    <w:rsid w:val="00F6749A"/>
    <w:rsid w:val="00F67F40"/>
    <w:rsid w:val="00F7097D"/>
    <w:rsid w:val="00F71741"/>
    <w:rsid w:val="00F75C22"/>
    <w:rsid w:val="00F767F7"/>
    <w:rsid w:val="00F805E9"/>
    <w:rsid w:val="00F80890"/>
    <w:rsid w:val="00F80F5D"/>
    <w:rsid w:val="00F8225A"/>
    <w:rsid w:val="00F83C2D"/>
    <w:rsid w:val="00F841B5"/>
    <w:rsid w:val="00F865FD"/>
    <w:rsid w:val="00F8662E"/>
    <w:rsid w:val="00F92FD7"/>
    <w:rsid w:val="00F931E8"/>
    <w:rsid w:val="00F94D5A"/>
    <w:rsid w:val="00FA0878"/>
    <w:rsid w:val="00FA21B9"/>
    <w:rsid w:val="00FA2CA1"/>
    <w:rsid w:val="00FA3322"/>
    <w:rsid w:val="00FA532A"/>
    <w:rsid w:val="00FA629E"/>
    <w:rsid w:val="00FA62E2"/>
    <w:rsid w:val="00FA79BB"/>
    <w:rsid w:val="00FB4514"/>
    <w:rsid w:val="00FB580A"/>
    <w:rsid w:val="00FB7618"/>
    <w:rsid w:val="00FC24F9"/>
    <w:rsid w:val="00FC4747"/>
    <w:rsid w:val="00FC79E6"/>
    <w:rsid w:val="00FD1193"/>
    <w:rsid w:val="00FD2448"/>
    <w:rsid w:val="00FD28A9"/>
    <w:rsid w:val="00FD4E9D"/>
    <w:rsid w:val="00FD7DF3"/>
    <w:rsid w:val="00FD7E4F"/>
    <w:rsid w:val="00FE04B3"/>
    <w:rsid w:val="00FE06C2"/>
    <w:rsid w:val="00FE06C6"/>
    <w:rsid w:val="00FE1DC0"/>
    <w:rsid w:val="00FE4D73"/>
    <w:rsid w:val="00FE7B68"/>
    <w:rsid w:val="00FE7CBE"/>
    <w:rsid w:val="00FF0948"/>
    <w:rsid w:val="00FF0D6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5E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5E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55E8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20E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5E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5E88"/>
  </w:style>
  <w:style w:type="paragraph" w:styleId="Footer">
    <w:name w:val="footer"/>
    <w:basedOn w:val="Normal"/>
    <w:link w:val="FooterChar"/>
    <w:uiPriority w:val="99"/>
    <w:unhideWhenUsed/>
    <w:rsid w:val="00255E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5E88"/>
  </w:style>
  <w:style w:type="character" w:customStyle="1" w:styleId="Heading2Char">
    <w:name w:val="Heading 2 Char"/>
    <w:basedOn w:val="DefaultParagraphFont"/>
    <w:link w:val="Heading2"/>
    <w:uiPriority w:val="9"/>
    <w:rsid w:val="00255E88"/>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255E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55E88"/>
    <w:pPr>
      <w:outlineLvl w:val="9"/>
    </w:pPr>
    <w:rPr>
      <w:lang w:val="en-US" w:eastAsia="ja-JP"/>
    </w:rPr>
  </w:style>
  <w:style w:type="paragraph" w:styleId="TOC2">
    <w:name w:val="toc 2"/>
    <w:basedOn w:val="Normal"/>
    <w:next w:val="Normal"/>
    <w:autoRedefine/>
    <w:uiPriority w:val="39"/>
    <w:unhideWhenUsed/>
    <w:qFormat/>
    <w:rsid w:val="00255E88"/>
    <w:pPr>
      <w:spacing w:after="100"/>
      <w:ind w:left="220"/>
    </w:pPr>
  </w:style>
  <w:style w:type="character" w:styleId="Hyperlink">
    <w:name w:val="Hyperlink"/>
    <w:basedOn w:val="DefaultParagraphFont"/>
    <w:uiPriority w:val="99"/>
    <w:unhideWhenUsed/>
    <w:rsid w:val="00255E88"/>
    <w:rPr>
      <w:color w:val="0000FF" w:themeColor="hyperlink"/>
      <w:u w:val="single"/>
    </w:rPr>
  </w:style>
  <w:style w:type="paragraph" w:styleId="BalloonText">
    <w:name w:val="Balloon Text"/>
    <w:basedOn w:val="Normal"/>
    <w:link w:val="BalloonTextChar"/>
    <w:uiPriority w:val="99"/>
    <w:semiHidden/>
    <w:unhideWhenUsed/>
    <w:rsid w:val="00255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E88"/>
    <w:rPr>
      <w:rFonts w:ascii="Tahoma" w:hAnsi="Tahoma" w:cs="Tahoma"/>
      <w:sz w:val="16"/>
      <w:szCs w:val="16"/>
    </w:rPr>
  </w:style>
  <w:style w:type="character" w:customStyle="1" w:styleId="Heading3Char">
    <w:name w:val="Heading 3 Char"/>
    <w:basedOn w:val="DefaultParagraphFont"/>
    <w:link w:val="Heading3"/>
    <w:uiPriority w:val="9"/>
    <w:rsid w:val="00255E8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255E88"/>
    <w:pPr>
      <w:spacing w:after="100"/>
      <w:ind w:left="440"/>
    </w:pPr>
  </w:style>
  <w:style w:type="paragraph" w:customStyle="1" w:styleId="Default">
    <w:name w:val="Default"/>
    <w:rsid w:val="00201586"/>
    <w:pPr>
      <w:autoSpaceDE w:val="0"/>
      <w:autoSpaceDN w:val="0"/>
      <w:adjustRightInd w:val="0"/>
      <w:spacing w:after="0" w:line="240" w:lineRule="auto"/>
    </w:pPr>
    <w:rPr>
      <w:rFonts w:ascii="Calibri" w:hAnsi="Calibri" w:cs="Calibri"/>
      <w:color w:val="000000"/>
      <w:sz w:val="24"/>
      <w:szCs w:val="24"/>
    </w:rPr>
  </w:style>
  <w:style w:type="character" w:customStyle="1" w:styleId="apple-converted-space">
    <w:name w:val="apple-converted-space"/>
    <w:basedOn w:val="DefaultParagraphFont"/>
    <w:rsid w:val="00201586"/>
  </w:style>
  <w:style w:type="paragraph" w:styleId="ListParagraph">
    <w:name w:val="List Paragraph"/>
    <w:basedOn w:val="Normal"/>
    <w:uiPriority w:val="34"/>
    <w:qFormat/>
    <w:rsid w:val="00467E79"/>
    <w:pPr>
      <w:ind w:left="720"/>
      <w:contextualSpacing/>
    </w:pPr>
  </w:style>
  <w:style w:type="character" w:customStyle="1" w:styleId="Heading4Char">
    <w:name w:val="Heading 4 Char"/>
    <w:basedOn w:val="DefaultParagraphFont"/>
    <w:link w:val="Heading4"/>
    <w:uiPriority w:val="9"/>
    <w:rsid w:val="00C20EA7"/>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923C0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23C07"/>
    <w:rPr>
      <w:rFonts w:eastAsiaTheme="minorEastAsia"/>
      <w:lang w:val="en-US"/>
    </w:rPr>
  </w:style>
  <w:style w:type="character" w:styleId="Emphasis">
    <w:name w:val="Emphasis"/>
    <w:basedOn w:val="DefaultParagraphFont"/>
    <w:uiPriority w:val="20"/>
    <w:qFormat/>
    <w:rsid w:val="002F6203"/>
    <w:rPr>
      <w:i/>
      <w:iCs/>
    </w:rPr>
  </w:style>
  <w:style w:type="table" w:customStyle="1" w:styleId="PlainTable11">
    <w:name w:val="Plain Table 11"/>
    <w:basedOn w:val="TableNormal"/>
    <w:uiPriority w:val="41"/>
    <w:rsid w:val="00347A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B92C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197491"/>
    <w:pPr>
      <w:spacing w:after="100"/>
    </w:pPr>
  </w:style>
  <w:style w:type="character" w:customStyle="1" w:styleId="font81">
    <w:name w:val="font81"/>
    <w:basedOn w:val="DefaultParagraphFont"/>
    <w:rsid w:val="00F23145"/>
    <w:rPr>
      <w:rFonts w:ascii="Arial" w:hAnsi="Arial" w:cs="Arial" w:hint="default"/>
      <w:b w:val="0"/>
      <w:bCs w:val="0"/>
      <w:i w:val="0"/>
      <w:iCs w:val="0"/>
      <w:strike w:val="0"/>
      <w:dstrike w:val="0"/>
      <w:color w:val="000000"/>
      <w:sz w:val="18"/>
      <w:szCs w:val="18"/>
      <w:u w:val="none"/>
      <w:effect w:val="none"/>
    </w:rPr>
  </w:style>
  <w:style w:type="table" w:customStyle="1" w:styleId="PlainTable12">
    <w:name w:val="Plain Table 12"/>
    <w:basedOn w:val="TableNormal"/>
    <w:uiPriority w:val="41"/>
    <w:rsid w:val="004F4F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88579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11">
    <w:name w:val="Grid Table 1 Light - Accent 11"/>
    <w:basedOn w:val="TableNormal"/>
    <w:uiPriority w:val="46"/>
    <w:rsid w:val="00885791"/>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8579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885791"/>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885791"/>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88579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88579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Light1">
    <w:name w:val="Table Grid Light1"/>
    <w:basedOn w:val="TableNormal"/>
    <w:uiPriority w:val="40"/>
    <w:rsid w:val="008857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3">
    <w:name w:val="Plain Table 13"/>
    <w:basedOn w:val="TableNormal"/>
    <w:uiPriority w:val="41"/>
    <w:rsid w:val="008857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88579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88579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8579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837B0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UnresolvedMention1">
    <w:name w:val="Unresolved Mention1"/>
    <w:basedOn w:val="DefaultParagraphFont"/>
    <w:uiPriority w:val="99"/>
    <w:semiHidden/>
    <w:unhideWhenUsed/>
    <w:rsid w:val="00ED1C4C"/>
    <w:rPr>
      <w:color w:val="808080"/>
      <w:shd w:val="clear" w:color="auto" w:fill="E6E6E6"/>
    </w:rPr>
  </w:style>
  <w:style w:type="numbering" w:customStyle="1" w:styleId="NoList1">
    <w:name w:val="No List1"/>
    <w:next w:val="NoList"/>
    <w:uiPriority w:val="99"/>
    <w:semiHidden/>
    <w:unhideWhenUsed/>
    <w:rsid w:val="0088047C"/>
  </w:style>
  <w:style w:type="character" w:styleId="CommentReference">
    <w:name w:val="annotation reference"/>
    <w:basedOn w:val="DefaultParagraphFont"/>
    <w:uiPriority w:val="99"/>
    <w:semiHidden/>
    <w:unhideWhenUsed/>
    <w:rsid w:val="008A1E57"/>
    <w:rPr>
      <w:sz w:val="16"/>
      <w:szCs w:val="16"/>
    </w:rPr>
  </w:style>
  <w:style w:type="paragraph" w:styleId="CommentText">
    <w:name w:val="annotation text"/>
    <w:basedOn w:val="Normal"/>
    <w:link w:val="CommentTextChar"/>
    <w:uiPriority w:val="99"/>
    <w:semiHidden/>
    <w:unhideWhenUsed/>
    <w:rsid w:val="008A1E57"/>
    <w:pPr>
      <w:spacing w:line="240" w:lineRule="auto"/>
    </w:pPr>
    <w:rPr>
      <w:sz w:val="20"/>
      <w:szCs w:val="20"/>
    </w:rPr>
  </w:style>
  <w:style w:type="character" w:customStyle="1" w:styleId="CommentTextChar">
    <w:name w:val="Comment Text Char"/>
    <w:basedOn w:val="DefaultParagraphFont"/>
    <w:link w:val="CommentText"/>
    <w:uiPriority w:val="99"/>
    <w:semiHidden/>
    <w:rsid w:val="008A1E57"/>
    <w:rPr>
      <w:sz w:val="20"/>
      <w:szCs w:val="20"/>
    </w:rPr>
  </w:style>
  <w:style w:type="paragraph" w:styleId="CommentSubject">
    <w:name w:val="annotation subject"/>
    <w:basedOn w:val="CommentText"/>
    <w:next w:val="CommentText"/>
    <w:link w:val="CommentSubjectChar"/>
    <w:uiPriority w:val="99"/>
    <w:semiHidden/>
    <w:unhideWhenUsed/>
    <w:rsid w:val="008A1E57"/>
    <w:rPr>
      <w:b/>
      <w:bCs/>
    </w:rPr>
  </w:style>
  <w:style w:type="character" w:customStyle="1" w:styleId="CommentSubjectChar">
    <w:name w:val="Comment Subject Char"/>
    <w:basedOn w:val="CommentTextChar"/>
    <w:link w:val="CommentSubject"/>
    <w:uiPriority w:val="99"/>
    <w:semiHidden/>
    <w:rsid w:val="008A1E57"/>
    <w:rPr>
      <w:b/>
      <w:bCs/>
      <w:sz w:val="20"/>
      <w:szCs w:val="20"/>
    </w:rPr>
  </w:style>
  <w:style w:type="character" w:customStyle="1" w:styleId="highwire-citation-authors">
    <w:name w:val="highwire-citation-authors"/>
    <w:basedOn w:val="DefaultParagraphFont"/>
    <w:rsid w:val="00C25B20"/>
  </w:style>
  <w:style w:type="character" w:customStyle="1" w:styleId="highwire-citation-author">
    <w:name w:val="highwire-citation-author"/>
    <w:basedOn w:val="DefaultParagraphFont"/>
    <w:rsid w:val="00C25B20"/>
  </w:style>
  <w:style w:type="character" w:customStyle="1" w:styleId="nlm-surname">
    <w:name w:val="nlm-surname"/>
    <w:basedOn w:val="DefaultParagraphFont"/>
    <w:rsid w:val="00C25B20"/>
  </w:style>
  <w:style w:type="character" w:customStyle="1" w:styleId="citation-et">
    <w:name w:val="citation-et"/>
    <w:basedOn w:val="DefaultParagraphFont"/>
    <w:rsid w:val="00C25B20"/>
  </w:style>
  <w:style w:type="character" w:customStyle="1" w:styleId="highwire-cite-metadata-journal">
    <w:name w:val="highwire-cite-metadata-journal"/>
    <w:basedOn w:val="DefaultParagraphFont"/>
    <w:rsid w:val="00C25B20"/>
  </w:style>
  <w:style w:type="character" w:customStyle="1" w:styleId="highwire-cite-metadata-year">
    <w:name w:val="highwire-cite-metadata-year"/>
    <w:basedOn w:val="DefaultParagraphFont"/>
    <w:rsid w:val="00C25B20"/>
  </w:style>
  <w:style w:type="character" w:customStyle="1" w:styleId="highwire-cite-metadata-volume">
    <w:name w:val="highwire-cite-metadata-volume"/>
    <w:basedOn w:val="DefaultParagraphFont"/>
    <w:rsid w:val="00C25B20"/>
  </w:style>
  <w:style w:type="character" w:customStyle="1" w:styleId="highwire-cite-metadata-pages">
    <w:name w:val="highwire-cite-metadata-pages"/>
    <w:basedOn w:val="DefaultParagraphFont"/>
    <w:rsid w:val="00C25B20"/>
  </w:style>
  <w:style w:type="character" w:customStyle="1" w:styleId="UnresolvedMention2">
    <w:name w:val="Unresolved Mention2"/>
    <w:basedOn w:val="DefaultParagraphFont"/>
    <w:uiPriority w:val="99"/>
    <w:semiHidden/>
    <w:unhideWhenUsed/>
    <w:rsid w:val="001365AD"/>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5E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5E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55E8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20E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5E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5E88"/>
  </w:style>
  <w:style w:type="paragraph" w:styleId="Footer">
    <w:name w:val="footer"/>
    <w:basedOn w:val="Normal"/>
    <w:link w:val="FooterChar"/>
    <w:uiPriority w:val="99"/>
    <w:unhideWhenUsed/>
    <w:rsid w:val="00255E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5E88"/>
  </w:style>
  <w:style w:type="character" w:customStyle="1" w:styleId="Heading2Char">
    <w:name w:val="Heading 2 Char"/>
    <w:basedOn w:val="DefaultParagraphFont"/>
    <w:link w:val="Heading2"/>
    <w:uiPriority w:val="9"/>
    <w:rsid w:val="00255E88"/>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255E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55E88"/>
    <w:pPr>
      <w:outlineLvl w:val="9"/>
    </w:pPr>
    <w:rPr>
      <w:lang w:val="en-US" w:eastAsia="ja-JP"/>
    </w:rPr>
  </w:style>
  <w:style w:type="paragraph" w:styleId="TOC2">
    <w:name w:val="toc 2"/>
    <w:basedOn w:val="Normal"/>
    <w:next w:val="Normal"/>
    <w:autoRedefine/>
    <w:uiPriority w:val="39"/>
    <w:unhideWhenUsed/>
    <w:qFormat/>
    <w:rsid w:val="00255E88"/>
    <w:pPr>
      <w:spacing w:after="100"/>
      <w:ind w:left="220"/>
    </w:pPr>
  </w:style>
  <w:style w:type="character" w:styleId="Hyperlink">
    <w:name w:val="Hyperlink"/>
    <w:basedOn w:val="DefaultParagraphFont"/>
    <w:uiPriority w:val="99"/>
    <w:unhideWhenUsed/>
    <w:rsid w:val="00255E88"/>
    <w:rPr>
      <w:color w:val="0000FF" w:themeColor="hyperlink"/>
      <w:u w:val="single"/>
    </w:rPr>
  </w:style>
  <w:style w:type="paragraph" w:styleId="BalloonText">
    <w:name w:val="Balloon Text"/>
    <w:basedOn w:val="Normal"/>
    <w:link w:val="BalloonTextChar"/>
    <w:uiPriority w:val="99"/>
    <w:semiHidden/>
    <w:unhideWhenUsed/>
    <w:rsid w:val="00255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E88"/>
    <w:rPr>
      <w:rFonts w:ascii="Tahoma" w:hAnsi="Tahoma" w:cs="Tahoma"/>
      <w:sz w:val="16"/>
      <w:szCs w:val="16"/>
    </w:rPr>
  </w:style>
  <w:style w:type="character" w:customStyle="1" w:styleId="Heading3Char">
    <w:name w:val="Heading 3 Char"/>
    <w:basedOn w:val="DefaultParagraphFont"/>
    <w:link w:val="Heading3"/>
    <w:uiPriority w:val="9"/>
    <w:rsid w:val="00255E8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255E88"/>
    <w:pPr>
      <w:spacing w:after="100"/>
      <w:ind w:left="440"/>
    </w:pPr>
  </w:style>
  <w:style w:type="paragraph" w:customStyle="1" w:styleId="Default">
    <w:name w:val="Default"/>
    <w:rsid w:val="00201586"/>
    <w:pPr>
      <w:autoSpaceDE w:val="0"/>
      <w:autoSpaceDN w:val="0"/>
      <w:adjustRightInd w:val="0"/>
      <w:spacing w:after="0" w:line="240" w:lineRule="auto"/>
    </w:pPr>
    <w:rPr>
      <w:rFonts w:ascii="Calibri" w:hAnsi="Calibri" w:cs="Calibri"/>
      <w:color w:val="000000"/>
      <w:sz w:val="24"/>
      <w:szCs w:val="24"/>
    </w:rPr>
  </w:style>
  <w:style w:type="character" w:customStyle="1" w:styleId="apple-converted-space">
    <w:name w:val="apple-converted-space"/>
    <w:basedOn w:val="DefaultParagraphFont"/>
    <w:rsid w:val="00201586"/>
  </w:style>
  <w:style w:type="paragraph" w:styleId="ListParagraph">
    <w:name w:val="List Paragraph"/>
    <w:basedOn w:val="Normal"/>
    <w:uiPriority w:val="34"/>
    <w:qFormat/>
    <w:rsid w:val="00467E79"/>
    <w:pPr>
      <w:ind w:left="720"/>
      <w:contextualSpacing/>
    </w:pPr>
  </w:style>
  <w:style w:type="character" w:customStyle="1" w:styleId="Heading4Char">
    <w:name w:val="Heading 4 Char"/>
    <w:basedOn w:val="DefaultParagraphFont"/>
    <w:link w:val="Heading4"/>
    <w:uiPriority w:val="9"/>
    <w:rsid w:val="00C20EA7"/>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923C0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23C07"/>
    <w:rPr>
      <w:rFonts w:eastAsiaTheme="minorEastAsia"/>
      <w:lang w:val="en-US"/>
    </w:rPr>
  </w:style>
  <w:style w:type="character" w:styleId="Emphasis">
    <w:name w:val="Emphasis"/>
    <w:basedOn w:val="DefaultParagraphFont"/>
    <w:uiPriority w:val="20"/>
    <w:qFormat/>
    <w:rsid w:val="002F6203"/>
    <w:rPr>
      <w:i/>
      <w:iCs/>
    </w:rPr>
  </w:style>
  <w:style w:type="table" w:customStyle="1" w:styleId="PlainTable11">
    <w:name w:val="Plain Table 11"/>
    <w:basedOn w:val="TableNormal"/>
    <w:uiPriority w:val="41"/>
    <w:rsid w:val="00347A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59"/>
    <w:rsid w:val="00B92C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197491"/>
    <w:pPr>
      <w:spacing w:after="100"/>
    </w:pPr>
  </w:style>
  <w:style w:type="character" w:customStyle="1" w:styleId="font81">
    <w:name w:val="font81"/>
    <w:basedOn w:val="DefaultParagraphFont"/>
    <w:rsid w:val="00F23145"/>
    <w:rPr>
      <w:rFonts w:ascii="Arial" w:hAnsi="Arial" w:cs="Arial" w:hint="default"/>
      <w:b w:val="0"/>
      <w:bCs w:val="0"/>
      <w:i w:val="0"/>
      <w:iCs w:val="0"/>
      <w:strike w:val="0"/>
      <w:dstrike w:val="0"/>
      <w:color w:val="000000"/>
      <w:sz w:val="18"/>
      <w:szCs w:val="18"/>
      <w:u w:val="none"/>
      <w:effect w:val="none"/>
    </w:rPr>
  </w:style>
  <w:style w:type="table" w:customStyle="1" w:styleId="PlainTable12">
    <w:name w:val="Plain Table 12"/>
    <w:basedOn w:val="TableNormal"/>
    <w:uiPriority w:val="41"/>
    <w:rsid w:val="004F4F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88579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11">
    <w:name w:val="Grid Table 1 Light - Accent 11"/>
    <w:basedOn w:val="TableNormal"/>
    <w:uiPriority w:val="46"/>
    <w:rsid w:val="00885791"/>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8579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885791"/>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885791"/>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88579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88579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Light1">
    <w:name w:val="Table Grid Light1"/>
    <w:basedOn w:val="TableNormal"/>
    <w:uiPriority w:val="40"/>
    <w:rsid w:val="008857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3">
    <w:name w:val="Plain Table 13"/>
    <w:basedOn w:val="TableNormal"/>
    <w:uiPriority w:val="41"/>
    <w:rsid w:val="008857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88579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88579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8579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837B0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UnresolvedMention1">
    <w:name w:val="Unresolved Mention1"/>
    <w:basedOn w:val="DefaultParagraphFont"/>
    <w:uiPriority w:val="99"/>
    <w:semiHidden/>
    <w:unhideWhenUsed/>
    <w:rsid w:val="00ED1C4C"/>
    <w:rPr>
      <w:color w:val="808080"/>
      <w:shd w:val="clear" w:color="auto" w:fill="E6E6E6"/>
    </w:rPr>
  </w:style>
  <w:style w:type="numbering" w:customStyle="1" w:styleId="NoList1">
    <w:name w:val="No List1"/>
    <w:next w:val="NoList"/>
    <w:uiPriority w:val="99"/>
    <w:semiHidden/>
    <w:unhideWhenUsed/>
    <w:rsid w:val="0088047C"/>
  </w:style>
  <w:style w:type="character" w:styleId="CommentReference">
    <w:name w:val="annotation reference"/>
    <w:basedOn w:val="DefaultParagraphFont"/>
    <w:uiPriority w:val="99"/>
    <w:semiHidden/>
    <w:unhideWhenUsed/>
    <w:rsid w:val="008A1E57"/>
    <w:rPr>
      <w:sz w:val="16"/>
      <w:szCs w:val="16"/>
    </w:rPr>
  </w:style>
  <w:style w:type="paragraph" w:styleId="CommentText">
    <w:name w:val="annotation text"/>
    <w:basedOn w:val="Normal"/>
    <w:link w:val="CommentTextChar"/>
    <w:uiPriority w:val="99"/>
    <w:semiHidden/>
    <w:unhideWhenUsed/>
    <w:rsid w:val="008A1E57"/>
    <w:pPr>
      <w:spacing w:line="240" w:lineRule="auto"/>
    </w:pPr>
    <w:rPr>
      <w:sz w:val="20"/>
      <w:szCs w:val="20"/>
    </w:rPr>
  </w:style>
  <w:style w:type="character" w:customStyle="1" w:styleId="CommentTextChar">
    <w:name w:val="Comment Text Char"/>
    <w:basedOn w:val="DefaultParagraphFont"/>
    <w:link w:val="CommentText"/>
    <w:uiPriority w:val="99"/>
    <w:semiHidden/>
    <w:rsid w:val="008A1E57"/>
    <w:rPr>
      <w:sz w:val="20"/>
      <w:szCs w:val="20"/>
    </w:rPr>
  </w:style>
  <w:style w:type="paragraph" w:styleId="CommentSubject">
    <w:name w:val="annotation subject"/>
    <w:basedOn w:val="CommentText"/>
    <w:next w:val="CommentText"/>
    <w:link w:val="CommentSubjectChar"/>
    <w:uiPriority w:val="99"/>
    <w:semiHidden/>
    <w:unhideWhenUsed/>
    <w:rsid w:val="008A1E57"/>
    <w:rPr>
      <w:b/>
      <w:bCs/>
    </w:rPr>
  </w:style>
  <w:style w:type="character" w:customStyle="1" w:styleId="CommentSubjectChar">
    <w:name w:val="Comment Subject Char"/>
    <w:basedOn w:val="CommentTextChar"/>
    <w:link w:val="CommentSubject"/>
    <w:uiPriority w:val="99"/>
    <w:semiHidden/>
    <w:rsid w:val="008A1E57"/>
    <w:rPr>
      <w:b/>
      <w:bCs/>
      <w:sz w:val="20"/>
      <w:szCs w:val="20"/>
    </w:rPr>
  </w:style>
  <w:style w:type="character" w:customStyle="1" w:styleId="highwire-citation-authors">
    <w:name w:val="highwire-citation-authors"/>
    <w:basedOn w:val="DefaultParagraphFont"/>
    <w:rsid w:val="00C25B20"/>
  </w:style>
  <w:style w:type="character" w:customStyle="1" w:styleId="highwire-citation-author">
    <w:name w:val="highwire-citation-author"/>
    <w:basedOn w:val="DefaultParagraphFont"/>
    <w:rsid w:val="00C25B20"/>
  </w:style>
  <w:style w:type="character" w:customStyle="1" w:styleId="nlm-surname">
    <w:name w:val="nlm-surname"/>
    <w:basedOn w:val="DefaultParagraphFont"/>
    <w:rsid w:val="00C25B20"/>
  </w:style>
  <w:style w:type="character" w:customStyle="1" w:styleId="citation-et">
    <w:name w:val="citation-et"/>
    <w:basedOn w:val="DefaultParagraphFont"/>
    <w:rsid w:val="00C25B20"/>
  </w:style>
  <w:style w:type="character" w:customStyle="1" w:styleId="highwire-cite-metadata-journal">
    <w:name w:val="highwire-cite-metadata-journal"/>
    <w:basedOn w:val="DefaultParagraphFont"/>
    <w:rsid w:val="00C25B20"/>
  </w:style>
  <w:style w:type="character" w:customStyle="1" w:styleId="highwire-cite-metadata-year">
    <w:name w:val="highwire-cite-metadata-year"/>
    <w:basedOn w:val="DefaultParagraphFont"/>
    <w:rsid w:val="00C25B20"/>
  </w:style>
  <w:style w:type="character" w:customStyle="1" w:styleId="highwire-cite-metadata-volume">
    <w:name w:val="highwire-cite-metadata-volume"/>
    <w:basedOn w:val="DefaultParagraphFont"/>
    <w:rsid w:val="00C25B20"/>
  </w:style>
  <w:style w:type="character" w:customStyle="1" w:styleId="highwire-cite-metadata-pages">
    <w:name w:val="highwire-cite-metadata-pages"/>
    <w:basedOn w:val="DefaultParagraphFont"/>
    <w:rsid w:val="00C25B20"/>
  </w:style>
  <w:style w:type="character" w:customStyle="1" w:styleId="UnresolvedMention2">
    <w:name w:val="Unresolved Mention2"/>
    <w:basedOn w:val="DefaultParagraphFont"/>
    <w:uiPriority w:val="99"/>
    <w:semiHidden/>
    <w:unhideWhenUsed/>
    <w:rsid w:val="001365A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46840">
      <w:bodyDiv w:val="1"/>
      <w:marLeft w:val="0"/>
      <w:marRight w:val="0"/>
      <w:marTop w:val="0"/>
      <w:marBottom w:val="0"/>
      <w:divBdr>
        <w:top w:val="none" w:sz="0" w:space="0" w:color="auto"/>
        <w:left w:val="none" w:sz="0" w:space="0" w:color="auto"/>
        <w:bottom w:val="none" w:sz="0" w:space="0" w:color="auto"/>
        <w:right w:val="none" w:sz="0" w:space="0" w:color="auto"/>
      </w:divBdr>
    </w:div>
    <w:div w:id="24408748">
      <w:bodyDiv w:val="1"/>
      <w:marLeft w:val="0"/>
      <w:marRight w:val="0"/>
      <w:marTop w:val="0"/>
      <w:marBottom w:val="0"/>
      <w:divBdr>
        <w:top w:val="none" w:sz="0" w:space="0" w:color="auto"/>
        <w:left w:val="none" w:sz="0" w:space="0" w:color="auto"/>
        <w:bottom w:val="none" w:sz="0" w:space="0" w:color="auto"/>
        <w:right w:val="none" w:sz="0" w:space="0" w:color="auto"/>
      </w:divBdr>
    </w:div>
    <w:div w:id="27803889">
      <w:bodyDiv w:val="1"/>
      <w:marLeft w:val="0"/>
      <w:marRight w:val="0"/>
      <w:marTop w:val="0"/>
      <w:marBottom w:val="0"/>
      <w:divBdr>
        <w:top w:val="none" w:sz="0" w:space="0" w:color="auto"/>
        <w:left w:val="none" w:sz="0" w:space="0" w:color="auto"/>
        <w:bottom w:val="none" w:sz="0" w:space="0" w:color="auto"/>
        <w:right w:val="none" w:sz="0" w:space="0" w:color="auto"/>
      </w:divBdr>
    </w:div>
    <w:div w:id="50156137">
      <w:bodyDiv w:val="1"/>
      <w:marLeft w:val="0"/>
      <w:marRight w:val="0"/>
      <w:marTop w:val="0"/>
      <w:marBottom w:val="0"/>
      <w:divBdr>
        <w:top w:val="none" w:sz="0" w:space="0" w:color="auto"/>
        <w:left w:val="none" w:sz="0" w:space="0" w:color="auto"/>
        <w:bottom w:val="none" w:sz="0" w:space="0" w:color="auto"/>
        <w:right w:val="none" w:sz="0" w:space="0" w:color="auto"/>
      </w:divBdr>
    </w:div>
    <w:div w:id="52048938">
      <w:bodyDiv w:val="1"/>
      <w:marLeft w:val="0"/>
      <w:marRight w:val="0"/>
      <w:marTop w:val="0"/>
      <w:marBottom w:val="0"/>
      <w:divBdr>
        <w:top w:val="none" w:sz="0" w:space="0" w:color="auto"/>
        <w:left w:val="none" w:sz="0" w:space="0" w:color="auto"/>
        <w:bottom w:val="none" w:sz="0" w:space="0" w:color="auto"/>
        <w:right w:val="none" w:sz="0" w:space="0" w:color="auto"/>
      </w:divBdr>
    </w:div>
    <w:div w:id="150027578">
      <w:bodyDiv w:val="1"/>
      <w:marLeft w:val="0"/>
      <w:marRight w:val="0"/>
      <w:marTop w:val="0"/>
      <w:marBottom w:val="0"/>
      <w:divBdr>
        <w:top w:val="none" w:sz="0" w:space="0" w:color="auto"/>
        <w:left w:val="none" w:sz="0" w:space="0" w:color="auto"/>
        <w:bottom w:val="none" w:sz="0" w:space="0" w:color="auto"/>
        <w:right w:val="none" w:sz="0" w:space="0" w:color="auto"/>
      </w:divBdr>
    </w:div>
    <w:div w:id="153298903">
      <w:bodyDiv w:val="1"/>
      <w:marLeft w:val="0"/>
      <w:marRight w:val="0"/>
      <w:marTop w:val="0"/>
      <w:marBottom w:val="0"/>
      <w:divBdr>
        <w:top w:val="none" w:sz="0" w:space="0" w:color="auto"/>
        <w:left w:val="none" w:sz="0" w:space="0" w:color="auto"/>
        <w:bottom w:val="none" w:sz="0" w:space="0" w:color="auto"/>
        <w:right w:val="none" w:sz="0" w:space="0" w:color="auto"/>
      </w:divBdr>
    </w:div>
    <w:div w:id="179317193">
      <w:bodyDiv w:val="1"/>
      <w:marLeft w:val="0"/>
      <w:marRight w:val="0"/>
      <w:marTop w:val="0"/>
      <w:marBottom w:val="0"/>
      <w:divBdr>
        <w:top w:val="none" w:sz="0" w:space="0" w:color="auto"/>
        <w:left w:val="none" w:sz="0" w:space="0" w:color="auto"/>
        <w:bottom w:val="none" w:sz="0" w:space="0" w:color="auto"/>
        <w:right w:val="none" w:sz="0" w:space="0" w:color="auto"/>
      </w:divBdr>
    </w:div>
    <w:div w:id="192888732">
      <w:bodyDiv w:val="1"/>
      <w:marLeft w:val="0"/>
      <w:marRight w:val="0"/>
      <w:marTop w:val="0"/>
      <w:marBottom w:val="0"/>
      <w:divBdr>
        <w:top w:val="none" w:sz="0" w:space="0" w:color="auto"/>
        <w:left w:val="none" w:sz="0" w:space="0" w:color="auto"/>
        <w:bottom w:val="none" w:sz="0" w:space="0" w:color="auto"/>
        <w:right w:val="none" w:sz="0" w:space="0" w:color="auto"/>
      </w:divBdr>
    </w:div>
    <w:div w:id="206576155">
      <w:bodyDiv w:val="1"/>
      <w:marLeft w:val="0"/>
      <w:marRight w:val="0"/>
      <w:marTop w:val="0"/>
      <w:marBottom w:val="0"/>
      <w:divBdr>
        <w:top w:val="none" w:sz="0" w:space="0" w:color="auto"/>
        <w:left w:val="none" w:sz="0" w:space="0" w:color="auto"/>
        <w:bottom w:val="none" w:sz="0" w:space="0" w:color="auto"/>
        <w:right w:val="none" w:sz="0" w:space="0" w:color="auto"/>
      </w:divBdr>
    </w:div>
    <w:div w:id="211700883">
      <w:bodyDiv w:val="1"/>
      <w:marLeft w:val="0"/>
      <w:marRight w:val="0"/>
      <w:marTop w:val="0"/>
      <w:marBottom w:val="0"/>
      <w:divBdr>
        <w:top w:val="none" w:sz="0" w:space="0" w:color="auto"/>
        <w:left w:val="none" w:sz="0" w:space="0" w:color="auto"/>
        <w:bottom w:val="none" w:sz="0" w:space="0" w:color="auto"/>
        <w:right w:val="none" w:sz="0" w:space="0" w:color="auto"/>
      </w:divBdr>
    </w:div>
    <w:div w:id="216478798">
      <w:bodyDiv w:val="1"/>
      <w:marLeft w:val="0"/>
      <w:marRight w:val="0"/>
      <w:marTop w:val="0"/>
      <w:marBottom w:val="0"/>
      <w:divBdr>
        <w:top w:val="none" w:sz="0" w:space="0" w:color="auto"/>
        <w:left w:val="none" w:sz="0" w:space="0" w:color="auto"/>
        <w:bottom w:val="none" w:sz="0" w:space="0" w:color="auto"/>
        <w:right w:val="none" w:sz="0" w:space="0" w:color="auto"/>
      </w:divBdr>
    </w:div>
    <w:div w:id="231933686">
      <w:bodyDiv w:val="1"/>
      <w:marLeft w:val="0"/>
      <w:marRight w:val="0"/>
      <w:marTop w:val="0"/>
      <w:marBottom w:val="0"/>
      <w:divBdr>
        <w:top w:val="none" w:sz="0" w:space="0" w:color="auto"/>
        <w:left w:val="none" w:sz="0" w:space="0" w:color="auto"/>
        <w:bottom w:val="none" w:sz="0" w:space="0" w:color="auto"/>
        <w:right w:val="none" w:sz="0" w:space="0" w:color="auto"/>
      </w:divBdr>
    </w:div>
    <w:div w:id="243994545">
      <w:bodyDiv w:val="1"/>
      <w:marLeft w:val="0"/>
      <w:marRight w:val="0"/>
      <w:marTop w:val="0"/>
      <w:marBottom w:val="0"/>
      <w:divBdr>
        <w:top w:val="none" w:sz="0" w:space="0" w:color="auto"/>
        <w:left w:val="none" w:sz="0" w:space="0" w:color="auto"/>
        <w:bottom w:val="none" w:sz="0" w:space="0" w:color="auto"/>
        <w:right w:val="none" w:sz="0" w:space="0" w:color="auto"/>
      </w:divBdr>
    </w:div>
    <w:div w:id="245112471">
      <w:bodyDiv w:val="1"/>
      <w:marLeft w:val="0"/>
      <w:marRight w:val="0"/>
      <w:marTop w:val="0"/>
      <w:marBottom w:val="0"/>
      <w:divBdr>
        <w:top w:val="none" w:sz="0" w:space="0" w:color="auto"/>
        <w:left w:val="none" w:sz="0" w:space="0" w:color="auto"/>
        <w:bottom w:val="none" w:sz="0" w:space="0" w:color="auto"/>
        <w:right w:val="none" w:sz="0" w:space="0" w:color="auto"/>
      </w:divBdr>
    </w:div>
    <w:div w:id="247886065">
      <w:bodyDiv w:val="1"/>
      <w:marLeft w:val="0"/>
      <w:marRight w:val="0"/>
      <w:marTop w:val="0"/>
      <w:marBottom w:val="0"/>
      <w:divBdr>
        <w:top w:val="none" w:sz="0" w:space="0" w:color="auto"/>
        <w:left w:val="none" w:sz="0" w:space="0" w:color="auto"/>
        <w:bottom w:val="none" w:sz="0" w:space="0" w:color="auto"/>
        <w:right w:val="none" w:sz="0" w:space="0" w:color="auto"/>
      </w:divBdr>
    </w:div>
    <w:div w:id="253367987">
      <w:bodyDiv w:val="1"/>
      <w:marLeft w:val="0"/>
      <w:marRight w:val="0"/>
      <w:marTop w:val="0"/>
      <w:marBottom w:val="0"/>
      <w:divBdr>
        <w:top w:val="none" w:sz="0" w:space="0" w:color="auto"/>
        <w:left w:val="none" w:sz="0" w:space="0" w:color="auto"/>
        <w:bottom w:val="none" w:sz="0" w:space="0" w:color="auto"/>
        <w:right w:val="none" w:sz="0" w:space="0" w:color="auto"/>
      </w:divBdr>
    </w:div>
    <w:div w:id="320623526">
      <w:bodyDiv w:val="1"/>
      <w:marLeft w:val="0"/>
      <w:marRight w:val="0"/>
      <w:marTop w:val="0"/>
      <w:marBottom w:val="0"/>
      <w:divBdr>
        <w:top w:val="none" w:sz="0" w:space="0" w:color="auto"/>
        <w:left w:val="none" w:sz="0" w:space="0" w:color="auto"/>
        <w:bottom w:val="none" w:sz="0" w:space="0" w:color="auto"/>
        <w:right w:val="none" w:sz="0" w:space="0" w:color="auto"/>
      </w:divBdr>
    </w:div>
    <w:div w:id="327295364">
      <w:bodyDiv w:val="1"/>
      <w:marLeft w:val="0"/>
      <w:marRight w:val="0"/>
      <w:marTop w:val="0"/>
      <w:marBottom w:val="0"/>
      <w:divBdr>
        <w:top w:val="none" w:sz="0" w:space="0" w:color="auto"/>
        <w:left w:val="none" w:sz="0" w:space="0" w:color="auto"/>
        <w:bottom w:val="none" w:sz="0" w:space="0" w:color="auto"/>
        <w:right w:val="none" w:sz="0" w:space="0" w:color="auto"/>
      </w:divBdr>
    </w:div>
    <w:div w:id="359670470">
      <w:bodyDiv w:val="1"/>
      <w:marLeft w:val="0"/>
      <w:marRight w:val="0"/>
      <w:marTop w:val="0"/>
      <w:marBottom w:val="0"/>
      <w:divBdr>
        <w:top w:val="none" w:sz="0" w:space="0" w:color="auto"/>
        <w:left w:val="none" w:sz="0" w:space="0" w:color="auto"/>
        <w:bottom w:val="none" w:sz="0" w:space="0" w:color="auto"/>
        <w:right w:val="none" w:sz="0" w:space="0" w:color="auto"/>
      </w:divBdr>
      <w:divsChild>
        <w:div w:id="1646546775">
          <w:marLeft w:val="0"/>
          <w:marRight w:val="0"/>
          <w:marTop w:val="0"/>
          <w:marBottom w:val="0"/>
          <w:divBdr>
            <w:top w:val="none" w:sz="0" w:space="0" w:color="auto"/>
            <w:left w:val="none" w:sz="0" w:space="0" w:color="auto"/>
            <w:bottom w:val="none" w:sz="0" w:space="0" w:color="auto"/>
            <w:right w:val="none" w:sz="0" w:space="0" w:color="auto"/>
          </w:divBdr>
        </w:div>
      </w:divsChild>
    </w:div>
    <w:div w:id="367685768">
      <w:bodyDiv w:val="1"/>
      <w:marLeft w:val="0"/>
      <w:marRight w:val="0"/>
      <w:marTop w:val="0"/>
      <w:marBottom w:val="0"/>
      <w:divBdr>
        <w:top w:val="none" w:sz="0" w:space="0" w:color="auto"/>
        <w:left w:val="none" w:sz="0" w:space="0" w:color="auto"/>
        <w:bottom w:val="none" w:sz="0" w:space="0" w:color="auto"/>
        <w:right w:val="none" w:sz="0" w:space="0" w:color="auto"/>
      </w:divBdr>
    </w:div>
    <w:div w:id="399330909">
      <w:bodyDiv w:val="1"/>
      <w:marLeft w:val="0"/>
      <w:marRight w:val="0"/>
      <w:marTop w:val="0"/>
      <w:marBottom w:val="0"/>
      <w:divBdr>
        <w:top w:val="none" w:sz="0" w:space="0" w:color="auto"/>
        <w:left w:val="none" w:sz="0" w:space="0" w:color="auto"/>
        <w:bottom w:val="none" w:sz="0" w:space="0" w:color="auto"/>
        <w:right w:val="none" w:sz="0" w:space="0" w:color="auto"/>
      </w:divBdr>
    </w:div>
    <w:div w:id="403650696">
      <w:bodyDiv w:val="1"/>
      <w:marLeft w:val="0"/>
      <w:marRight w:val="0"/>
      <w:marTop w:val="0"/>
      <w:marBottom w:val="0"/>
      <w:divBdr>
        <w:top w:val="none" w:sz="0" w:space="0" w:color="auto"/>
        <w:left w:val="none" w:sz="0" w:space="0" w:color="auto"/>
        <w:bottom w:val="none" w:sz="0" w:space="0" w:color="auto"/>
        <w:right w:val="none" w:sz="0" w:space="0" w:color="auto"/>
      </w:divBdr>
    </w:div>
    <w:div w:id="421339220">
      <w:bodyDiv w:val="1"/>
      <w:marLeft w:val="0"/>
      <w:marRight w:val="0"/>
      <w:marTop w:val="0"/>
      <w:marBottom w:val="0"/>
      <w:divBdr>
        <w:top w:val="none" w:sz="0" w:space="0" w:color="auto"/>
        <w:left w:val="none" w:sz="0" w:space="0" w:color="auto"/>
        <w:bottom w:val="none" w:sz="0" w:space="0" w:color="auto"/>
        <w:right w:val="none" w:sz="0" w:space="0" w:color="auto"/>
      </w:divBdr>
    </w:div>
    <w:div w:id="425734755">
      <w:bodyDiv w:val="1"/>
      <w:marLeft w:val="0"/>
      <w:marRight w:val="0"/>
      <w:marTop w:val="0"/>
      <w:marBottom w:val="0"/>
      <w:divBdr>
        <w:top w:val="none" w:sz="0" w:space="0" w:color="auto"/>
        <w:left w:val="none" w:sz="0" w:space="0" w:color="auto"/>
        <w:bottom w:val="none" w:sz="0" w:space="0" w:color="auto"/>
        <w:right w:val="none" w:sz="0" w:space="0" w:color="auto"/>
      </w:divBdr>
    </w:div>
    <w:div w:id="431584131">
      <w:bodyDiv w:val="1"/>
      <w:marLeft w:val="0"/>
      <w:marRight w:val="0"/>
      <w:marTop w:val="0"/>
      <w:marBottom w:val="0"/>
      <w:divBdr>
        <w:top w:val="none" w:sz="0" w:space="0" w:color="auto"/>
        <w:left w:val="none" w:sz="0" w:space="0" w:color="auto"/>
        <w:bottom w:val="none" w:sz="0" w:space="0" w:color="auto"/>
        <w:right w:val="none" w:sz="0" w:space="0" w:color="auto"/>
      </w:divBdr>
    </w:div>
    <w:div w:id="437918683">
      <w:bodyDiv w:val="1"/>
      <w:marLeft w:val="0"/>
      <w:marRight w:val="0"/>
      <w:marTop w:val="0"/>
      <w:marBottom w:val="0"/>
      <w:divBdr>
        <w:top w:val="none" w:sz="0" w:space="0" w:color="auto"/>
        <w:left w:val="none" w:sz="0" w:space="0" w:color="auto"/>
        <w:bottom w:val="none" w:sz="0" w:space="0" w:color="auto"/>
        <w:right w:val="none" w:sz="0" w:space="0" w:color="auto"/>
      </w:divBdr>
    </w:div>
    <w:div w:id="440270926">
      <w:bodyDiv w:val="1"/>
      <w:marLeft w:val="0"/>
      <w:marRight w:val="0"/>
      <w:marTop w:val="0"/>
      <w:marBottom w:val="0"/>
      <w:divBdr>
        <w:top w:val="none" w:sz="0" w:space="0" w:color="auto"/>
        <w:left w:val="none" w:sz="0" w:space="0" w:color="auto"/>
        <w:bottom w:val="none" w:sz="0" w:space="0" w:color="auto"/>
        <w:right w:val="none" w:sz="0" w:space="0" w:color="auto"/>
      </w:divBdr>
    </w:div>
    <w:div w:id="461731379">
      <w:bodyDiv w:val="1"/>
      <w:marLeft w:val="0"/>
      <w:marRight w:val="0"/>
      <w:marTop w:val="0"/>
      <w:marBottom w:val="0"/>
      <w:divBdr>
        <w:top w:val="none" w:sz="0" w:space="0" w:color="auto"/>
        <w:left w:val="none" w:sz="0" w:space="0" w:color="auto"/>
        <w:bottom w:val="none" w:sz="0" w:space="0" w:color="auto"/>
        <w:right w:val="none" w:sz="0" w:space="0" w:color="auto"/>
      </w:divBdr>
    </w:div>
    <w:div w:id="462693659">
      <w:bodyDiv w:val="1"/>
      <w:marLeft w:val="0"/>
      <w:marRight w:val="0"/>
      <w:marTop w:val="0"/>
      <w:marBottom w:val="0"/>
      <w:divBdr>
        <w:top w:val="none" w:sz="0" w:space="0" w:color="auto"/>
        <w:left w:val="none" w:sz="0" w:space="0" w:color="auto"/>
        <w:bottom w:val="none" w:sz="0" w:space="0" w:color="auto"/>
        <w:right w:val="none" w:sz="0" w:space="0" w:color="auto"/>
      </w:divBdr>
      <w:divsChild>
        <w:div w:id="294676957">
          <w:marLeft w:val="0"/>
          <w:marRight w:val="0"/>
          <w:marTop w:val="0"/>
          <w:marBottom w:val="0"/>
          <w:divBdr>
            <w:top w:val="none" w:sz="0" w:space="0" w:color="auto"/>
            <w:left w:val="none" w:sz="0" w:space="0" w:color="auto"/>
            <w:bottom w:val="none" w:sz="0" w:space="0" w:color="auto"/>
            <w:right w:val="none" w:sz="0" w:space="0" w:color="auto"/>
          </w:divBdr>
        </w:div>
      </w:divsChild>
    </w:div>
    <w:div w:id="483005882">
      <w:bodyDiv w:val="1"/>
      <w:marLeft w:val="0"/>
      <w:marRight w:val="0"/>
      <w:marTop w:val="0"/>
      <w:marBottom w:val="0"/>
      <w:divBdr>
        <w:top w:val="none" w:sz="0" w:space="0" w:color="auto"/>
        <w:left w:val="none" w:sz="0" w:space="0" w:color="auto"/>
        <w:bottom w:val="none" w:sz="0" w:space="0" w:color="auto"/>
        <w:right w:val="none" w:sz="0" w:space="0" w:color="auto"/>
      </w:divBdr>
    </w:div>
    <w:div w:id="492337970">
      <w:bodyDiv w:val="1"/>
      <w:marLeft w:val="0"/>
      <w:marRight w:val="0"/>
      <w:marTop w:val="0"/>
      <w:marBottom w:val="0"/>
      <w:divBdr>
        <w:top w:val="none" w:sz="0" w:space="0" w:color="auto"/>
        <w:left w:val="none" w:sz="0" w:space="0" w:color="auto"/>
        <w:bottom w:val="none" w:sz="0" w:space="0" w:color="auto"/>
        <w:right w:val="none" w:sz="0" w:space="0" w:color="auto"/>
      </w:divBdr>
    </w:div>
    <w:div w:id="497960083">
      <w:bodyDiv w:val="1"/>
      <w:marLeft w:val="0"/>
      <w:marRight w:val="0"/>
      <w:marTop w:val="0"/>
      <w:marBottom w:val="0"/>
      <w:divBdr>
        <w:top w:val="none" w:sz="0" w:space="0" w:color="auto"/>
        <w:left w:val="none" w:sz="0" w:space="0" w:color="auto"/>
        <w:bottom w:val="none" w:sz="0" w:space="0" w:color="auto"/>
        <w:right w:val="none" w:sz="0" w:space="0" w:color="auto"/>
      </w:divBdr>
    </w:div>
    <w:div w:id="535777134">
      <w:bodyDiv w:val="1"/>
      <w:marLeft w:val="0"/>
      <w:marRight w:val="0"/>
      <w:marTop w:val="0"/>
      <w:marBottom w:val="0"/>
      <w:divBdr>
        <w:top w:val="none" w:sz="0" w:space="0" w:color="auto"/>
        <w:left w:val="none" w:sz="0" w:space="0" w:color="auto"/>
        <w:bottom w:val="none" w:sz="0" w:space="0" w:color="auto"/>
        <w:right w:val="none" w:sz="0" w:space="0" w:color="auto"/>
      </w:divBdr>
    </w:div>
    <w:div w:id="540897604">
      <w:bodyDiv w:val="1"/>
      <w:marLeft w:val="0"/>
      <w:marRight w:val="0"/>
      <w:marTop w:val="0"/>
      <w:marBottom w:val="0"/>
      <w:divBdr>
        <w:top w:val="none" w:sz="0" w:space="0" w:color="auto"/>
        <w:left w:val="none" w:sz="0" w:space="0" w:color="auto"/>
        <w:bottom w:val="none" w:sz="0" w:space="0" w:color="auto"/>
        <w:right w:val="none" w:sz="0" w:space="0" w:color="auto"/>
      </w:divBdr>
    </w:div>
    <w:div w:id="554200064">
      <w:bodyDiv w:val="1"/>
      <w:marLeft w:val="0"/>
      <w:marRight w:val="0"/>
      <w:marTop w:val="0"/>
      <w:marBottom w:val="0"/>
      <w:divBdr>
        <w:top w:val="none" w:sz="0" w:space="0" w:color="auto"/>
        <w:left w:val="none" w:sz="0" w:space="0" w:color="auto"/>
        <w:bottom w:val="none" w:sz="0" w:space="0" w:color="auto"/>
        <w:right w:val="none" w:sz="0" w:space="0" w:color="auto"/>
      </w:divBdr>
    </w:div>
    <w:div w:id="565649710">
      <w:bodyDiv w:val="1"/>
      <w:marLeft w:val="0"/>
      <w:marRight w:val="0"/>
      <w:marTop w:val="0"/>
      <w:marBottom w:val="0"/>
      <w:divBdr>
        <w:top w:val="none" w:sz="0" w:space="0" w:color="auto"/>
        <w:left w:val="none" w:sz="0" w:space="0" w:color="auto"/>
        <w:bottom w:val="none" w:sz="0" w:space="0" w:color="auto"/>
        <w:right w:val="none" w:sz="0" w:space="0" w:color="auto"/>
      </w:divBdr>
    </w:div>
    <w:div w:id="587156170">
      <w:bodyDiv w:val="1"/>
      <w:marLeft w:val="0"/>
      <w:marRight w:val="0"/>
      <w:marTop w:val="0"/>
      <w:marBottom w:val="0"/>
      <w:divBdr>
        <w:top w:val="none" w:sz="0" w:space="0" w:color="auto"/>
        <w:left w:val="none" w:sz="0" w:space="0" w:color="auto"/>
        <w:bottom w:val="none" w:sz="0" w:space="0" w:color="auto"/>
        <w:right w:val="none" w:sz="0" w:space="0" w:color="auto"/>
      </w:divBdr>
    </w:div>
    <w:div w:id="646593875">
      <w:bodyDiv w:val="1"/>
      <w:marLeft w:val="0"/>
      <w:marRight w:val="0"/>
      <w:marTop w:val="0"/>
      <w:marBottom w:val="0"/>
      <w:divBdr>
        <w:top w:val="none" w:sz="0" w:space="0" w:color="auto"/>
        <w:left w:val="none" w:sz="0" w:space="0" w:color="auto"/>
        <w:bottom w:val="none" w:sz="0" w:space="0" w:color="auto"/>
        <w:right w:val="none" w:sz="0" w:space="0" w:color="auto"/>
      </w:divBdr>
    </w:div>
    <w:div w:id="655914025">
      <w:bodyDiv w:val="1"/>
      <w:marLeft w:val="0"/>
      <w:marRight w:val="0"/>
      <w:marTop w:val="0"/>
      <w:marBottom w:val="0"/>
      <w:divBdr>
        <w:top w:val="none" w:sz="0" w:space="0" w:color="auto"/>
        <w:left w:val="none" w:sz="0" w:space="0" w:color="auto"/>
        <w:bottom w:val="none" w:sz="0" w:space="0" w:color="auto"/>
        <w:right w:val="none" w:sz="0" w:space="0" w:color="auto"/>
      </w:divBdr>
    </w:div>
    <w:div w:id="708263530">
      <w:bodyDiv w:val="1"/>
      <w:marLeft w:val="0"/>
      <w:marRight w:val="0"/>
      <w:marTop w:val="0"/>
      <w:marBottom w:val="0"/>
      <w:divBdr>
        <w:top w:val="none" w:sz="0" w:space="0" w:color="auto"/>
        <w:left w:val="none" w:sz="0" w:space="0" w:color="auto"/>
        <w:bottom w:val="none" w:sz="0" w:space="0" w:color="auto"/>
        <w:right w:val="none" w:sz="0" w:space="0" w:color="auto"/>
      </w:divBdr>
    </w:div>
    <w:div w:id="743458056">
      <w:bodyDiv w:val="1"/>
      <w:marLeft w:val="0"/>
      <w:marRight w:val="0"/>
      <w:marTop w:val="0"/>
      <w:marBottom w:val="0"/>
      <w:divBdr>
        <w:top w:val="none" w:sz="0" w:space="0" w:color="auto"/>
        <w:left w:val="none" w:sz="0" w:space="0" w:color="auto"/>
        <w:bottom w:val="none" w:sz="0" w:space="0" w:color="auto"/>
        <w:right w:val="none" w:sz="0" w:space="0" w:color="auto"/>
      </w:divBdr>
    </w:div>
    <w:div w:id="743719321">
      <w:bodyDiv w:val="1"/>
      <w:marLeft w:val="0"/>
      <w:marRight w:val="0"/>
      <w:marTop w:val="0"/>
      <w:marBottom w:val="0"/>
      <w:divBdr>
        <w:top w:val="none" w:sz="0" w:space="0" w:color="auto"/>
        <w:left w:val="none" w:sz="0" w:space="0" w:color="auto"/>
        <w:bottom w:val="none" w:sz="0" w:space="0" w:color="auto"/>
        <w:right w:val="none" w:sz="0" w:space="0" w:color="auto"/>
      </w:divBdr>
    </w:div>
    <w:div w:id="771628980">
      <w:bodyDiv w:val="1"/>
      <w:marLeft w:val="0"/>
      <w:marRight w:val="0"/>
      <w:marTop w:val="0"/>
      <w:marBottom w:val="0"/>
      <w:divBdr>
        <w:top w:val="none" w:sz="0" w:space="0" w:color="auto"/>
        <w:left w:val="none" w:sz="0" w:space="0" w:color="auto"/>
        <w:bottom w:val="none" w:sz="0" w:space="0" w:color="auto"/>
        <w:right w:val="none" w:sz="0" w:space="0" w:color="auto"/>
      </w:divBdr>
    </w:div>
    <w:div w:id="785925396">
      <w:bodyDiv w:val="1"/>
      <w:marLeft w:val="0"/>
      <w:marRight w:val="0"/>
      <w:marTop w:val="0"/>
      <w:marBottom w:val="0"/>
      <w:divBdr>
        <w:top w:val="none" w:sz="0" w:space="0" w:color="auto"/>
        <w:left w:val="none" w:sz="0" w:space="0" w:color="auto"/>
        <w:bottom w:val="none" w:sz="0" w:space="0" w:color="auto"/>
        <w:right w:val="none" w:sz="0" w:space="0" w:color="auto"/>
      </w:divBdr>
    </w:div>
    <w:div w:id="800463191">
      <w:bodyDiv w:val="1"/>
      <w:marLeft w:val="0"/>
      <w:marRight w:val="0"/>
      <w:marTop w:val="0"/>
      <w:marBottom w:val="0"/>
      <w:divBdr>
        <w:top w:val="none" w:sz="0" w:space="0" w:color="auto"/>
        <w:left w:val="none" w:sz="0" w:space="0" w:color="auto"/>
        <w:bottom w:val="none" w:sz="0" w:space="0" w:color="auto"/>
        <w:right w:val="none" w:sz="0" w:space="0" w:color="auto"/>
      </w:divBdr>
    </w:div>
    <w:div w:id="804545250">
      <w:bodyDiv w:val="1"/>
      <w:marLeft w:val="0"/>
      <w:marRight w:val="0"/>
      <w:marTop w:val="0"/>
      <w:marBottom w:val="0"/>
      <w:divBdr>
        <w:top w:val="none" w:sz="0" w:space="0" w:color="auto"/>
        <w:left w:val="none" w:sz="0" w:space="0" w:color="auto"/>
        <w:bottom w:val="none" w:sz="0" w:space="0" w:color="auto"/>
        <w:right w:val="none" w:sz="0" w:space="0" w:color="auto"/>
      </w:divBdr>
    </w:div>
    <w:div w:id="814300363">
      <w:bodyDiv w:val="1"/>
      <w:marLeft w:val="0"/>
      <w:marRight w:val="0"/>
      <w:marTop w:val="0"/>
      <w:marBottom w:val="0"/>
      <w:divBdr>
        <w:top w:val="none" w:sz="0" w:space="0" w:color="auto"/>
        <w:left w:val="none" w:sz="0" w:space="0" w:color="auto"/>
        <w:bottom w:val="none" w:sz="0" w:space="0" w:color="auto"/>
        <w:right w:val="none" w:sz="0" w:space="0" w:color="auto"/>
      </w:divBdr>
    </w:div>
    <w:div w:id="826092286">
      <w:bodyDiv w:val="1"/>
      <w:marLeft w:val="0"/>
      <w:marRight w:val="0"/>
      <w:marTop w:val="0"/>
      <w:marBottom w:val="0"/>
      <w:divBdr>
        <w:top w:val="none" w:sz="0" w:space="0" w:color="auto"/>
        <w:left w:val="none" w:sz="0" w:space="0" w:color="auto"/>
        <w:bottom w:val="none" w:sz="0" w:space="0" w:color="auto"/>
        <w:right w:val="none" w:sz="0" w:space="0" w:color="auto"/>
      </w:divBdr>
    </w:div>
    <w:div w:id="862088071">
      <w:bodyDiv w:val="1"/>
      <w:marLeft w:val="0"/>
      <w:marRight w:val="0"/>
      <w:marTop w:val="0"/>
      <w:marBottom w:val="0"/>
      <w:divBdr>
        <w:top w:val="none" w:sz="0" w:space="0" w:color="auto"/>
        <w:left w:val="none" w:sz="0" w:space="0" w:color="auto"/>
        <w:bottom w:val="none" w:sz="0" w:space="0" w:color="auto"/>
        <w:right w:val="none" w:sz="0" w:space="0" w:color="auto"/>
      </w:divBdr>
    </w:div>
    <w:div w:id="867841318">
      <w:bodyDiv w:val="1"/>
      <w:marLeft w:val="0"/>
      <w:marRight w:val="0"/>
      <w:marTop w:val="0"/>
      <w:marBottom w:val="0"/>
      <w:divBdr>
        <w:top w:val="none" w:sz="0" w:space="0" w:color="auto"/>
        <w:left w:val="none" w:sz="0" w:space="0" w:color="auto"/>
        <w:bottom w:val="none" w:sz="0" w:space="0" w:color="auto"/>
        <w:right w:val="none" w:sz="0" w:space="0" w:color="auto"/>
      </w:divBdr>
    </w:div>
    <w:div w:id="885797190">
      <w:bodyDiv w:val="1"/>
      <w:marLeft w:val="0"/>
      <w:marRight w:val="0"/>
      <w:marTop w:val="0"/>
      <w:marBottom w:val="0"/>
      <w:divBdr>
        <w:top w:val="none" w:sz="0" w:space="0" w:color="auto"/>
        <w:left w:val="none" w:sz="0" w:space="0" w:color="auto"/>
        <w:bottom w:val="none" w:sz="0" w:space="0" w:color="auto"/>
        <w:right w:val="none" w:sz="0" w:space="0" w:color="auto"/>
      </w:divBdr>
    </w:div>
    <w:div w:id="903638799">
      <w:bodyDiv w:val="1"/>
      <w:marLeft w:val="0"/>
      <w:marRight w:val="0"/>
      <w:marTop w:val="0"/>
      <w:marBottom w:val="0"/>
      <w:divBdr>
        <w:top w:val="none" w:sz="0" w:space="0" w:color="auto"/>
        <w:left w:val="none" w:sz="0" w:space="0" w:color="auto"/>
        <w:bottom w:val="none" w:sz="0" w:space="0" w:color="auto"/>
        <w:right w:val="none" w:sz="0" w:space="0" w:color="auto"/>
      </w:divBdr>
    </w:div>
    <w:div w:id="939799645">
      <w:bodyDiv w:val="1"/>
      <w:marLeft w:val="0"/>
      <w:marRight w:val="0"/>
      <w:marTop w:val="0"/>
      <w:marBottom w:val="0"/>
      <w:divBdr>
        <w:top w:val="none" w:sz="0" w:space="0" w:color="auto"/>
        <w:left w:val="none" w:sz="0" w:space="0" w:color="auto"/>
        <w:bottom w:val="none" w:sz="0" w:space="0" w:color="auto"/>
        <w:right w:val="none" w:sz="0" w:space="0" w:color="auto"/>
      </w:divBdr>
    </w:div>
    <w:div w:id="966929071">
      <w:bodyDiv w:val="1"/>
      <w:marLeft w:val="0"/>
      <w:marRight w:val="0"/>
      <w:marTop w:val="0"/>
      <w:marBottom w:val="0"/>
      <w:divBdr>
        <w:top w:val="none" w:sz="0" w:space="0" w:color="auto"/>
        <w:left w:val="none" w:sz="0" w:space="0" w:color="auto"/>
        <w:bottom w:val="none" w:sz="0" w:space="0" w:color="auto"/>
        <w:right w:val="none" w:sz="0" w:space="0" w:color="auto"/>
      </w:divBdr>
    </w:div>
    <w:div w:id="978075147">
      <w:bodyDiv w:val="1"/>
      <w:marLeft w:val="0"/>
      <w:marRight w:val="0"/>
      <w:marTop w:val="0"/>
      <w:marBottom w:val="0"/>
      <w:divBdr>
        <w:top w:val="none" w:sz="0" w:space="0" w:color="auto"/>
        <w:left w:val="none" w:sz="0" w:space="0" w:color="auto"/>
        <w:bottom w:val="none" w:sz="0" w:space="0" w:color="auto"/>
        <w:right w:val="none" w:sz="0" w:space="0" w:color="auto"/>
      </w:divBdr>
    </w:div>
    <w:div w:id="1044795201">
      <w:bodyDiv w:val="1"/>
      <w:marLeft w:val="0"/>
      <w:marRight w:val="0"/>
      <w:marTop w:val="0"/>
      <w:marBottom w:val="0"/>
      <w:divBdr>
        <w:top w:val="none" w:sz="0" w:space="0" w:color="auto"/>
        <w:left w:val="none" w:sz="0" w:space="0" w:color="auto"/>
        <w:bottom w:val="none" w:sz="0" w:space="0" w:color="auto"/>
        <w:right w:val="none" w:sz="0" w:space="0" w:color="auto"/>
      </w:divBdr>
    </w:div>
    <w:div w:id="1056466645">
      <w:bodyDiv w:val="1"/>
      <w:marLeft w:val="0"/>
      <w:marRight w:val="0"/>
      <w:marTop w:val="0"/>
      <w:marBottom w:val="0"/>
      <w:divBdr>
        <w:top w:val="none" w:sz="0" w:space="0" w:color="auto"/>
        <w:left w:val="none" w:sz="0" w:space="0" w:color="auto"/>
        <w:bottom w:val="none" w:sz="0" w:space="0" w:color="auto"/>
        <w:right w:val="none" w:sz="0" w:space="0" w:color="auto"/>
      </w:divBdr>
    </w:div>
    <w:div w:id="1103185412">
      <w:bodyDiv w:val="1"/>
      <w:marLeft w:val="0"/>
      <w:marRight w:val="0"/>
      <w:marTop w:val="0"/>
      <w:marBottom w:val="0"/>
      <w:divBdr>
        <w:top w:val="none" w:sz="0" w:space="0" w:color="auto"/>
        <w:left w:val="none" w:sz="0" w:space="0" w:color="auto"/>
        <w:bottom w:val="none" w:sz="0" w:space="0" w:color="auto"/>
        <w:right w:val="none" w:sz="0" w:space="0" w:color="auto"/>
      </w:divBdr>
    </w:div>
    <w:div w:id="1105072879">
      <w:bodyDiv w:val="1"/>
      <w:marLeft w:val="0"/>
      <w:marRight w:val="0"/>
      <w:marTop w:val="0"/>
      <w:marBottom w:val="0"/>
      <w:divBdr>
        <w:top w:val="none" w:sz="0" w:space="0" w:color="auto"/>
        <w:left w:val="none" w:sz="0" w:space="0" w:color="auto"/>
        <w:bottom w:val="none" w:sz="0" w:space="0" w:color="auto"/>
        <w:right w:val="none" w:sz="0" w:space="0" w:color="auto"/>
      </w:divBdr>
    </w:div>
    <w:div w:id="1111632490">
      <w:bodyDiv w:val="1"/>
      <w:marLeft w:val="0"/>
      <w:marRight w:val="0"/>
      <w:marTop w:val="0"/>
      <w:marBottom w:val="0"/>
      <w:divBdr>
        <w:top w:val="none" w:sz="0" w:space="0" w:color="auto"/>
        <w:left w:val="none" w:sz="0" w:space="0" w:color="auto"/>
        <w:bottom w:val="none" w:sz="0" w:space="0" w:color="auto"/>
        <w:right w:val="none" w:sz="0" w:space="0" w:color="auto"/>
      </w:divBdr>
    </w:div>
    <w:div w:id="1118139049">
      <w:bodyDiv w:val="1"/>
      <w:marLeft w:val="0"/>
      <w:marRight w:val="0"/>
      <w:marTop w:val="0"/>
      <w:marBottom w:val="0"/>
      <w:divBdr>
        <w:top w:val="none" w:sz="0" w:space="0" w:color="auto"/>
        <w:left w:val="none" w:sz="0" w:space="0" w:color="auto"/>
        <w:bottom w:val="none" w:sz="0" w:space="0" w:color="auto"/>
        <w:right w:val="none" w:sz="0" w:space="0" w:color="auto"/>
      </w:divBdr>
    </w:div>
    <w:div w:id="1120535067">
      <w:bodyDiv w:val="1"/>
      <w:marLeft w:val="0"/>
      <w:marRight w:val="0"/>
      <w:marTop w:val="0"/>
      <w:marBottom w:val="0"/>
      <w:divBdr>
        <w:top w:val="none" w:sz="0" w:space="0" w:color="auto"/>
        <w:left w:val="none" w:sz="0" w:space="0" w:color="auto"/>
        <w:bottom w:val="none" w:sz="0" w:space="0" w:color="auto"/>
        <w:right w:val="none" w:sz="0" w:space="0" w:color="auto"/>
      </w:divBdr>
    </w:div>
    <w:div w:id="1126778507">
      <w:bodyDiv w:val="1"/>
      <w:marLeft w:val="0"/>
      <w:marRight w:val="0"/>
      <w:marTop w:val="0"/>
      <w:marBottom w:val="0"/>
      <w:divBdr>
        <w:top w:val="none" w:sz="0" w:space="0" w:color="auto"/>
        <w:left w:val="none" w:sz="0" w:space="0" w:color="auto"/>
        <w:bottom w:val="none" w:sz="0" w:space="0" w:color="auto"/>
        <w:right w:val="none" w:sz="0" w:space="0" w:color="auto"/>
      </w:divBdr>
    </w:div>
    <w:div w:id="1136218559">
      <w:bodyDiv w:val="1"/>
      <w:marLeft w:val="0"/>
      <w:marRight w:val="0"/>
      <w:marTop w:val="0"/>
      <w:marBottom w:val="0"/>
      <w:divBdr>
        <w:top w:val="none" w:sz="0" w:space="0" w:color="auto"/>
        <w:left w:val="none" w:sz="0" w:space="0" w:color="auto"/>
        <w:bottom w:val="none" w:sz="0" w:space="0" w:color="auto"/>
        <w:right w:val="none" w:sz="0" w:space="0" w:color="auto"/>
      </w:divBdr>
    </w:div>
    <w:div w:id="1141925987">
      <w:bodyDiv w:val="1"/>
      <w:marLeft w:val="0"/>
      <w:marRight w:val="0"/>
      <w:marTop w:val="0"/>
      <w:marBottom w:val="0"/>
      <w:divBdr>
        <w:top w:val="none" w:sz="0" w:space="0" w:color="auto"/>
        <w:left w:val="none" w:sz="0" w:space="0" w:color="auto"/>
        <w:bottom w:val="none" w:sz="0" w:space="0" w:color="auto"/>
        <w:right w:val="none" w:sz="0" w:space="0" w:color="auto"/>
      </w:divBdr>
    </w:div>
    <w:div w:id="1155754563">
      <w:bodyDiv w:val="1"/>
      <w:marLeft w:val="0"/>
      <w:marRight w:val="0"/>
      <w:marTop w:val="0"/>
      <w:marBottom w:val="0"/>
      <w:divBdr>
        <w:top w:val="none" w:sz="0" w:space="0" w:color="auto"/>
        <w:left w:val="none" w:sz="0" w:space="0" w:color="auto"/>
        <w:bottom w:val="none" w:sz="0" w:space="0" w:color="auto"/>
        <w:right w:val="none" w:sz="0" w:space="0" w:color="auto"/>
      </w:divBdr>
    </w:div>
    <w:div w:id="1181160742">
      <w:bodyDiv w:val="1"/>
      <w:marLeft w:val="0"/>
      <w:marRight w:val="0"/>
      <w:marTop w:val="0"/>
      <w:marBottom w:val="0"/>
      <w:divBdr>
        <w:top w:val="none" w:sz="0" w:space="0" w:color="auto"/>
        <w:left w:val="none" w:sz="0" w:space="0" w:color="auto"/>
        <w:bottom w:val="none" w:sz="0" w:space="0" w:color="auto"/>
        <w:right w:val="none" w:sz="0" w:space="0" w:color="auto"/>
      </w:divBdr>
    </w:div>
    <w:div w:id="1183587270">
      <w:bodyDiv w:val="1"/>
      <w:marLeft w:val="0"/>
      <w:marRight w:val="0"/>
      <w:marTop w:val="0"/>
      <w:marBottom w:val="0"/>
      <w:divBdr>
        <w:top w:val="none" w:sz="0" w:space="0" w:color="auto"/>
        <w:left w:val="none" w:sz="0" w:space="0" w:color="auto"/>
        <w:bottom w:val="none" w:sz="0" w:space="0" w:color="auto"/>
        <w:right w:val="none" w:sz="0" w:space="0" w:color="auto"/>
      </w:divBdr>
    </w:div>
    <w:div w:id="1210843157">
      <w:bodyDiv w:val="1"/>
      <w:marLeft w:val="0"/>
      <w:marRight w:val="0"/>
      <w:marTop w:val="0"/>
      <w:marBottom w:val="0"/>
      <w:divBdr>
        <w:top w:val="none" w:sz="0" w:space="0" w:color="auto"/>
        <w:left w:val="none" w:sz="0" w:space="0" w:color="auto"/>
        <w:bottom w:val="none" w:sz="0" w:space="0" w:color="auto"/>
        <w:right w:val="none" w:sz="0" w:space="0" w:color="auto"/>
      </w:divBdr>
    </w:div>
    <w:div w:id="1253053468">
      <w:bodyDiv w:val="1"/>
      <w:marLeft w:val="0"/>
      <w:marRight w:val="0"/>
      <w:marTop w:val="0"/>
      <w:marBottom w:val="0"/>
      <w:divBdr>
        <w:top w:val="none" w:sz="0" w:space="0" w:color="auto"/>
        <w:left w:val="none" w:sz="0" w:space="0" w:color="auto"/>
        <w:bottom w:val="none" w:sz="0" w:space="0" w:color="auto"/>
        <w:right w:val="none" w:sz="0" w:space="0" w:color="auto"/>
      </w:divBdr>
    </w:div>
    <w:div w:id="1259830418">
      <w:bodyDiv w:val="1"/>
      <w:marLeft w:val="0"/>
      <w:marRight w:val="0"/>
      <w:marTop w:val="0"/>
      <w:marBottom w:val="0"/>
      <w:divBdr>
        <w:top w:val="none" w:sz="0" w:space="0" w:color="auto"/>
        <w:left w:val="none" w:sz="0" w:space="0" w:color="auto"/>
        <w:bottom w:val="none" w:sz="0" w:space="0" w:color="auto"/>
        <w:right w:val="none" w:sz="0" w:space="0" w:color="auto"/>
      </w:divBdr>
    </w:div>
    <w:div w:id="1264536690">
      <w:bodyDiv w:val="1"/>
      <w:marLeft w:val="0"/>
      <w:marRight w:val="0"/>
      <w:marTop w:val="0"/>
      <w:marBottom w:val="0"/>
      <w:divBdr>
        <w:top w:val="none" w:sz="0" w:space="0" w:color="auto"/>
        <w:left w:val="none" w:sz="0" w:space="0" w:color="auto"/>
        <w:bottom w:val="none" w:sz="0" w:space="0" w:color="auto"/>
        <w:right w:val="none" w:sz="0" w:space="0" w:color="auto"/>
      </w:divBdr>
      <w:divsChild>
        <w:div w:id="177474721">
          <w:marLeft w:val="0"/>
          <w:marRight w:val="0"/>
          <w:marTop w:val="0"/>
          <w:marBottom w:val="0"/>
          <w:divBdr>
            <w:top w:val="none" w:sz="0" w:space="0" w:color="auto"/>
            <w:left w:val="none" w:sz="0" w:space="0" w:color="auto"/>
            <w:bottom w:val="none" w:sz="0" w:space="0" w:color="auto"/>
            <w:right w:val="none" w:sz="0" w:space="0" w:color="auto"/>
          </w:divBdr>
        </w:div>
      </w:divsChild>
    </w:div>
    <w:div w:id="1278102624">
      <w:bodyDiv w:val="1"/>
      <w:marLeft w:val="0"/>
      <w:marRight w:val="0"/>
      <w:marTop w:val="0"/>
      <w:marBottom w:val="0"/>
      <w:divBdr>
        <w:top w:val="none" w:sz="0" w:space="0" w:color="auto"/>
        <w:left w:val="none" w:sz="0" w:space="0" w:color="auto"/>
        <w:bottom w:val="none" w:sz="0" w:space="0" w:color="auto"/>
        <w:right w:val="none" w:sz="0" w:space="0" w:color="auto"/>
      </w:divBdr>
    </w:div>
    <w:div w:id="1281717721">
      <w:bodyDiv w:val="1"/>
      <w:marLeft w:val="0"/>
      <w:marRight w:val="0"/>
      <w:marTop w:val="0"/>
      <w:marBottom w:val="0"/>
      <w:divBdr>
        <w:top w:val="none" w:sz="0" w:space="0" w:color="auto"/>
        <w:left w:val="none" w:sz="0" w:space="0" w:color="auto"/>
        <w:bottom w:val="none" w:sz="0" w:space="0" w:color="auto"/>
        <w:right w:val="none" w:sz="0" w:space="0" w:color="auto"/>
      </w:divBdr>
    </w:div>
    <w:div w:id="1295482484">
      <w:bodyDiv w:val="1"/>
      <w:marLeft w:val="0"/>
      <w:marRight w:val="0"/>
      <w:marTop w:val="0"/>
      <w:marBottom w:val="0"/>
      <w:divBdr>
        <w:top w:val="none" w:sz="0" w:space="0" w:color="auto"/>
        <w:left w:val="none" w:sz="0" w:space="0" w:color="auto"/>
        <w:bottom w:val="none" w:sz="0" w:space="0" w:color="auto"/>
        <w:right w:val="none" w:sz="0" w:space="0" w:color="auto"/>
      </w:divBdr>
    </w:div>
    <w:div w:id="1341932895">
      <w:bodyDiv w:val="1"/>
      <w:marLeft w:val="0"/>
      <w:marRight w:val="0"/>
      <w:marTop w:val="0"/>
      <w:marBottom w:val="0"/>
      <w:divBdr>
        <w:top w:val="none" w:sz="0" w:space="0" w:color="auto"/>
        <w:left w:val="none" w:sz="0" w:space="0" w:color="auto"/>
        <w:bottom w:val="none" w:sz="0" w:space="0" w:color="auto"/>
        <w:right w:val="none" w:sz="0" w:space="0" w:color="auto"/>
      </w:divBdr>
    </w:div>
    <w:div w:id="1367562588">
      <w:bodyDiv w:val="1"/>
      <w:marLeft w:val="0"/>
      <w:marRight w:val="0"/>
      <w:marTop w:val="0"/>
      <w:marBottom w:val="0"/>
      <w:divBdr>
        <w:top w:val="none" w:sz="0" w:space="0" w:color="auto"/>
        <w:left w:val="none" w:sz="0" w:space="0" w:color="auto"/>
        <w:bottom w:val="none" w:sz="0" w:space="0" w:color="auto"/>
        <w:right w:val="none" w:sz="0" w:space="0" w:color="auto"/>
      </w:divBdr>
    </w:div>
    <w:div w:id="1372729420">
      <w:bodyDiv w:val="1"/>
      <w:marLeft w:val="0"/>
      <w:marRight w:val="0"/>
      <w:marTop w:val="0"/>
      <w:marBottom w:val="0"/>
      <w:divBdr>
        <w:top w:val="none" w:sz="0" w:space="0" w:color="auto"/>
        <w:left w:val="none" w:sz="0" w:space="0" w:color="auto"/>
        <w:bottom w:val="none" w:sz="0" w:space="0" w:color="auto"/>
        <w:right w:val="none" w:sz="0" w:space="0" w:color="auto"/>
      </w:divBdr>
    </w:div>
    <w:div w:id="1373067669">
      <w:bodyDiv w:val="1"/>
      <w:marLeft w:val="0"/>
      <w:marRight w:val="0"/>
      <w:marTop w:val="0"/>
      <w:marBottom w:val="0"/>
      <w:divBdr>
        <w:top w:val="none" w:sz="0" w:space="0" w:color="auto"/>
        <w:left w:val="none" w:sz="0" w:space="0" w:color="auto"/>
        <w:bottom w:val="none" w:sz="0" w:space="0" w:color="auto"/>
        <w:right w:val="none" w:sz="0" w:space="0" w:color="auto"/>
      </w:divBdr>
    </w:div>
    <w:div w:id="1384720932">
      <w:bodyDiv w:val="1"/>
      <w:marLeft w:val="0"/>
      <w:marRight w:val="0"/>
      <w:marTop w:val="0"/>
      <w:marBottom w:val="0"/>
      <w:divBdr>
        <w:top w:val="none" w:sz="0" w:space="0" w:color="auto"/>
        <w:left w:val="none" w:sz="0" w:space="0" w:color="auto"/>
        <w:bottom w:val="none" w:sz="0" w:space="0" w:color="auto"/>
        <w:right w:val="none" w:sz="0" w:space="0" w:color="auto"/>
      </w:divBdr>
    </w:div>
    <w:div w:id="1385173848">
      <w:bodyDiv w:val="1"/>
      <w:marLeft w:val="0"/>
      <w:marRight w:val="0"/>
      <w:marTop w:val="0"/>
      <w:marBottom w:val="0"/>
      <w:divBdr>
        <w:top w:val="none" w:sz="0" w:space="0" w:color="auto"/>
        <w:left w:val="none" w:sz="0" w:space="0" w:color="auto"/>
        <w:bottom w:val="none" w:sz="0" w:space="0" w:color="auto"/>
        <w:right w:val="none" w:sz="0" w:space="0" w:color="auto"/>
      </w:divBdr>
    </w:div>
    <w:div w:id="1386221873">
      <w:bodyDiv w:val="1"/>
      <w:marLeft w:val="0"/>
      <w:marRight w:val="0"/>
      <w:marTop w:val="0"/>
      <w:marBottom w:val="0"/>
      <w:divBdr>
        <w:top w:val="none" w:sz="0" w:space="0" w:color="auto"/>
        <w:left w:val="none" w:sz="0" w:space="0" w:color="auto"/>
        <w:bottom w:val="none" w:sz="0" w:space="0" w:color="auto"/>
        <w:right w:val="none" w:sz="0" w:space="0" w:color="auto"/>
      </w:divBdr>
    </w:div>
    <w:div w:id="1411267246">
      <w:bodyDiv w:val="1"/>
      <w:marLeft w:val="0"/>
      <w:marRight w:val="0"/>
      <w:marTop w:val="0"/>
      <w:marBottom w:val="0"/>
      <w:divBdr>
        <w:top w:val="none" w:sz="0" w:space="0" w:color="auto"/>
        <w:left w:val="none" w:sz="0" w:space="0" w:color="auto"/>
        <w:bottom w:val="none" w:sz="0" w:space="0" w:color="auto"/>
        <w:right w:val="none" w:sz="0" w:space="0" w:color="auto"/>
      </w:divBdr>
    </w:div>
    <w:div w:id="1450009243">
      <w:bodyDiv w:val="1"/>
      <w:marLeft w:val="0"/>
      <w:marRight w:val="0"/>
      <w:marTop w:val="0"/>
      <w:marBottom w:val="0"/>
      <w:divBdr>
        <w:top w:val="none" w:sz="0" w:space="0" w:color="auto"/>
        <w:left w:val="none" w:sz="0" w:space="0" w:color="auto"/>
        <w:bottom w:val="none" w:sz="0" w:space="0" w:color="auto"/>
        <w:right w:val="none" w:sz="0" w:space="0" w:color="auto"/>
      </w:divBdr>
    </w:div>
    <w:div w:id="1459910215">
      <w:bodyDiv w:val="1"/>
      <w:marLeft w:val="0"/>
      <w:marRight w:val="0"/>
      <w:marTop w:val="0"/>
      <w:marBottom w:val="0"/>
      <w:divBdr>
        <w:top w:val="none" w:sz="0" w:space="0" w:color="auto"/>
        <w:left w:val="none" w:sz="0" w:space="0" w:color="auto"/>
        <w:bottom w:val="none" w:sz="0" w:space="0" w:color="auto"/>
        <w:right w:val="none" w:sz="0" w:space="0" w:color="auto"/>
      </w:divBdr>
    </w:div>
    <w:div w:id="1470127053">
      <w:bodyDiv w:val="1"/>
      <w:marLeft w:val="0"/>
      <w:marRight w:val="0"/>
      <w:marTop w:val="0"/>
      <w:marBottom w:val="0"/>
      <w:divBdr>
        <w:top w:val="none" w:sz="0" w:space="0" w:color="auto"/>
        <w:left w:val="none" w:sz="0" w:space="0" w:color="auto"/>
        <w:bottom w:val="none" w:sz="0" w:space="0" w:color="auto"/>
        <w:right w:val="none" w:sz="0" w:space="0" w:color="auto"/>
      </w:divBdr>
    </w:div>
    <w:div w:id="1537499644">
      <w:bodyDiv w:val="1"/>
      <w:marLeft w:val="0"/>
      <w:marRight w:val="0"/>
      <w:marTop w:val="0"/>
      <w:marBottom w:val="0"/>
      <w:divBdr>
        <w:top w:val="none" w:sz="0" w:space="0" w:color="auto"/>
        <w:left w:val="none" w:sz="0" w:space="0" w:color="auto"/>
        <w:bottom w:val="none" w:sz="0" w:space="0" w:color="auto"/>
        <w:right w:val="none" w:sz="0" w:space="0" w:color="auto"/>
      </w:divBdr>
    </w:div>
    <w:div w:id="1543713872">
      <w:bodyDiv w:val="1"/>
      <w:marLeft w:val="0"/>
      <w:marRight w:val="0"/>
      <w:marTop w:val="0"/>
      <w:marBottom w:val="0"/>
      <w:divBdr>
        <w:top w:val="none" w:sz="0" w:space="0" w:color="auto"/>
        <w:left w:val="none" w:sz="0" w:space="0" w:color="auto"/>
        <w:bottom w:val="none" w:sz="0" w:space="0" w:color="auto"/>
        <w:right w:val="none" w:sz="0" w:space="0" w:color="auto"/>
      </w:divBdr>
    </w:div>
    <w:div w:id="1548106021">
      <w:bodyDiv w:val="1"/>
      <w:marLeft w:val="0"/>
      <w:marRight w:val="0"/>
      <w:marTop w:val="0"/>
      <w:marBottom w:val="0"/>
      <w:divBdr>
        <w:top w:val="none" w:sz="0" w:space="0" w:color="auto"/>
        <w:left w:val="none" w:sz="0" w:space="0" w:color="auto"/>
        <w:bottom w:val="none" w:sz="0" w:space="0" w:color="auto"/>
        <w:right w:val="none" w:sz="0" w:space="0" w:color="auto"/>
      </w:divBdr>
    </w:div>
    <w:div w:id="1560244513">
      <w:bodyDiv w:val="1"/>
      <w:marLeft w:val="0"/>
      <w:marRight w:val="0"/>
      <w:marTop w:val="0"/>
      <w:marBottom w:val="0"/>
      <w:divBdr>
        <w:top w:val="none" w:sz="0" w:space="0" w:color="auto"/>
        <w:left w:val="none" w:sz="0" w:space="0" w:color="auto"/>
        <w:bottom w:val="none" w:sz="0" w:space="0" w:color="auto"/>
        <w:right w:val="none" w:sz="0" w:space="0" w:color="auto"/>
      </w:divBdr>
    </w:div>
    <w:div w:id="1561554172">
      <w:bodyDiv w:val="1"/>
      <w:marLeft w:val="0"/>
      <w:marRight w:val="0"/>
      <w:marTop w:val="0"/>
      <w:marBottom w:val="0"/>
      <w:divBdr>
        <w:top w:val="none" w:sz="0" w:space="0" w:color="auto"/>
        <w:left w:val="none" w:sz="0" w:space="0" w:color="auto"/>
        <w:bottom w:val="none" w:sz="0" w:space="0" w:color="auto"/>
        <w:right w:val="none" w:sz="0" w:space="0" w:color="auto"/>
      </w:divBdr>
    </w:div>
    <w:div w:id="1610240914">
      <w:bodyDiv w:val="1"/>
      <w:marLeft w:val="0"/>
      <w:marRight w:val="0"/>
      <w:marTop w:val="0"/>
      <w:marBottom w:val="0"/>
      <w:divBdr>
        <w:top w:val="none" w:sz="0" w:space="0" w:color="auto"/>
        <w:left w:val="none" w:sz="0" w:space="0" w:color="auto"/>
        <w:bottom w:val="none" w:sz="0" w:space="0" w:color="auto"/>
        <w:right w:val="none" w:sz="0" w:space="0" w:color="auto"/>
      </w:divBdr>
    </w:div>
    <w:div w:id="1616250614">
      <w:bodyDiv w:val="1"/>
      <w:marLeft w:val="0"/>
      <w:marRight w:val="0"/>
      <w:marTop w:val="0"/>
      <w:marBottom w:val="0"/>
      <w:divBdr>
        <w:top w:val="none" w:sz="0" w:space="0" w:color="auto"/>
        <w:left w:val="none" w:sz="0" w:space="0" w:color="auto"/>
        <w:bottom w:val="none" w:sz="0" w:space="0" w:color="auto"/>
        <w:right w:val="none" w:sz="0" w:space="0" w:color="auto"/>
      </w:divBdr>
    </w:div>
    <w:div w:id="1683387701">
      <w:bodyDiv w:val="1"/>
      <w:marLeft w:val="0"/>
      <w:marRight w:val="0"/>
      <w:marTop w:val="0"/>
      <w:marBottom w:val="0"/>
      <w:divBdr>
        <w:top w:val="none" w:sz="0" w:space="0" w:color="auto"/>
        <w:left w:val="none" w:sz="0" w:space="0" w:color="auto"/>
        <w:bottom w:val="none" w:sz="0" w:space="0" w:color="auto"/>
        <w:right w:val="none" w:sz="0" w:space="0" w:color="auto"/>
      </w:divBdr>
    </w:div>
    <w:div w:id="1692535743">
      <w:bodyDiv w:val="1"/>
      <w:marLeft w:val="0"/>
      <w:marRight w:val="0"/>
      <w:marTop w:val="0"/>
      <w:marBottom w:val="0"/>
      <w:divBdr>
        <w:top w:val="none" w:sz="0" w:space="0" w:color="auto"/>
        <w:left w:val="none" w:sz="0" w:space="0" w:color="auto"/>
        <w:bottom w:val="none" w:sz="0" w:space="0" w:color="auto"/>
        <w:right w:val="none" w:sz="0" w:space="0" w:color="auto"/>
      </w:divBdr>
    </w:div>
    <w:div w:id="1700089032">
      <w:bodyDiv w:val="1"/>
      <w:marLeft w:val="0"/>
      <w:marRight w:val="0"/>
      <w:marTop w:val="0"/>
      <w:marBottom w:val="0"/>
      <w:divBdr>
        <w:top w:val="none" w:sz="0" w:space="0" w:color="auto"/>
        <w:left w:val="none" w:sz="0" w:space="0" w:color="auto"/>
        <w:bottom w:val="none" w:sz="0" w:space="0" w:color="auto"/>
        <w:right w:val="none" w:sz="0" w:space="0" w:color="auto"/>
      </w:divBdr>
    </w:div>
    <w:div w:id="1726758045">
      <w:bodyDiv w:val="1"/>
      <w:marLeft w:val="0"/>
      <w:marRight w:val="0"/>
      <w:marTop w:val="0"/>
      <w:marBottom w:val="0"/>
      <w:divBdr>
        <w:top w:val="none" w:sz="0" w:space="0" w:color="auto"/>
        <w:left w:val="none" w:sz="0" w:space="0" w:color="auto"/>
        <w:bottom w:val="none" w:sz="0" w:space="0" w:color="auto"/>
        <w:right w:val="none" w:sz="0" w:space="0" w:color="auto"/>
      </w:divBdr>
    </w:div>
    <w:div w:id="1734500307">
      <w:bodyDiv w:val="1"/>
      <w:marLeft w:val="0"/>
      <w:marRight w:val="0"/>
      <w:marTop w:val="0"/>
      <w:marBottom w:val="0"/>
      <w:divBdr>
        <w:top w:val="none" w:sz="0" w:space="0" w:color="auto"/>
        <w:left w:val="none" w:sz="0" w:space="0" w:color="auto"/>
        <w:bottom w:val="none" w:sz="0" w:space="0" w:color="auto"/>
        <w:right w:val="none" w:sz="0" w:space="0" w:color="auto"/>
      </w:divBdr>
    </w:div>
    <w:div w:id="1762945450">
      <w:bodyDiv w:val="1"/>
      <w:marLeft w:val="0"/>
      <w:marRight w:val="0"/>
      <w:marTop w:val="0"/>
      <w:marBottom w:val="0"/>
      <w:divBdr>
        <w:top w:val="none" w:sz="0" w:space="0" w:color="auto"/>
        <w:left w:val="none" w:sz="0" w:space="0" w:color="auto"/>
        <w:bottom w:val="none" w:sz="0" w:space="0" w:color="auto"/>
        <w:right w:val="none" w:sz="0" w:space="0" w:color="auto"/>
      </w:divBdr>
    </w:div>
    <w:div w:id="1789350198">
      <w:bodyDiv w:val="1"/>
      <w:marLeft w:val="0"/>
      <w:marRight w:val="0"/>
      <w:marTop w:val="0"/>
      <w:marBottom w:val="0"/>
      <w:divBdr>
        <w:top w:val="none" w:sz="0" w:space="0" w:color="auto"/>
        <w:left w:val="none" w:sz="0" w:space="0" w:color="auto"/>
        <w:bottom w:val="none" w:sz="0" w:space="0" w:color="auto"/>
        <w:right w:val="none" w:sz="0" w:space="0" w:color="auto"/>
      </w:divBdr>
    </w:div>
    <w:div w:id="1792475378">
      <w:bodyDiv w:val="1"/>
      <w:marLeft w:val="0"/>
      <w:marRight w:val="0"/>
      <w:marTop w:val="0"/>
      <w:marBottom w:val="0"/>
      <w:divBdr>
        <w:top w:val="none" w:sz="0" w:space="0" w:color="auto"/>
        <w:left w:val="none" w:sz="0" w:space="0" w:color="auto"/>
        <w:bottom w:val="none" w:sz="0" w:space="0" w:color="auto"/>
        <w:right w:val="none" w:sz="0" w:space="0" w:color="auto"/>
      </w:divBdr>
    </w:div>
    <w:div w:id="1809740352">
      <w:bodyDiv w:val="1"/>
      <w:marLeft w:val="0"/>
      <w:marRight w:val="0"/>
      <w:marTop w:val="0"/>
      <w:marBottom w:val="0"/>
      <w:divBdr>
        <w:top w:val="none" w:sz="0" w:space="0" w:color="auto"/>
        <w:left w:val="none" w:sz="0" w:space="0" w:color="auto"/>
        <w:bottom w:val="none" w:sz="0" w:space="0" w:color="auto"/>
        <w:right w:val="none" w:sz="0" w:space="0" w:color="auto"/>
      </w:divBdr>
    </w:div>
    <w:div w:id="1846676161">
      <w:bodyDiv w:val="1"/>
      <w:marLeft w:val="0"/>
      <w:marRight w:val="0"/>
      <w:marTop w:val="0"/>
      <w:marBottom w:val="0"/>
      <w:divBdr>
        <w:top w:val="none" w:sz="0" w:space="0" w:color="auto"/>
        <w:left w:val="none" w:sz="0" w:space="0" w:color="auto"/>
        <w:bottom w:val="none" w:sz="0" w:space="0" w:color="auto"/>
        <w:right w:val="none" w:sz="0" w:space="0" w:color="auto"/>
      </w:divBdr>
    </w:div>
    <w:div w:id="1884978280">
      <w:bodyDiv w:val="1"/>
      <w:marLeft w:val="0"/>
      <w:marRight w:val="0"/>
      <w:marTop w:val="0"/>
      <w:marBottom w:val="0"/>
      <w:divBdr>
        <w:top w:val="none" w:sz="0" w:space="0" w:color="auto"/>
        <w:left w:val="none" w:sz="0" w:space="0" w:color="auto"/>
        <w:bottom w:val="none" w:sz="0" w:space="0" w:color="auto"/>
        <w:right w:val="none" w:sz="0" w:space="0" w:color="auto"/>
      </w:divBdr>
    </w:div>
    <w:div w:id="1893498243">
      <w:bodyDiv w:val="1"/>
      <w:marLeft w:val="0"/>
      <w:marRight w:val="0"/>
      <w:marTop w:val="0"/>
      <w:marBottom w:val="0"/>
      <w:divBdr>
        <w:top w:val="none" w:sz="0" w:space="0" w:color="auto"/>
        <w:left w:val="none" w:sz="0" w:space="0" w:color="auto"/>
        <w:bottom w:val="none" w:sz="0" w:space="0" w:color="auto"/>
        <w:right w:val="none" w:sz="0" w:space="0" w:color="auto"/>
      </w:divBdr>
      <w:divsChild>
        <w:div w:id="1739399927">
          <w:marLeft w:val="0"/>
          <w:marRight w:val="0"/>
          <w:marTop w:val="0"/>
          <w:marBottom w:val="135"/>
          <w:divBdr>
            <w:top w:val="none" w:sz="0" w:space="0" w:color="auto"/>
            <w:left w:val="none" w:sz="0" w:space="0" w:color="auto"/>
            <w:bottom w:val="single" w:sz="12" w:space="9" w:color="EBEBEB"/>
            <w:right w:val="none" w:sz="0" w:space="0" w:color="auto"/>
          </w:divBdr>
          <w:divsChild>
            <w:div w:id="1902712372">
              <w:marLeft w:val="0"/>
              <w:marRight w:val="0"/>
              <w:marTop w:val="0"/>
              <w:marBottom w:val="0"/>
              <w:divBdr>
                <w:top w:val="none" w:sz="0" w:space="0" w:color="auto"/>
                <w:left w:val="none" w:sz="0" w:space="0" w:color="auto"/>
                <w:bottom w:val="none" w:sz="0" w:space="0" w:color="auto"/>
                <w:right w:val="none" w:sz="0" w:space="0" w:color="auto"/>
              </w:divBdr>
            </w:div>
          </w:divsChild>
        </w:div>
        <w:div w:id="1961184083">
          <w:marLeft w:val="0"/>
          <w:marRight w:val="0"/>
          <w:marTop w:val="0"/>
          <w:marBottom w:val="0"/>
          <w:divBdr>
            <w:top w:val="none" w:sz="0" w:space="0" w:color="auto"/>
            <w:left w:val="none" w:sz="0" w:space="0" w:color="auto"/>
            <w:bottom w:val="none" w:sz="0" w:space="0" w:color="auto"/>
            <w:right w:val="none" w:sz="0" w:space="0" w:color="auto"/>
          </w:divBdr>
        </w:div>
        <w:div w:id="1677919238">
          <w:marLeft w:val="0"/>
          <w:marRight w:val="0"/>
          <w:marTop w:val="0"/>
          <w:marBottom w:val="120"/>
          <w:divBdr>
            <w:top w:val="none" w:sz="0" w:space="0" w:color="auto"/>
            <w:left w:val="none" w:sz="0" w:space="0" w:color="auto"/>
            <w:bottom w:val="none" w:sz="0" w:space="0" w:color="auto"/>
            <w:right w:val="none" w:sz="0" w:space="0" w:color="auto"/>
          </w:divBdr>
          <w:divsChild>
            <w:div w:id="1920826649">
              <w:marLeft w:val="0"/>
              <w:marRight w:val="0"/>
              <w:marTop w:val="0"/>
              <w:marBottom w:val="0"/>
              <w:divBdr>
                <w:top w:val="none" w:sz="0" w:space="0" w:color="auto"/>
                <w:left w:val="none" w:sz="0" w:space="0" w:color="auto"/>
                <w:bottom w:val="none" w:sz="0" w:space="0" w:color="auto"/>
                <w:right w:val="none" w:sz="0" w:space="0" w:color="auto"/>
              </w:divBdr>
              <w:divsChild>
                <w:div w:id="1611736800">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 w:id="1900556009">
      <w:bodyDiv w:val="1"/>
      <w:marLeft w:val="0"/>
      <w:marRight w:val="0"/>
      <w:marTop w:val="0"/>
      <w:marBottom w:val="0"/>
      <w:divBdr>
        <w:top w:val="none" w:sz="0" w:space="0" w:color="auto"/>
        <w:left w:val="none" w:sz="0" w:space="0" w:color="auto"/>
        <w:bottom w:val="none" w:sz="0" w:space="0" w:color="auto"/>
        <w:right w:val="none" w:sz="0" w:space="0" w:color="auto"/>
      </w:divBdr>
    </w:div>
    <w:div w:id="1903128830">
      <w:bodyDiv w:val="1"/>
      <w:marLeft w:val="0"/>
      <w:marRight w:val="0"/>
      <w:marTop w:val="0"/>
      <w:marBottom w:val="0"/>
      <w:divBdr>
        <w:top w:val="none" w:sz="0" w:space="0" w:color="auto"/>
        <w:left w:val="none" w:sz="0" w:space="0" w:color="auto"/>
        <w:bottom w:val="none" w:sz="0" w:space="0" w:color="auto"/>
        <w:right w:val="none" w:sz="0" w:space="0" w:color="auto"/>
      </w:divBdr>
    </w:div>
    <w:div w:id="1913587407">
      <w:bodyDiv w:val="1"/>
      <w:marLeft w:val="0"/>
      <w:marRight w:val="0"/>
      <w:marTop w:val="0"/>
      <w:marBottom w:val="0"/>
      <w:divBdr>
        <w:top w:val="none" w:sz="0" w:space="0" w:color="auto"/>
        <w:left w:val="none" w:sz="0" w:space="0" w:color="auto"/>
        <w:bottom w:val="none" w:sz="0" w:space="0" w:color="auto"/>
        <w:right w:val="none" w:sz="0" w:space="0" w:color="auto"/>
      </w:divBdr>
    </w:div>
    <w:div w:id="1958296518">
      <w:bodyDiv w:val="1"/>
      <w:marLeft w:val="0"/>
      <w:marRight w:val="0"/>
      <w:marTop w:val="0"/>
      <w:marBottom w:val="0"/>
      <w:divBdr>
        <w:top w:val="none" w:sz="0" w:space="0" w:color="auto"/>
        <w:left w:val="none" w:sz="0" w:space="0" w:color="auto"/>
        <w:bottom w:val="none" w:sz="0" w:space="0" w:color="auto"/>
        <w:right w:val="none" w:sz="0" w:space="0" w:color="auto"/>
      </w:divBdr>
    </w:div>
    <w:div w:id="1973246436">
      <w:bodyDiv w:val="1"/>
      <w:marLeft w:val="0"/>
      <w:marRight w:val="0"/>
      <w:marTop w:val="0"/>
      <w:marBottom w:val="0"/>
      <w:divBdr>
        <w:top w:val="none" w:sz="0" w:space="0" w:color="auto"/>
        <w:left w:val="none" w:sz="0" w:space="0" w:color="auto"/>
        <w:bottom w:val="none" w:sz="0" w:space="0" w:color="auto"/>
        <w:right w:val="none" w:sz="0" w:space="0" w:color="auto"/>
      </w:divBdr>
    </w:div>
    <w:div w:id="1981113628">
      <w:bodyDiv w:val="1"/>
      <w:marLeft w:val="0"/>
      <w:marRight w:val="0"/>
      <w:marTop w:val="0"/>
      <w:marBottom w:val="0"/>
      <w:divBdr>
        <w:top w:val="none" w:sz="0" w:space="0" w:color="auto"/>
        <w:left w:val="none" w:sz="0" w:space="0" w:color="auto"/>
        <w:bottom w:val="none" w:sz="0" w:space="0" w:color="auto"/>
        <w:right w:val="none" w:sz="0" w:space="0" w:color="auto"/>
      </w:divBdr>
    </w:div>
    <w:div w:id="1998873655">
      <w:bodyDiv w:val="1"/>
      <w:marLeft w:val="0"/>
      <w:marRight w:val="0"/>
      <w:marTop w:val="0"/>
      <w:marBottom w:val="0"/>
      <w:divBdr>
        <w:top w:val="none" w:sz="0" w:space="0" w:color="auto"/>
        <w:left w:val="none" w:sz="0" w:space="0" w:color="auto"/>
        <w:bottom w:val="none" w:sz="0" w:space="0" w:color="auto"/>
        <w:right w:val="none" w:sz="0" w:space="0" w:color="auto"/>
      </w:divBdr>
    </w:div>
    <w:div w:id="2006587098">
      <w:bodyDiv w:val="1"/>
      <w:marLeft w:val="0"/>
      <w:marRight w:val="0"/>
      <w:marTop w:val="0"/>
      <w:marBottom w:val="0"/>
      <w:divBdr>
        <w:top w:val="none" w:sz="0" w:space="0" w:color="auto"/>
        <w:left w:val="none" w:sz="0" w:space="0" w:color="auto"/>
        <w:bottom w:val="none" w:sz="0" w:space="0" w:color="auto"/>
        <w:right w:val="none" w:sz="0" w:space="0" w:color="auto"/>
      </w:divBdr>
    </w:div>
    <w:div w:id="2011326610">
      <w:bodyDiv w:val="1"/>
      <w:marLeft w:val="0"/>
      <w:marRight w:val="0"/>
      <w:marTop w:val="0"/>
      <w:marBottom w:val="0"/>
      <w:divBdr>
        <w:top w:val="none" w:sz="0" w:space="0" w:color="auto"/>
        <w:left w:val="none" w:sz="0" w:space="0" w:color="auto"/>
        <w:bottom w:val="none" w:sz="0" w:space="0" w:color="auto"/>
        <w:right w:val="none" w:sz="0" w:space="0" w:color="auto"/>
      </w:divBdr>
    </w:div>
    <w:div w:id="2014138030">
      <w:bodyDiv w:val="1"/>
      <w:marLeft w:val="0"/>
      <w:marRight w:val="0"/>
      <w:marTop w:val="0"/>
      <w:marBottom w:val="0"/>
      <w:divBdr>
        <w:top w:val="none" w:sz="0" w:space="0" w:color="auto"/>
        <w:left w:val="none" w:sz="0" w:space="0" w:color="auto"/>
        <w:bottom w:val="none" w:sz="0" w:space="0" w:color="auto"/>
        <w:right w:val="none" w:sz="0" w:space="0" w:color="auto"/>
      </w:divBdr>
      <w:divsChild>
        <w:div w:id="1487041731">
          <w:marLeft w:val="0"/>
          <w:marRight w:val="0"/>
          <w:marTop w:val="0"/>
          <w:marBottom w:val="0"/>
          <w:divBdr>
            <w:top w:val="none" w:sz="0" w:space="0" w:color="auto"/>
            <w:left w:val="none" w:sz="0" w:space="0" w:color="auto"/>
            <w:bottom w:val="none" w:sz="0" w:space="0" w:color="auto"/>
            <w:right w:val="none" w:sz="0" w:space="0" w:color="auto"/>
          </w:divBdr>
        </w:div>
        <w:div w:id="56559512">
          <w:marLeft w:val="0"/>
          <w:marRight w:val="0"/>
          <w:marTop w:val="0"/>
          <w:marBottom w:val="0"/>
          <w:divBdr>
            <w:top w:val="none" w:sz="0" w:space="0" w:color="auto"/>
            <w:left w:val="none" w:sz="0" w:space="0" w:color="auto"/>
            <w:bottom w:val="none" w:sz="0" w:space="0" w:color="auto"/>
            <w:right w:val="none" w:sz="0" w:space="0" w:color="auto"/>
          </w:divBdr>
        </w:div>
        <w:div w:id="1776560064">
          <w:marLeft w:val="0"/>
          <w:marRight w:val="0"/>
          <w:marTop w:val="0"/>
          <w:marBottom w:val="0"/>
          <w:divBdr>
            <w:top w:val="none" w:sz="0" w:space="0" w:color="auto"/>
            <w:left w:val="none" w:sz="0" w:space="0" w:color="auto"/>
            <w:bottom w:val="none" w:sz="0" w:space="0" w:color="auto"/>
            <w:right w:val="none" w:sz="0" w:space="0" w:color="auto"/>
          </w:divBdr>
        </w:div>
      </w:divsChild>
    </w:div>
    <w:div w:id="2014798748">
      <w:bodyDiv w:val="1"/>
      <w:marLeft w:val="0"/>
      <w:marRight w:val="0"/>
      <w:marTop w:val="0"/>
      <w:marBottom w:val="0"/>
      <w:divBdr>
        <w:top w:val="none" w:sz="0" w:space="0" w:color="auto"/>
        <w:left w:val="none" w:sz="0" w:space="0" w:color="auto"/>
        <w:bottom w:val="none" w:sz="0" w:space="0" w:color="auto"/>
        <w:right w:val="none" w:sz="0" w:space="0" w:color="auto"/>
      </w:divBdr>
    </w:div>
    <w:div w:id="2028171091">
      <w:bodyDiv w:val="1"/>
      <w:marLeft w:val="0"/>
      <w:marRight w:val="0"/>
      <w:marTop w:val="0"/>
      <w:marBottom w:val="0"/>
      <w:divBdr>
        <w:top w:val="none" w:sz="0" w:space="0" w:color="auto"/>
        <w:left w:val="none" w:sz="0" w:space="0" w:color="auto"/>
        <w:bottom w:val="none" w:sz="0" w:space="0" w:color="auto"/>
        <w:right w:val="none" w:sz="0" w:space="0" w:color="auto"/>
      </w:divBdr>
    </w:div>
    <w:div w:id="2124377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2.xml"/><Relationship Id="rId18" Type="http://schemas.openxmlformats.org/officeDocument/2006/relationships/chart" Target="charts/chart7.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chart" Target="charts/chart4.xml"/><Relationship Id="rId23" Type="http://schemas.openxmlformats.org/officeDocument/2006/relationships/theme" Target="theme/theme1.xml"/><Relationship Id="rId28" Type="http://schemas.microsoft.com/office/2011/relationships/commentsExtended" Target="commentsExtended.xml"/><Relationship Id="rId10" Type="http://schemas.openxmlformats.org/officeDocument/2006/relationships/image" Target="media/image2.jpeg"/><Relationship Id="rId19" Type="http://schemas.openxmlformats.org/officeDocument/2006/relationships/chart" Target="charts/chart8.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chart" Target="charts/chart3.xml"/><Relationship Id="rId22" Type="http://schemas.openxmlformats.org/officeDocument/2006/relationships/fontTable" Target="fontTable.xml"/><Relationship Id="rId27" Type="http://schemas.microsoft.com/office/2016/09/relationships/commentsIds" Target="commentsIds.xml"/></Relationships>
</file>

<file path=word/charts/_rels/chart1.xml.rels><?xml version="1.0" encoding="UTF-8" standalone="yes"?>
<Relationships xmlns="http://schemas.openxmlformats.org/package/2006/relationships"><Relationship Id="rId2" Type="http://schemas.openxmlformats.org/officeDocument/2006/relationships/oleObject" Target="file:///E:\UCL%20Work\Dissertation\Organised%20data%20.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E:\UCL%20Work\Dissertation\Organised%20data%20.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E:\UCL%20Work\Dissertation\Organised%20data%20.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E:\UCL%20Work\Dissertation\Organised%20data%20.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E:\UCL%20Work\Dissertation\Organised%20data%20.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E:\UCL%20Work\Dissertation\Organised%20data%20.xlsx" TargetMode="External"/><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oleObject" Target="file:///E:\UCL%20Work\Dissertation\Organised%20data%20.xlsx" TargetMode="External"/><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oleObject" Target="file:///E:\UCL%20Work\Dissertation\Organised%20data%20.xlsx" TargetMode="External"/><Relationship Id="rId1" Type="http://schemas.openxmlformats.org/officeDocument/2006/relationships/themeOverride" Target="../theme/themeOverrid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200">
                <a:solidFill>
                  <a:sysClr val="windowText" lastClr="000000"/>
                </a:solidFill>
                <a:effectLst/>
              </a:rPr>
              <a:t>Comparison of the Prevalence (%) of the Identified Diseases Separated by Sex in the Coffin Sample</a:t>
            </a:r>
          </a:p>
        </c:rich>
      </c:tx>
      <c:layout>
        <c:manualLayout>
          <c:xMode val="edge"/>
          <c:yMode val="edge"/>
          <c:x val="0.14871837828782064"/>
          <c:y val="4.1875275590551146E-2"/>
        </c:manualLayout>
      </c:layout>
      <c:overlay val="0"/>
      <c:spPr>
        <a:noFill/>
        <a:ln>
          <a:noFill/>
        </a:ln>
        <a:effectLst/>
      </c:spPr>
    </c:title>
    <c:autoTitleDeleted val="0"/>
    <c:plotArea>
      <c:layout>
        <c:manualLayout>
          <c:layoutTarget val="inner"/>
          <c:xMode val="edge"/>
          <c:yMode val="edge"/>
          <c:x val="0.12200759479533144"/>
          <c:y val="0.21144000000000018"/>
          <c:w val="0.83071108132760008"/>
          <c:h val="0.47550614173228367"/>
        </c:manualLayout>
      </c:layout>
      <c:barChart>
        <c:barDir val="col"/>
        <c:grouping val="clustered"/>
        <c:varyColors val="0"/>
        <c:ser>
          <c:idx val="0"/>
          <c:order val="0"/>
          <c:tx>
            <c:strRef>
              <c:f>'Analysis '!$S$4</c:f>
              <c:strCache>
                <c:ptCount val="1"/>
                <c:pt idx="0">
                  <c:v>Male Coffin</c:v>
                </c:pt>
              </c:strCache>
            </c:strRef>
          </c:tx>
          <c:spPr>
            <a:solidFill>
              <a:schemeClr val="accent2"/>
            </a:solidFill>
            <a:ln>
              <a:noFill/>
            </a:ln>
            <a:effectLst/>
          </c:spPr>
          <c:invertIfNegative val="0"/>
          <c:cat>
            <c:strRef>
              <c:f>'Analysis '!$R$5:$R$11</c:f>
              <c:strCache>
                <c:ptCount val="6"/>
                <c:pt idx="0">
                  <c:v>GH OA</c:v>
                </c:pt>
                <c:pt idx="1">
                  <c:v>ACJ OA</c:v>
                </c:pt>
                <c:pt idx="2">
                  <c:v>RCD </c:v>
                </c:pt>
                <c:pt idx="3">
                  <c:v>Impingement</c:v>
                </c:pt>
                <c:pt idx="4">
                  <c:v>Humeral Fracture</c:v>
                </c:pt>
                <c:pt idx="5">
                  <c:v>Clavicular Fracture </c:v>
                </c:pt>
              </c:strCache>
            </c:strRef>
          </c:cat>
          <c:val>
            <c:numRef>
              <c:f>'Analysis '!$S$5:$S$11</c:f>
              <c:numCache>
                <c:formatCode>0%</c:formatCode>
                <c:ptCount val="7"/>
                <c:pt idx="0">
                  <c:v>0.45</c:v>
                </c:pt>
                <c:pt idx="1">
                  <c:v>0.59000000000000019</c:v>
                </c:pt>
                <c:pt idx="2">
                  <c:v>0.2400000000000001</c:v>
                </c:pt>
                <c:pt idx="3">
                  <c:v>8.0000000000000057E-2</c:v>
                </c:pt>
                <c:pt idx="4">
                  <c:v>3.0000000000000016E-2</c:v>
                </c:pt>
                <c:pt idx="5">
                  <c:v>3.0000000000000016E-2</c:v>
                </c:pt>
              </c:numCache>
            </c:numRef>
          </c:val>
          <c:extLst xmlns:c16r2="http://schemas.microsoft.com/office/drawing/2015/06/chart">
            <c:ext xmlns:c16="http://schemas.microsoft.com/office/drawing/2014/chart" uri="{C3380CC4-5D6E-409C-BE32-E72D297353CC}">
              <c16:uniqueId val="{00000000-F1BE-479E-BB0D-FC43B4D09DBE}"/>
            </c:ext>
          </c:extLst>
        </c:ser>
        <c:ser>
          <c:idx val="1"/>
          <c:order val="1"/>
          <c:tx>
            <c:strRef>
              <c:f>'Analysis '!$T$4</c:f>
              <c:strCache>
                <c:ptCount val="1"/>
                <c:pt idx="0">
                  <c:v>Female Coffin</c:v>
                </c:pt>
              </c:strCache>
            </c:strRef>
          </c:tx>
          <c:spPr>
            <a:solidFill>
              <a:schemeClr val="accent1"/>
            </a:solidFill>
            <a:ln>
              <a:noFill/>
            </a:ln>
            <a:effectLst/>
          </c:spPr>
          <c:invertIfNegative val="0"/>
          <c:cat>
            <c:strRef>
              <c:f>'Analysis '!$R$5:$R$11</c:f>
              <c:strCache>
                <c:ptCount val="6"/>
                <c:pt idx="0">
                  <c:v>GH OA</c:v>
                </c:pt>
                <c:pt idx="1">
                  <c:v>ACJ OA</c:v>
                </c:pt>
                <c:pt idx="2">
                  <c:v>RCD </c:v>
                </c:pt>
                <c:pt idx="3">
                  <c:v>Impingement</c:v>
                </c:pt>
                <c:pt idx="4">
                  <c:v>Humeral Fracture</c:v>
                </c:pt>
                <c:pt idx="5">
                  <c:v>Clavicular Fracture </c:v>
                </c:pt>
              </c:strCache>
            </c:strRef>
          </c:cat>
          <c:val>
            <c:numRef>
              <c:f>'Analysis '!$T$5:$T$11</c:f>
              <c:numCache>
                <c:formatCode>0%</c:formatCode>
                <c:ptCount val="7"/>
                <c:pt idx="0">
                  <c:v>0.19000000000000006</c:v>
                </c:pt>
                <c:pt idx="1">
                  <c:v>0.2400000000000001</c:v>
                </c:pt>
                <c:pt idx="2">
                  <c:v>0.1</c:v>
                </c:pt>
              </c:numCache>
            </c:numRef>
          </c:val>
          <c:extLst xmlns:c16r2="http://schemas.microsoft.com/office/drawing/2015/06/chart">
            <c:ext xmlns:c16="http://schemas.microsoft.com/office/drawing/2014/chart" uri="{C3380CC4-5D6E-409C-BE32-E72D297353CC}">
              <c16:uniqueId val="{00000001-F1BE-479E-BB0D-FC43B4D09DBE}"/>
            </c:ext>
          </c:extLst>
        </c:ser>
        <c:dLbls>
          <c:showLegendKey val="0"/>
          <c:showVal val="0"/>
          <c:showCatName val="0"/>
          <c:showSerName val="0"/>
          <c:showPercent val="0"/>
          <c:showBubbleSize val="0"/>
        </c:dLbls>
        <c:gapWidth val="219"/>
        <c:overlap val="-27"/>
        <c:axId val="120741376"/>
        <c:axId val="122993408"/>
      </c:barChart>
      <c:catAx>
        <c:axId val="120741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Disease Type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993408"/>
        <c:crosses val="autoZero"/>
        <c:auto val="1"/>
        <c:lblAlgn val="ctr"/>
        <c:lblOffset val="100"/>
        <c:noMultiLvlLbl val="0"/>
      </c:catAx>
      <c:valAx>
        <c:axId val="122993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Prevalence (%) </a:t>
                </a:r>
                <a:endParaRPr lang="en-US"/>
              </a:p>
            </c:rich>
          </c:tx>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741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ysClr val="window" lastClr="FFFFFF">
          <a:lumMod val="95000"/>
        </a:sys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200" b="0" i="0" baseline="0">
                <a:solidFill>
                  <a:sysClr val="windowText" lastClr="000000"/>
                </a:solidFill>
                <a:effectLst/>
              </a:rPr>
              <a:t>Comparison of the Prevalence (%) of the Identified Diseases Separated by Age in the Coffin Sample</a:t>
            </a:r>
            <a:endParaRPr lang="en-US" sz="1200">
              <a:solidFill>
                <a:sysClr val="windowText" lastClr="000000"/>
              </a:solidFill>
              <a:effectLst/>
            </a:endParaRPr>
          </a:p>
        </c:rich>
      </c:tx>
      <c:layout>
        <c:manualLayout>
          <c:xMode val="edge"/>
          <c:yMode val="edge"/>
          <c:x val="0.15883822905370371"/>
          <c:y val="3.4883720930232558E-2"/>
        </c:manualLayout>
      </c:layout>
      <c:overlay val="0"/>
      <c:spPr>
        <a:noFill/>
        <a:ln>
          <a:noFill/>
        </a:ln>
        <a:effectLst/>
      </c:spPr>
    </c:title>
    <c:autoTitleDeleted val="0"/>
    <c:plotArea>
      <c:layout/>
      <c:barChart>
        <c:barDir val="col"/>
        <c:grouping val="clustered"/>
        <c:varyColors val="0"/>
        <c:ser>
          <c:idx val="0"/>
          <c:order val="0"/>
          <c:tx>
            <c:strRef>
              <c:f>'Analysis '!$S$16</c:f>
              <c:strCache>
                <c:ptCount val="1"/>
                <c:pt idx="0">
                  <c:v>Aged 20-39</c:v>
                </c:pt>
              </c:strCache>
            </c:strRef>
          </c:tx>
          <c:spPr>
            <a:solidFill>
              <a:schemeClr val="accent1"/>
            </a:solidFill>
            <a:ln>
              <a:noFill/>
            </a:ln>
            <a:effectLst/>
          </c:spPr>
          <c:invertIfNegative val="0"/>
          <c:cat>
            <c:strRef>
              <c:f>'Analysis '!$R$17:$R$22</c:f>
              <c:strCache>
                <c:ptCount val="6"/>
                <c:pt idx="0">
                  <c:v>GH OA</c:v>
                </c:pt>
                <c:pt idx="1">
                  <c:v>ACJ OA </c:v>
                </c:pt>
                <c:pt idx="2">
                  <c:v>RCD </c:v>
                </c:pt>
                <c:pt idx="3">
                  <c:v>Impingement</c:v>
                </c:pt>
                <c:pt idx="4">
                  <c:v>Humeral Fracture</c:v>
                </c:pt>
                <c:pt idx="5">
                  <c:v>Clavicular Fracture </c:v>
                </c:pt>
              </c:strCache>
            </c:strRef>
          </c:cat>
          <c:val>
            <c:numRef>
              <c:f>'Analysis '!$S$17:$S$22</c:f>
              <c:numCache>
                <c:formatCode>0%</c:formatCode>
                <c:ptCount val="6"/>
                <c:pt idx="0">
                  <c:v>0.19444444444444467</c:v>
                </c:pt>
                <c:pt idx="1">
                  <c:v>0.30303030303030326</c:v>
                </c:pt>
                <c:pt idx="2">
                  <c:v>0.1111111111111111</c:v>
                </c:pt>
                <c:pt idx="3">
                  <c:v>5.5555555555555504E-2</c:v>
                </c:pt>
                <c:pt idx="4">
                  <c:v>2.7777777777777821E-2</c:v>
                </c:pt>
                <c:pt idx="5">
                  <c:v>2.9411764705882353E-2</c:v>
                </c:pt>
              </c:numCache>
            </c:numRef>
          </c:val>
          <c:extLst xmlns:c16r2="http://schemas.microsoft.com/office/drawing/2015/06/chart">
            <c:ext xmlns:c16="http://schemas.microsoft.com/office/drawing/2014/chart" uri="{C3380CC4-5D6E-409C-BE32-E72D297353CC}">
              <c16:uniqueId val="{00000000-DBE7-43EF-A600-AFF724C647A7}"/>
            </c:ext>
          </c:extLst>
        </c:ser>
        <c:ser>
          <c:idx val="1"/>
          <c:order val="1"/>
          <c:tx>
            <c:strRef>
              <c:f>'Analysis '!$T$16</c:f>
              <c:strCache>
                <c:ptCount val="1"/>
                <c:pt idx="0">
                  <c:v>Aged 40+</c:v>
                </c:pt>
              </c:strCache>
            </c:strRef>
          </c:tx>
          <c:spPr>
            <a:solidFill>
              <a:schemeClr val="accent2"/>
            </a:solidFill>
            <a:ln>
              <a:noFill/>
            </a:ln>
            <a:effectLst/>
          </c:spPr>
          <c:invertIfNegative val="0"/>
          <c:cat>
            <c:strRef>
              <c:f>'Analysis '!$R$17:$R$22</c:f>
              <c:strCache>
                <c:ptCount val="6"/>
                <c:pt idx="0">
                  <c:v>GH OA</c:v>
                </c:pt>
                <c:pt idx="1">
                  <c:v>ACJ OA </c:v>
                </c:pt>
                <c:pt idx="2">
                  <c:v>RCD </c:v>
                </c:pt>
                <c:pt idx="3">
                  <c:v>Impingement</c:v>
                </c:pt>
                <c:pt idx="4">
                  <c:v>Humeral Fracture</c:v>
                </c:pt>
                <c:pt idx="5">
                  <c:v>Clavicular Fracture </c:v>
                </c:pt>
              </c:strCache>
            </c:strRef>
          </c:cat>
          <c:val>
            <c:numRef>
              <c:f>'Analysis '!$T$17:$T$22</c:f>
              <c:numCache>
                <c:formatCode>0%</c:formatCode>
                <c:ptCount val="6"/>
                <c:pt idx="0">
                  <c:v>0.48484848484848514</c:v>
                </c:pt>
                <c:pt idx="1">
                  <c:v>0.5757575757575758</c:v>
                </c:pt>
                <c:pt idx="2">
                  <c:v>0.24242424242424254</c:v>
                </c:pt>
                <c:pt idx="3">
                  <c:v>3.0303030303030311E-2</c:v>
                </c:pt>
                <c:pt idx="4">
                  <c:v>0</c:v>
                </c:pt>
                <c:pt idx="5">
                  <c:v>0</c:v>
                </c:pt>
              </c:numCache>
            </c:numRef>
          </c:val>
          <c:extLst xmlns:c16r2="http://schemas.microsoft.com/office/drawing/2015/06/chart">
            <c:ext xmlns:c16="http://schemas.microsoft.com/office/drawing/2014/chart" uri="{C3380CC4-5D6E-409C-BE32-E72D297353CC}">
              <c16:uniqueId val="{00000001-DBE7-43EF-A600-AFF724C647A7}"/>
            </c:ext>
          </c:extLst>
        </c:ser>
        <c:dLbls>
          <c:showLegendKey val="0"/>
          <c:showVal val="0"/>
          <c:showCatName val="0"/>
          <c:showSerName val="0"/>
          <c:showPercent val="0"/>
          <c:showBubbleSize val="0"/>
        </c:dLbls>
        <c:gapWidth val="219"/>
        <c:overlap val="-27"/>
        <c:axId val="125943808"/>
        <c:axId val="129385024"/>
      </c:barChart>
      <c:catAx>
        <c:axId val="125943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Disease Type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385024"/>
        <c:crosses val="autoZero"/>
        <c:auto val="1"/>
        <c:lblAlgn val="ctr"/>
        <c:lblOffset val="100"/>
        <c:noMultiLvlLbl val="0"/>
      </c:catAx>
      <c:valAx>
        <c:axId val="129385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Percentage (%)</a:t>
                </a:r>
              </a:p>
            </c:rich>
          </c:tx>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943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ysClr val="window" lastClr="FFFFFF">
          <a:lumMod val="95000"/>
        </a:sys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GB" sz="1200" b="0">
                <a:effectLst/>
              </a:rPr>
              <a:t>Comparison of the Prevalence (%) of the Identified Diseases Separated by Age and Sex in the Coffin Sample</a:t>
            </a:r>
          </a:p>
        </c:rich>
      </c:tx>
      <c:layout>
        <c:manualLayout>
          <c:xMode val="edge"/>
          <c:yMode val="edge"/>
          <c:x val="0.1568735550885286"/>
          <c:y val="1.2487676204061085E-2"/>
        </c:manualLayout>
      </c:layout>
      <c:overlay val="0"/>
    </c:title>
    <c:autoTitleDeleted val="0"/>
    <c:plotArea>
      <c:layout>
        <c:manualLayout>
          <c:layoutTarget val="inner"/>
          <c:xMode val="edge"/>
          <c:yMode val="edge"/>
          <c:x val="0.21797758363566966"/>
          <c:y val="0.18899750814644456"/>
          <c:w val="0.49748619232153041"/>
          <c:h val="0.71496395038026761"/>
        </c:manualLayout>
      </c:layout>
      <c:barChart>
        <c:barDir val="bar"/>
        <c:grouping val="clustered"/>
        <c:varyColors val="0"/>
        <c:ser>
          <c:idx val="0"/>
          <c:order val="0"/>
          <c:tx>
            <c:strRef>
              <c:f>'Analysis '!$AD$45</c:f>
              <c:strCache>
                <c:ptCount val="1"/>
                <c:pt idx="0">
                  <c:v>Male Aged 20-39</c:v>
                </c:pt>
              </c:strCache>
            </c:strRef>
          </c:tx>
          <c:invertIfNegative val="0"/>
          <c:cat>
            <c:strRef>
              <c:f>'Analysis '!$AC$46:$AC$51</c:f>
              <c:strCache>
                <c:ptCount val="6"/>
                <c:pt idx="0">
                  <c:v>GH OA</c:v>
                </c:pt>
                <c:pt idx="1">
                  <c:v>ACJ OA</c:v>
                </c:pt>
                <c:pt idx="2">
                  <c:v>RCD </c:v>
                </c:pt>
                <c:pt idx="3">
                  <c:v>Impingement</c:v>
                </c:pt>
                <c:pt idx="4">
                  <c:v>Humeral Fracture</c:v>
                </c:pt>
                <c:pt idx="5">
                  <c:v>Clavicular Fracture </c:v>
                </c:pt>
              </c:strCache>
            </c:strRef>
          </c:cat>
          <c:val>
            <c:numRef>
              <c:f>'Analysis '!$AD$46:$AD$51</c:f>
              <c:numCache>
                <c:formatCode>0%</c:formatCode>
                <c:ptCount val="6"/>
                <c:pt idx="0">
                  <c:v>-0.26</c:v>
                </c:pt>
                <c:pt idx="1">
                  <c:v>-0.39000000000000024</c:v>
                </c:pt>
                <c:pt idx="2">
                  <c:v>-0.16</c:v>
                </c:pt>
                <c:pt idx="3">
                  <c:v>-0.11</c:v>
                </c:pt>
                <c:pt idx="4">
                  <c:v>-0.05</c:v>
                </c:pt>
                <c:pt idx="5">
                  <c:v>-6.0000000000000032E-2</c:v>
                </c:pt>
              </c:numCache>
            </c:numRef>
          </c:val>
          <c:extLst xmlns:c16r2="http://schemas.microsoft.com/office/drawing/2015/06/chart">
            <c:ext xmlns:c16="http://schemas.microsoft.com/office/drawing/2014/chart" uri="{C3380CC4-5D6E-409C-BE32-E72D297353CC}">
              <c16:uniqueId val="{00000000-5396-453A-858A-8015143D0427}"/>
            </c:ext>
          </c:extLst>
        </c:ser>
        <c:ser>
          <c:idx val="1"/>
          <c:order val="1"/>
          <c:tx>
            <c:strRef>
              <c:f>'Analysis '!$AE$45</c:f>
              <c:strCache>
                <c:ptCount val="1"/>
                <c:pt idx="0">
                  <c:v>Female Aged 20-39</c:v>
                </c:pt>
              </c:strCache>
            </c:strRef>
          </c:tx>
          <c:spPr>
            <a:solidFill>
              <a:schemeClr val="accent2"/>
            </a:solidFill>
          </c:spPr>
          <c:invertIfNegative val="0"/>
          <c:cat>
            <c:strRef>
              <c:f>'Analysis '!$AC$46:$AC$51</c:f>
              <c:strCache>
                <c:ptCount val="6"/>
                <c:pt idx="0">
                  <c:v>GH OA</c:v>
                </c:pt>
                <c:pt idx="1">
                  <c:v>ACJ OA</c:v>
                </c:pt>
                <c:pt idx="2">
                  <c:v>RCD </c:v>
                </c:pt>
                <c:pt idx="3">
                  <c:v>Impingement</c:v>
                </c:pt>
                <c:pt idx="4">
                  <c:v>Humeral Fracture</c:v>
                </c:pt>
                <c:pt idx="5">
                  <c:v>Clavicular Fracture </c:v>
                </c:pt>
              </c:strCache>
            </c:strRef>
          </c:cat>
          <c:val>
            <c:numRef>
              <c:f>'Analysis '!$AE$46:$AE$51</c:f>
              <c:numCache>
                <c:formatCode>0%</c:formatCode>
                <c:ptCount val="6"/>
                <c:pt idx="0">
                  <c:v>-0.12000000000000002</c:v>
                </c:pt>
                <c:pt idx="1">
                  <c:v>-0.2</c:v>
                </c:pt>
                <c:pt idx="2">
                  <c:v>-6.0000000000000032E-2</c:v>
                </c:pt>
              </c:numCache>
            </c:numRef>
          </c:val>
          <c:extLst xmlns:c16r2="http://schemas.microsoft.com/office/drawing/2015/06/chart">
            <c:ext xmlns:c16="http://schemas.microsoft.com/office/drawing/2014/chart" uri="{C3380CC4-5D6E-409C-BE32-E72D297353CC}">
              <c16:uniqueId val="{00000001-5396-453A-858A-8015143D0427}"/>
            </c:ext>
          </c:extLst>
        </c:ser>
        <c:ser>
          <c:idx val="2"/>
          <c:order val="2"/>
          <c:tx>
            <c:strRef>
              <c:f>'Analysis '!$AF$45</c:f>
              <c:strCache>
                <c:ptCount val="1"/>
                <c:pt idx="0">
                  <c:v>Male Aged 40+</c:v>
                </c:pt>
              </c:strCache>
            </c:strRef>
          </c:tx>
          <c:spPr>
            <a:solidFill>
              <a:schemeClr val="accent1">
                <a:lumMod val="40000"/>
                <a:lumOff val="60000"/>
              </a:schemeClr>
            </a:solidFill>
          </c:spPr>
          <c:invertIfNegative val="0"/>
          <c:cat>
            <c:strRef>
              <c:f>'Analysis '!$AC$46:$AC$51</c:f>
              <c:strCache>
                <c:ptCount val="6"/>
                <c:pt idx="0">
                  <c:v>GH OA</c:v>
                </c:pt>
                <c:pt idx="1">
                  <c:v>ACJ OA</c:v>
                </c:pt>
                <c:pt idx="2">
                  <c:v>RCD </c:v>
                </c:pt>
                <c:pt idx="3">
                  <c:v>Impingement</c:v>
                </c:pt>
                <c:pt idx="4">
                  <c:v>Humeral Fracture</c:v>
                </c:pt>
                <c:pt idx="5">
                  <c:v>Clavicular Fracture </c:v>
                </c:pt>
              </c:strCache>
            </c:strRef>
          </c:cat>
          <c:val>
            <c:numRef>
              <c:f>'Analysis '!$AF$46:$AF$51</c:f>
              <c:numCache>
                <c:formatCode>0%</c:formatCode>
                <c:ptCount val="6"/>
                <c:pt idx="0">
                  <c:v>0.63000000000000045</c:v>
                </c:pt>
                <c:pt idx="1">
                  <c:v>0.79</c:v>
                </c:pt>
                <c:pt idx="2">
                  <c:v>0.32000000000000023</c:v>
                </c:pt>
                <c:pt idx="3">
                  <c:v>0.05</c:v>
                </c:pt>
              </c:numCache>
            </c:numRef>
          </c:val>
          <c:extLst xmlns:c16r2="http://schemas.microsoft.com/office/drawing/2015/06/chart">
            <c:ext xmlns:c16="http://schemas.microsoft.com/office/drawing/2014/chart" uri="{C3380CC4-5D6E-409C-BE32-E72D297353CC}">
              <c16:uniqueId val="{00000002-5396-453A-858A-8015143D0427}"/>
            </c:ext>
          </c:extLst>
        </c:ser>
        <c:ser>
          <c:idx val="3"/>
          <c:order val="3"/>
          <c:tx>
            <c:strRef>
              <c:f>'Analysis '!$AG$45</c:f>
              <c:strCache>
                <c:ptCount val="1"/>
                <c:pt idx="0">
                  <c:v>Female Aged 40+</c:v>
                </c:pt>
              </c:strCache>
            </c:strRef>
          </c:tx>
          <c:spPr>
            <a:solidFill>
              <a:schemeClr val="accent2">
                <a:lumMod val="60000"/>
                <a:lumOff val="40000"/>
              </a:schemeClr>
            </a:solidFill>
          </c:spPr>
          <c:invertIfNegative val="0"/>
          <c:cat>
            <c:strRef>
              <c:f>'Analysis '!$AC$46:$AC$51</c:f>
              <c:strCache>
                <c:ptCount val="6"/>
                <c:pt idx="0">
                  <c:v>GH OA</c:v>
                </c:pt>
                <c:pt idx="1">
                  <c:v>ACJ OA</c:v>
                </c:pt>
                <c:pt idx="2">
                  <c:v>RCD </c:v>
                </c:pt>
                <c:pt idx="3">
                  <c:v>Impingement</c:v>
                </c:pt>
                <c:pt idx="4">
                  <c:v>Humeral Fracture</c:v>
                </c:pt>
                <c:pt idx="5">
                  <c:v>Clavicular Fracture </c:v>
                </c:pt>
              </c:strCache>
            </c:strRef>
          </c:cat>
          <c:val>
            <c:numRef>
              <c:f>'Analysis '!$AG$46:$AG$51</c:f>
              <c:numCache>
                <c:formatCode>0%</c:formatCode>
                <c:ptCount val="6"/>
                <c:pt idx="0">
                  <c:v>0.2900000000000002</c:v>
                </c:pt>
                <c:pt idx="1">
                  <c:v>0.2900000000000002</c:v>
                </c:pt>
                <c:pt idx="2">
                  <c:v>0.14000000000000001</c:v>
                </c:pt>
              </c:numCache>
            </c:numRef>
          </c:val>
          <c:extLst xmlns:c16r2="http://schemas.microsoft.com/office/drawing/2015/06/chart">
            <c:ext xmlns:c16="http://schemas.microsoft.com/office/drawing/2014/chart" uri="{C3380CC4-5D6E-409C-BE32-E72D297353CC}">
              <c16:uniqueId val="{00000003-5396-453A-858A-8015143D0427}"/>
            </c:ext>
          </c:extLst>
        </c:ser>
        <c:dLbls>
          <c:showLegendKey val="0"/>
          <c:showVal val="0"/>
          <c:showCatName val="0"/>
          <c:showSerName val="0"/>
          <c:showPercent val="0"/>
          <c:showBubbleSize val="0"/>
        </c:dLbls>
        <c:gapWidth val="150"/>
        <c:overlap val="6"/>
        <c:axId val="122281984"/>
        <c:axId val="129386752"/>
      </c:barChart>
      <c:catAx>
        <c:axId val="122281984"/>
        <c:scaling>
          <c:orientation val="minMax"/>
        </c:scaling>
        <c:delete val="0"/>
        <c:axPos val="l"/>
        <c:numFmt formatCode="General" sourceLinked="0"/>
        <c:majorTickMark val="none"/>
        <c:minorTickMark val="none"/>
        <c:tickLblPos val="low"/>
        <c:crossAx val="129386752"/>
        <c:crosses val="autoZero"/>
        <c:auto val="1"/>
        <c:lblAlgn val="ctr"/>
        <c:lblOffset val="100"/>
        <c:noMultiLvlLbl val="0"/>
      </c:catAx>
      <c:valAx>
        <c:axId val="129386752"/>
        <c:scaling>
          <c:orientation val="minMax"/>
          <c:min val="-1"/>
        </c:scaling>
        <c:delete val="0"/>
        <c:axPos val="b"/>
        <c:majorGridlines/>
        <c:numFmt formatCode="0%" sourceLinked="1"/>
        <c:majorTickMark val="none"/>
        <c:minorTickMark val="none"/>
        <c:tickLblPos val="low"/>
        <c:crossAx val="122281984"/>
        <c:crosses val="autoZero"/>
        <c:crossBetween val="between"/>
      </c:valAx>
    </c:plotArea>
    <c:legend>
      <c:legendPos val="r"/>
      <c:overlay val="0"/>
    </c:legend>
    <c:plotVisOnly val="1"/>
    <c:dispBlanksAs val="gap"/>
    <c:showDLblsOverMax val="0"/>
  </c:chart>
  <c:spPr>
    <a:ln>
      <a:solidFill>
        <a:sysClr val="window" lastClr="FFFFFF">
          <a:lumMod val="95000"/>
        </a:sysClr>
      </a:solidFill>
    </a:ln>
  </c:sp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200" b="0" i="0" baseline="0">
                <a:solidFill>
                  <a:sysClr val="windowText" lastClr="000000"/>
                </a:solidFill>
                <a:effectLst/>
              </a:rPr>
              <a:t>Comparison of the Prevalence (%) of the Identified Diseases Separated by Side in the Coffin Sample </a:t>
            </a:r>
            <a:endParaRPr lang="en-US" sz="1200">
              <a:solidFill>
                <a:sysClr val="windowText" lastClr="000000"/>
              </a:solidFill>
              <a:effectLst/>
            </a:endParaRPr>
          </a:p>
        </c:rich>
      </c:tx>
      <c:overlay val="0"/>
      <c:spPr>
        <a:noFill/>
        <a:ln>
          <a:noFill/>
        </a:ln>
        <a:effectLst/>
      </c:spPr>
    </c:title>
    <c:autoTitleDeleted val="0"/>
    <c:plotArea>
      <c:layout/>
      <c:barChart>
        <c:barDir val="bar"/>
        <c:grouping val="clustered"/>
        <c:varyColors val="0"/>
        <c:ser>
          <c:idx val="0"/>
          <c:order val="0"/>
          <c:tx>
            <c:strRef>
              <c:f>'Analysis '!$R$39</c:f>
              <c:strCache>
                <c:ptCount val="1"/>
                <c:pt idx="0">
                  <c:v>Left Side</c:v>
                </c:pt>
              </c:strCache>
            </c:strRef>
          </c:tx>
          <c:spPr>
            <a:solidFill>
              <a:schemeClr val="accent1"/>
            </a:solidFill>
            <a:ln>
              <a:noFill/>
            </a:ln>
            <a:effectLst/>
          </c:spPr>
          <c:invertIfNegative val="0"/>
          <c:cat>
            <c:strRef>
              <c:f>'Analysis '!$Q$40:$Q$45</c:f>
              <c:strCache>
                <c:ptCount val="6"/>
                <c:pt idx="0">
                  <c:v>GH OA</c:v>
                </c:pt>
                <c:pt idx="1">
                  <c:v>ACJ OA</c:v>
                </c:pt>
                <c:pt idx="2">
                  <c:v>RCD</c:v>
                </c:pt>
                <c:pt idx="3">
                  <c:v>Impingement</c:v>
                </c:pt>
                <c:pt idx="4">
                  <c:v>Humeral Fracture</c:v>
                </c:pt>
                <c:pt idx="5">
                  <c:v>Clavicular Fracture</c:v>
                </c:pt>
              </c:strCache>
            </c:strRef>
          </c:cat>
          <c:val>
            <c:numRef>
              <c:f>'Analysis '!$R$40:$R$45</c:f>
              <c:numCache>
                <c:formatCode>0%</c:formatCode>
                <c:ptCount val="6"/>
                <c:pt idx="0">
                  <c:v>-0.27</c:v>
                </c:pt>
                <c:pt idx="1">
                  <c:v>-0.34</c:v>
                </c:pt>
                <c:pt idx="2">
                  <c:v>-0.13</c:v>
                </c:pt>
                <c:pt idx="3">
                  <c:v>-3.0000000000000002E-2</c:v>
                </c:pt>
                <c:pt idx="4">
                  <c:v>-2.0000000000000011E-2</c:v>
                </c:pt>
                <c:pt idx="5">
                  <c:v>-2.0000000000000011E-2</c:v>
                </c:pt>
              </c:numCache>
            </c:numRef>
          </c:val>
          <c:extLst xmlns:c16r2="http://schemas.microsoft.com/office/drawing/2015/06/chart">
            <c:ext xmlns:c16="http://schemas.microsoft.com/office/drawing/2014/chart" uri="{C3380CC4-5D6E-409C-BE32-E72D297353CC}">
              <c16:uniqueId val="{00000000-7BBE-4CA5-9F48-3DCD8E11915B}"/>
            </c:ext>
          </c:extLst>
        </c:ser>
        <c:ser>
          <c:idx val="1"/>
          <c:order val="1"/>
          <c:tx>
            <c:strRef>
              <c:f>'Analysis '!$S$39</c:f>
              <c:strCache>
                <c:ptCount val="1"/>
                <c:pt idx="0">
                  <c:v>Right Side </c:v>
                </c:pt>
              </c:strCache>
            </c:strRef>
          </c:tx>
          <c:spPr>
            <a:solidFill>
              <a:schemeClr val="accent2"/>
            </a:solidFill>
            <a:ln>
              <a:noFill/>
            </a:ln>
            <a:effectLst/>
          </c:spPr>
          <c:invertIfNegative val="0"/>
          <c:cat>
            <c:strRef>
              <c:f>'Analysis '!$Q$40:$Q$45</c:f>
              <c:strCache>
                <c:ptCount val="6"/>
                <c:pt idx="0">
                  <c:v>GH OA</c:v>
                </c:pt>
                <c:pt idx="1">
                  <c:v>ACJ OA</c:v>
                </c:pt>
                <c:pt idx="2">
                  <c:v>RCD</c:v>
                </c:pt>
                <c:pt idx="3">
                  <c:v>Impingement</c:v>
                </c:pt>
                <c:pt idx="4">
                  <c:v>Humeral Fracture</c:v>
                </c:pt>
                <c:pt idx="5">
                  <c:v>Clavicular Fracture</c:v>
                </c:pt>
              </c:strCache>
            </c:strRef>
          </c:cat>
          <c:val>
            <c:numRef>
              <c:f>'Analysis '!$S$40:$S$45</c:f>
              <c:numCache>
                <c:formatCode>0%</c:formatCode>
                <c:ptCount val="6"/>
                <c:pt idx="0">
                  <c:v>0.25373134328358188</c:v>
                </c:pt>
                <c:pt idx="1">
                  <c:v>0.37500000000000022</c:v>
                </c:pt>
                <c:pt idx="2">
                  <c:v>0.14925373134328368</c:v>
                </c:pt>
                <c:pt idx="3">
                  <c:v>2.9411764705882353E-2</c:v>
                </c:pt>
                <c:pt idx="4">
                  <c:v>0</c:v>
                </c:pt>
                <c:pt idx="5">
                  <c:v>0</c:v>
                </c:pt>
              </c:numCache>
            </c:numRef>
          </c:val>
          <c:extLst xmlns:c16r2="http://schemas.microsoft.com/office/drawing/2015/06/chart">
            <c:ext xmlns:c16="http://schemas.microsoft.com/office/drawing/2014/chart" uri="{C3380CC4-5D6E-409C-BE32-E72D297353CC}">
              <c16:uniqueId val="{00000001-7BBE-4CA5-9F48-3DCD8E11915B}"/>
            </c:ext>
          </c:extLst>
        </c:ser>
        <c:dLbls>
          <c:showLegendKey val="0"/>
          <c:showVal val="0"/>
          <c:showCatName val="0"/>
          <c:showSerName val="0"/>
          <c:showPercent val="0"/>
          <c:showBubbleSize val="0"/>
        </c:dLbls>
        <c:gapWidth val="182"/>
        <c:axId val="120740864"/>
        <c:axId val="129388480"/>
      </c:barChart>
      <c:catAx>
        <c:axId val="120740864"/>
        <c:scaling>
          <c:orientation val="minMax"/>
        </c:scaling>
        <c:delete val="0"/>
        <c:axPos val="l"/>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388480"/>
        <c:crosses val="autoZero"/>
        <c:auto val="1"/>
        <c:lblAlgn val="ctr"/>
        <c:lblOffset val="100"/>
        <c:noMultiLvlLbl val="0"/>
      </c:catAx>
      <c:valAx>
        <c:axId val="129388480"/>
        <c:scaling>
          <c:orientation val="minMax"/>
          <c:min val="-0.5"/>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740864"/>
        <c:crosses val="autoZero"/>
        <c:crossBetween val="between"/>
      </c:valAx>
      <c:spPr>
        <a:noFill/>
        <a:ln>
          <a:noFill/>
        </a:ln>
        <a:effectLst/>
      </c:spPr>
    </c:plotArea>
    <c:legend>
      <c:legendPos val="b"/>
      <c:layout>
        <c:manualLayout>
          <c:xMode val="edge"/>
          <c:yMode val="edge"/>
          <c:x val="0.37984029736125979"/>
          <c:y val="0.91285669291338623"/>
          <c:w val="0.24487158463334788"/>
          <c:h val="6.428616422947132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ysClr val="window" lastClr="FFFFFF">
          <a:lumMod val="95000"/>
        </a:sysClr>
      </a:solid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GB" sz="1200" b="0"/>
              <a:t>Comparison</a:t>
            </a:r>
            <a:r>
              <a:rPr lang="en-GB" sz="1200" b="0" baseline="0"/>
              <a:t> of the Prevalence (%) of the Identified Diseases Separated by Side Between the Male and Female Coffin Samples </a:t>
            </a:r>
            <a:endParaRPr lang="en-GB" sz="1200" b="0"/>
          </a:p>
        </c:rich>
      </c:tx>
      <c:overlay val="0"/>
    </c:title>
    <c:autoTitleDeleted val="0"/>
    <c:plotArea>
      <c:layout/>
      <c:barChart>
        <c:barDir val="bar"/>
        <c:grouping val="clustered"/>
        <c:varyColors val="0"/>
        <c:ser>
          <c:idx val="0"/>
          <c:order val="0"/>
          <c:tx>
            <c:strRef>
              <c:f>'Analysis '!$K$1</c:f>
              <c:strCache>
                <c:ptCount val="1"/>
                <c:pt idx="0">
                  <c:v>Male Left Side</c:v>
                </c:pt>
              </c:strCache>
            </c:strRef>
          </c:tx>
          <c:invertIfNegative val="0"/>
          <c:cat>
            <c:strRef>
              <c:f>'Analysis '!$J$2:$J$7</c:f>
              <c:strCache>
                <c:ptCount val="6"/>
                <c:pt idx="0">
                  <c:v>GH OA</c:v>
                </c:pt>
                <c:pt idx="1">
                  <c:v>ACJ OA</c:v>
                </c:pt>
                <c:pt idx="2">
                  <c:v>RCD</c:v>
                </c:pt>
                <c:pt idx="3">
                  <c:v>Impingement</c:v>
                </c:pt>
                <c:pt idx="4">
                  <c:v>Humeral Fracture</c:v>
                </c:pt>
                <c:pt idx="5">
                  <c:v>Clavicular Fracture</c:v>
                </c:pt>
              </c:strCache>
            </c:strRef>
          </c:cat>
          <c:val>
            <c:numRef>
              <c:f>'Analysis '!$K$2:$K$7</c:f>
              <c:numCache>
                <c:formatCode>0%</c:formatCode>
                <c:ptCount val="6"/>
                <c:pt idx="0">
                  <c:v>-0.39000000000000024</c:v>
                </c:pt>
                <c:pt idx="1">
                  <c:v>-0.46</c:v>
                </c:pt>
                <c:pt idx="2">
                  <c:v>-0.1800000000000001</c:v>
                </c:pt>
                <c:pt idx="3">
                  <c:v>-0.05</c:v>
                </c:pt>
                <c:pt idx="4">
                  <c:v>-3.0000000000000002E-2</c:v>
                </c:pt>
                <c:pt idx="5">
                  <c:v>-3.0000000000000002E-2</c:v>
                </c:pt>
              </c:numCache>
            </c:numRef>
          </c:val>
          <c:extLst xmlns:c16r2="http://schemas.microsoft.com/office/drawing/2015/06/chart">
            <c:ext xmlns:c16="http://schemas.microsoft.com/office/drawing/2014/chart" uri="{C3380CC4-5D6E-409C-BE32-E72D297353CC}">
              <c16:uniqueId val="{00000000-9635-4CA2-A404-CD8864958D5A}"/>
            </c:ext>
          </c:extLst>
        </c:ser>
        <c:ser>
          <c:idx val="1"/>
          <c:order val="1"/>
          <c:tx>
            <c:strRef>
              <c:f>'Analysis '!$L$1</c:f>
              <c:strCache>
                <c:ptCount val="1"/>
                <c:pt idx="0">
                  <c:v>Female Left Side</c:v>
                </c:pt>
              </c:strCache>
            </c:strRef>
          </c:tx>
          <c:invertIfNegative val="0"/>
          <c:cat>
            <c:strRef>
              <c:f>'Analysis '!$J$2:$J$7</c:f>
              <c:strCache>
                <c:ptCount val="6"/>
                <c:pt idx="0">
                  <c:v>GH OA</c:v>
                </c:pt>
                <c:pt idx="1">
                  <c:v>ACJ OA</c:v>
                </c:pt>
                <c:pt idx="2">
                  <c:v>RCD</c:v>
                </c:pt>
                <c:pt idx="3">
                  <c:v>Impingement</c:v>
                </c:pt>
                <c:pt idx="4">
                  <c:v>Humeral Fracture</c:v>
                </c:pt>
                <c:pt idx="5">
                  <c:v>Clavicular Fracture</c:v>
                </c:pt>
              </c:strCache>
            </c:strRef>
          </c:cat>
          <c:val>
            <c:numRef>
              <c:f>'Analysis '!$L$2:$L$7</c:f>
              <c:numCache>
                <c:formatCode>0%</c:formatCode>
                <c:ptCount val="6"/>
                <c:pt idx="0">
                  <c:v>-0.1</c:v>
                </c:pt>
                <c:pt idx="1">
                  <c:v>-0.19</c:v>
                </c:pt>
                <c:pt idx="2">
                  <c:v>-7.0000000000000021E-2</c:v>
                </c:pt>
              </c:numCache>
            </c:numRef>
          </c:val>
          <c:extLst xmlns:c16r2="http://schemas.microsoft.com/office/drawing/2015/06/chart">
            <c:ext xmlns:c16="http://schemas.microsoft.com/office/drawing/2014/chart" uri="{C3380CC4-5D6E-409C-BE32-E72D297353CC}">
              <c16:uniqueId val="{00000001-9635-4CA2-A404-CD8864958D5A}"/>
            </c:ext>
          </c:extLst>
        </c:ser>
        <c:ser>
          <c:idx val="2"/>
          <c:order val="2"/>
          <c:tx>
            <c:strRef>
              <c:f>'Analysis '!$M$1</c:f>
              <c:strCache>
                <c:ptCount val="1"/>
                <c:pt idx="0">
                  <c:v>Male Right Side</c:v>
                </c:pt>
              </c:strCache>
            </c:strRef>
          </c:tx>
          <c:spPr>
            <a:solidFill>
              <a:schemeClr val="accent5">
                <a:lumMod val="40000"/>
                <a:lumOff val="60000"/>
              </a:schemeClr>
            </a:solidFill>
          </c:spPr>
          <c:invertIfNegative val="0"/>
          <c:cat>
            <c:strRef>
              <c:f>'Analysis '!$J$2:$J$7</c:f>
              <c:strCache>
                <c:ptCount val="6"/>
                <c:pt idx="0">
                  <c:v>GH OA</c:v>
                </c:pt>
                <c:pt idx="1">
                  <c:v>ACJ OA</c:v>
                </c:pt>
                <c:pt idx="2">
                  <c:v>RCD</c:v>
                </c:pt>
                <c:pt idx="3">
                  <c:v>Impingement</c:v>
                </c:pt>
                <c:pt idx="4">
                  <c:v>Humeral Fracture</c:v>
                </c:pt>
                <c:pt idx="5">
                  <c:v>Clavicular Fracture</c:v>
                </c:pt>
              </c:strCache>
            </c:strRef>
          </c:cat>
          <c:val>
            <c:numRef>
              <c:f>'Analysis '!$M$2:$M$7</c:f>
              <c:numCache>
                <c:formatCode>0%</c:formatCode>
                <c:ptCount val="6"/>
                <c:pt idx="0">
                  <c:v>0.3500000000000002</c:v>
                </c:pt>
                <c:pt idx="1">
                  <c:v>0.5</c:v>
                </c:pt>
                <c:pt idx="2">
                  <c:v>0.22</c:v>
                </c:pt>
                <c:pt idx="3">
                  <c:v>0.05</c:v>
                </c:pt>
              </c:numCache>
            </c:numRef>
          </c:val>
          <c:extLst xmlns:c16r2="http://schemas.microsoft.com/office/drawing/2015/06/chart">
            <c:ext xmlns:c16="http://schemas.microsoft.com/office/drawing/2014/chart" uri="{C3380CC4-5D6E-409C-BE32-E72D297353CC}">
              <c16:uniqueId val="{00000002-9635-4CA2-A404-CD8864958D5A}"/>
            </c:ext>
          </c:extLst>
        </c:ser>
        <c:ser>
          <c:idx val="3"/>
          <c:order val="3"/>
          <c:tx>
            <c:strRef>
              <c:f>'Analysis '!$N$1</c:f>
              <c:strCache>
                <c:ptCount val="1"/>
                <c:pt idx="0">
                  <c:v>Female Right Side</c:v>
                </c:pt>
              </c:strCache>
            </c:strRef>
          </c:tx>
          <c:spPr>
            <a:solidFill>
              <a:schemeClr val="accent2">
                <a:lumMod val="40000"/>
                <a:lumOff val="60000"/>
              </a:schemeClr>
            </a:solidFill>
          </c:spPr>
          <c:invertIfNegative val="0"/>
          <c:cat>
            <c:strRef>
              <c:f>'Analysis '!$J$2:$J$7</c:f>
              <c:strCache>
                <c:ptCount val="6"/>
                <c:pt idx="0">
                  <c:v>GH OA</c:v>
                </c:pt>
                <c:pt idx="1">
                  <c:v>ACJ OA</c:v>
                </c:pt>
                <c:pt idx="2">
                  <c:v>RCD</c:v>
                </c:pt>
                <c:pt idx="3">
                  <c:v>Impingement</c:v>
                </c:pt>
                <c:pt idx="4">
                  <c:v>Humeral Fracture</c:v>
                </c:pt>
                <c:pt idx="5">
                  <c:v>Clavicular Fracture</c:v>
                </c:pt>
              </c:strCache>
            </c:strRef>
          </c:cat>
          <c:val>
            <c:numRef>
              <c:f>'Analysis '!$N$2:$N$7</c:f>
              <c:numCache>
                <c:formatCode>0%</c:formatCode>
                <c:ptCount val="6"/>
                <c:pt idx="0">
                  <c:v>0.13</c:v>
                </c:pt>
                <c:pt idx="1">
                  <c:v>0.2100000000000001</c:v>
                </c:pt>
                <c:pt idx="2">
                  <c:v>7.0000000000000021E-2</c:v>
                </c:pt>
              </c:numCache>
            </c:numRef>
          </c:val>
          <c:extLst xmlns:c16r2="http://schemas.microsoft.com/office/drawing/2015/06/chart">
            <c:ext xmlns:c16="http://schemas.microsoft.com/office/drawing/2014/chart" uri="{C3380CC4-5D6E-409C-BE32-E72D297353CC}">
              <c16:uniqueId val="{00000003-9635-4CA2-A404-CD8864958D5A}"/>
            </c:ext>
          </c:extLst>
        </c:ser>
        <c:dLbls>
          <c:showLegendKey val="0"/>
          <c:showVal val="0"/>
          <c:showCatName val="0"/>
          <c:showSerName val="0"/>
          <c:showPercent val="0"/>
          <c:showBubbleSize val="0"/>
        </c:dLbls>
        <c:gapWidth val="150"/>
        <c:overlap val="5"/>
        <c:axId val="122282496"/>
        <c:axId val="129390208"/>
      </c:barChart>
      <c:catAx>
        <c:axId val="122282496"/>
        <c:scaling>
          <c:orientation val="minMax"/>
        </c:scaling>
        <c:delete val="0"/>
        <c:axPos val="l"/>
        <c:numFmt formatCode="General" sourceLinked="0"/>
        <c:majorTickMark val="none"/>
        <c:minorTickMark val="none"/>
        <c:tickLblPos val="low"/>
        <c:crossAx val="129390208"/>
        <c:crosses val="autoZero"/>
        <c:auto val="1"/>
        <c:lblAlgn val="ctr"/>
        <c:lblOffset val="100"/>
        <c:noMultiLvlLbl val="0"/>
      </c:catAx>
      <c:valAx>
        <c:axId val="129390208"/>
        <c:scaling>
          <c:orientation val="minMax"/>
        </c:scaling>
        <c:delete val="0"/>
        <c:axPos val="b"/>
        <c:majorGridlines/>
        <c:numFmt formatCode="0.00%" sourceLinked="0"/>
        <c:majorTickMark val="none"/>
        <c:minorTickMark val="none"/>
        <c:tickLblPos val="nextTo"/>
        <c:crossAx val="122282496"/>
        <c:crosses val="autoZero"/>
        <c:crossBetween val="between"/>
      </c:valAx>
    </c:plotArea>
    <c:legend>
      <c:legendPos val="r"/>
      <c:overlay val="0"/>
    </c:legend>
    <c:plotVisOnly val="1"/>
    <c:dispBlanksAs val="gap"/>
    <c:showDLblsOverMax val="0"/>
  </c:chart>
  <c:spPr>
    <a:ln>
      <a:solidFill>
        <a:sysClr val="window" lastClr="FFFFFF">
          <a:lumMod val="95000"/>
        </a:sysClr>
      </a:solidFill>
    </a:ln>
  </c:sp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GB" sz="1100" b="0" i="0" baseline="0">
                <a:effectLst/>
              </a:rPr>
              <a:t>Comparison of the Prevalence (%) of the Identified Diseases Separated by Side between the Male and Female Coffin Skeletons Aged 20-39 </a:t>
            </a:r>
            <a:endParaRPr lang="en-GB" sz="1100">
              <a:effectLst/>
            </a:endParaRPr>
          </a:p>
        </c:rich>
      </c:tx>
      <c:layout>
        <c:manualLayout>
          <c:xMode val="edge"/>
          <c:yMode val="edge"/>
          <c:x val="0.11434710899204263"/>
          <c:y val="2.6654820079964489E-2"/>
        </c:manualLayout>
      </c:layout>
      <c:overlay val="0"/>
    </c:title>
    <c:autoTitleDeleted val="0"/>
    <c:plotArea>
      <c:layout/>
      <c:barChart>
        <c:barDir val="bar"/>
        <c:grouping val="clustered"/>
        <c:varyColors val="0"/>
        <c:ser>
          <c:idx val="0"/>
          <c:order val="0"/>
          <c:tx>
            <c:strRef>
              <c:f>'Analysis '!$K$28</c:f>
              <c:strCache>
                <c:ptCount val="1"/>
                <c:pt idx="0">
                  <c:v>Male Left Side</c:v>
                </c:pt>
              </c:strCache>
            </c:strRef>
          </c:tx>
          <c:invertIfNegative val="0"/>
          <c:cat>
            <c:strRef>
              <c:f>'Analysis '!$J$29:$J$34</c:f>
              <c:strCache>
                <c:ptCount val="6"/>
                <c:pt idx="0">
                  <c:v>GH OA</c:v>
                </c:pt>
                <c:pt idx="1">
                  <c:v>ACJ OA</c:v>
                </c:pt>
                <c:pt idx="2">
                  <c:v>RCD</c:v>
                </c:pt>
                <c:pt idx="3">
                  <c:v>Impingement</c:v>
                </c:pt>
                <c:pt idx="4">
                  <c:v>Humeral Fracture</c:v>
                </c:pt>
                <c:pt idx="5">
                  <c:v>Clavicular Fracture</c:v>
                </c:pt>
              </c:strCache>
            </c:strRef>
          </c:cat>
          <c:val>
            <c:numRef>
              <c:f>'Analysis '!$K$29:$K$34</c:f>
              <c:numCache>
                <c:formatCode>0%</c:formatCode>
                <c:ptCount val="6"/>
                <c:pt idx="0">
                  <c:v>-0.2100000000000001</c:v>
                </c:pt>
                <c:pt idx="1">
                  <c:v>-0.2400000000000001</c:v>
                </c:pt>
                <c:pt idx="2">
                  <c:v>-0.11</c:v>
                </c:pt>
                <c:pt idx="3">
                  <c:v>-0.11</c:v>
                </c:pt>
                <c:pt idx="4">
                  <c:v>-0.05</c:v>
                </c:pt>
                <c:pt idx="5">
                  <c:v>-6.0000000000000032E-2</c:v>
                </c:pt>
              </c:numCache>
            </c:numRef>
          </c:val>
          <c:extLst xmlns:c16r2="http://schemas.microsoft.com/office/drawing/2015/06/chart">
            <c:ext xmlns:c16="http://schemas.microsoft.com/office/drawing/2014/chart" uri="{C3380CC4-5D6E-409C-BE32-E72D297353CC}">
              <c16:uniqueId val="{00000000-8505-450A-8CC7-98965B913C6A}"/>
            </c:ext>
          </c:extLst>
        </c:ser>
        <c:ser>
          <c:idx val="1"/>
          <c:order val="1"/>
          <c:tx>
            <c:strRef>
              <c:f>'Analysis '!$L$28</c:f>
              <c:strCache>
                <c:ptCount val="1"/>
                <c:pt idx="0">
                  <c:v>Female Left Side</c:v>
                </c:pt>
              </c:strCache>
            </c:strRef>
          </c:tx>
          <c:invertIfNegative val="0"/>
          <c:cat>
            <c:strRef>
              <c:f>'Analysis '!$J$29:$J$34</c:f>
              <c:strCache>
                <c:ptCount val="6"/>
                <c:pt idx="0">
                  <c:v>GH OA</c:v>
                </c:pt>
                <c:pt idx="1">
                  <c:v>ACJ OA</c:v>
                </c:pt>
                <c:pt idx="2">
                  <c:v>RCD</c:v>
                </c:pt>
                <c:pt idx="3">
                  <c:v>Impingement</c:v>
                </c:pt>
                <c:pt idx="4">
                  <c:v>Humeral Fracture</c:v>
                </c:pt>
                <c:pt idx="5">
                  <c:v>Clavicular Fracture</c:v>
                </c:pt>
              </c:strCache>
            </c:strRef>
          </c:cat>
          <c:val>
            <c:numRef>
              <c:f>'Analysis '!$L$29:$L$34</c:f>
              <c:numCache>
                <c:formatCode>0%</c:formatCode>
                <c:ptCount val="6"/>
                <c:pt idx="0">
                  <c:v>-7.0000000000000021E-2</c:v>
                </c:pt>
                <c:pt idx="1">
                  <c:v>-8.0000000000000043E-2</c:v>
                </c:pt>
                <c:pt idx="2">
                  <c:v>-6.0000000000000032E-2</c:v>
                </c:pt>
              </c:numCache>
            </c:numRef>
          </c:val>
          <c:extLst xmlns:c16r2="http://schemas.microsoft.com/office/drawing/2015/06/chart">
            <c:ext xmlns:c16="http://schemas.microsoft.com/office/drawing/2014/chart" uri="{C3380CC4-5D6E-409C-BE32-E72D297353CC}">
              <c16:uniqueId val="{00000001-8505-450A-8CC7-98965B913C6A}"/>
            </c:ext>
          </c:extLst>
        </c:ser>
        <c:ser>
          <c:idx val="2"/>
          <c:order val="2"/>
          <c:tx>
            <c:strRef>
              <c:f>'Analysis '!$M$28</c:f>
              <c:strCache>
                <c:ptCount val="1"/>
                <c:pt idx="0">
                  <c:v>Male Right Side</c:v>
                </c:pt>
              </c:strCache>
            </c:strRef>
          </c:tx>
          <c:spPr>
            <a:solidFill>
              <a:schemeClr val="accent1">
                <a:lumMod val="40000"/>
                <a:lumOff val="60000"/>
              </a:schemeClr>
            </a:solidFill>
          </c:spPr>
          <c:invertIfNegative val="0"/>
          <c:cat>
            <c:strRef>
              <c:f>'Analysis '!$J$29:$J$34</c:f>
              <c:strCache>
                <c:ptCount val="6"/>
                <c:pt idx="0">
                  <c:v>GH OA</c:v>
                </c:pt>
                <c:pt idx="1">
                  <c:v>ACJ OA</c:v>
                </c:pt>
                <c:pt idx="2">
                  <c:v>RCD</c:v>
                </c:pt>
                <c:pt idx="3">
                  <c:v>Impingement</c:v>
                </c:pt>
                <c:pt idx="4">
                  <c:v>Humeral Fracture</c:v>
                </c:pt>
                <c:pt idx="5">
                  <c:v>Clavicular Fracture</c:v>
                </c:pt>
              </c:strCache>
            </c:strRef>
          </c:cat>
          <c:val>
            <c:numRef>
              <c:f>'Analysis '!$M$29:$M$34</c:f>
              <c:numCache>
                <c:formatCode>0%</c:formatCode>
                <c:ptCount val="6"/>
                <c:pt idx="0">
                  <c:v>0.16</c:v>
                </c:pt>
                <c:pt idx="1">
                  <c:v>0.3500000000000002</c:v>
                </c:pt>
                <c:pt idx="2">
                  <c:v>0.16</c:v>
                </c:pt>
                <c:pt idx="3">
                  <c:v>0.05</c:v>
                </c:pt>
              </c:numCache>
            </c:numRef>
          </c:val>
          <c:extLst xmlns:c16r2="http://schemas.microsoft.com/office/drawing/2015/06/chart">
            <c:ext xmlns:c16="http://schemas.microsoft.com/office/drawing/2014/chart" uri="{C3380CC4-5D6E-409C-BE32-E72D297353CC}">
              <c16:uniqueId val="{00000002-8505-450A-8CC7-98965B913C6A}"/>
            </c:ext>
          </c:extLst>
        </c:ser>
        <c:ser>
          <c:idx val="3"/>
          <c:order val="3"/>
          <c:tx>
            <c:strRef>
              <c:f>'Analysis '!$N$28</c:f>
              <c:strCache>
                <c:ptCount val="1"/>
                <c:pt idx="0">
                  <c:v>Female Right Side</c:v>
                </c:pt>
              </c:strCache>
            </c:strRef>
          </c:tx>
          <c:spPr>
            <a:solidFill>
              <a:schemeClr val="accent2">
                <a:lumMod val="60000"/>
                <a:lumOff val="40000"/>
              </a:schemeClr>
            </a:solidFill>
          </c:spPr>
          <c:invertIfNegative val="0"/>
          <c:cat>
            <c:strRef>
              <c:f>'Analysis '!$J$29:$J$34</c:f>
              <c:strCache>
                <c:ptCount val="6"/>
                <c:pt idx="0">
                  <c:v>GH OA</c:v>
                </c:pt>
                <c:pt idx="1">
                  <c:v>ACJ OA</c:v>
                </c:pt>
                <c:pt idx="2">
                  <c:v>RCD</c:v>
                </c:pt>
                <c:pt idx="3">
                  <c:v>Impingement</c:v>
                </c:pt>
                <c:pt idx="4">
                  <c:v>Humeral Fracture</c:v>
                </c:pt>
                <c:pt idx="5">
                  <c:v>Clavicular Fracture</c:v>
                </c:pt>
              </c:strCache>
            </c:strRef>
          </c:cat>
          <c:val>
            <c:numRef>
              <c:f>'Analysis '!$N$29:$N$34</c:f>
              <c:numCache>
                <c:formatCode>0%</c:formatCode>
                <c:ptCount val="6"/>
                <c:pt idx="0">
                  <c:v>6.0000000000000032E-2</c:v>
                </c:pt>
                <c:pt idx="1">
                  <c:v>0.2100000000000001</c:v>
                </c:pt>
              </c:numCache>
            </c:numRef>
          </c:val>
          <c:extLst xmlns:c16r2="http://schemas.microsoft.com/office/drawing/2015/06/chart">
            <c:ext xmlns:c16="http://schemas.microsoft.com/office/drawing/2014/chart" uri="{C3380CC4-5D6E-409C-BE32-E72D297353CC}">
              <c16:uniqueId val="{00000003-8505-450A-8CC7-98965B913C6A}"/>
            </c:ext>
          </c:extLst>
        </c:ser>
        <c:dLbls>
          <c:showLegendKey val="0"/>
          <c:showVal val="0"/>
          <c:showCatName val="0"/>
          <c:showSerName val="0"/>
          <c:showPercent val="0"/>
          <c:showBubbleSize val="0"/>
        </c:dLbls>
        <c:gapWidth val="150"/>
        <c:axId val="122283520"/>
        <c:axId val="129391936"/>
      </c:barChart>
      <c:catAx>
        <c:axId val="122283520"/>
        <c:scaling>
          <c:orientation val="minMax"/>
        </c:scaling>
        <c:delete val="0"/>
        <c:axPos val="l"/>
        <c:numFmt formatCode="General" sourceLinked="0"/>
        <c:majorTickMark val="none"/>
        <c:minorTickMark val="none"/>
        <c:tickLblPos val="low"/>
        <c:crossAx val="129391936"/>
        <c:crosses val="autoZero"/>
        <c:auto val="1"/>
        <c:lblAlgn val="ctr"/>
        <c:lblOffset val="100"/>
        <c:noMultiLvlLbl val="0"/>
      </c:catAx>
      <c:valAx>
        <c:axId val="129391936"/>
        <c:scaling>
          <c:orientation val="minMax"/>
          <c:min val="-0.4"/>
        </c:scaling>
        <c:delete val="0"/>
        <c:axPos val="b"/>
        <c:majorGridlines/>
        <c:numFmt formatCode="0%" sourceLinked="1"/>
        <c:majorTickMark val="none"/>
        <c:minorTickMark val="none"/>
        <c:tickLblPos val="nextTo"/>
        <c:crossAx val="122283520"/>
        <c:crosses val="autoZero"/>
        <c:crossBetween val="between"/>
      </c:valAx>
    </c:plotArea>
    <c:legend>
      <c:legendPos val="r"/>
      <c:overlay val="0"/>
    </c:legend>
    <c:plotVisOnly val="1"/>
    <c:dispBlanksAs val="gap"/>
    <c:showDLblsOverMax val="0"/>
  </c:chart>
  <c:spPr>
    <a:ln>
      <a:solidFill>
        <a:sysClr val="window" lastClr="FFFFFF">
          <a:lumMod val="95000"/>
        </a:sysClr>
      </a:solidFill>
    </a:ln>
  </c:sp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GB" sz="1100" b="0" i="0" baseline="0">
                <a:solidFill>
                  <a:sysClr val="windowText" lastClr="000000"/>
                </a:solidFill>
                <a:effectLst/>
                <a:latin typeface="+mn-lt"/>
              </a:rPr>
              <a:t>Comparison of the Prevalence (%) of the Identified Diseases Separated by Side between the Male and Female Coffin Skeletons Aged 40+</a:t>
            </a:r>
          </a:p>
          <a:p>
            <a:pPr>
              <a:defRPr/>
            </a:pPr>
            <a:endParaRPr lang="en-GB" sz="1200">
              <a:effectLst/>
            </a:endParaRPr>
          </a:p>
        </c:rich>
      </c:tx>
      <c:layout>
        <c:manualLayout>
          <c:xMode val="edge"/>
          <c:yMode val="edge"/>
          <c:x val="0.10465184764596511"/>
          <c:y val="4.0192926045016161E-2"/>
        </c:manualLayout>
      </c:layout>
      <c:overlay val="0"/>
    </c:title>
    <c:autoTitleDeleted val="0"/>
    <c:plotArea>
      <c:layout/>
      <c:barChart>
        <c:barDir val="bar"/>
        <c:grouping val="clustered"/>
        <c:varyColors val="0"/>
        <c:ser>
          <c:idx val="0"/>
          <c:order val="0"/>
          <c:tx>
            <c:strRef>
              <c:f>'Analysis '!$K$28</c:f>
              <c:strCache>
                <c:ptCount val="1"/>
                <c:pt idx="0">
                  <c:v>Male Left Side</c:v>
                </c:pt>
              </c:strCache>
            </c:strRef>
          </c:tx>
          <c:invertIfNegative val="0"/>
          <c:cat>
            <c:strRef>
              <c:f>'Analysis '!$J$53:$J$56</c:f>
              <c:strCache>
                <c:ptCount val="4"/>
                <c:pt idx="0">
                  <c:v>GH OA</c:v>
                </c:pt>
                <c:pt idx="1">
                  <c:v>ACJ OA</c:v>
                </c:pt>
                <c:pt idx="2">
                  <c:v>RCD</c:v>
                </c:pt>
                <c:pt idx="3">
                  <c:v>Impingement</c:v>
                </c:pt>
              </c:strCache>
            </c:strRef>
          </c:cat>
          <c:val>
            <c:numRef>
              <c:f>'Analysis '!$K$53:$K$56</c:f>
              <c:numCache>
                <c:formatCode>0%</c:formatCode>
                <c:ptCount val="4"/>
                <c:pt idx="0">
                  <c:v>-0.58000000000000007</c:v>
                </c:pt>
                <c:pt idx="1">
                  <c:v>-0.67000000000000071</c:v>
                </c:pt>
                <c:pt idx="2">
                  <c:v>-0.26</c:v>
                </c:pt>
              </c:numCache>
            </c:numRef>
          </c:val>
          <c:extLst xmlns:c16r2="http://schemas.microsoft.com/office/drawing/2015/06/chart">
            <c:ext xmlns:c16="http://schemas.microsoft.com/office/drawing/2014/chart" uri="{C3380CC4-5D6E-409C-BE32-E72D297353CC}">
              <c16:uniqueId val="{00000000-BA82-44D5-A065-F2DCA182D4B3}"/>
            </c:ext>
          </c:extLst>
        </c:ser>
        <c:ser>
          <c:idx val="1"/>
          <c:order val="1"/>
          <c:tx>
            <c:strRef>
              <c:f>'Analysis '!$L$28</c:f>
              <c:strCache>
                <c:ptCount val="1"/>
                <c:pt idx="0">
                  <c:v>Female Left Side</c:v>
                </c:pt>
              </c:strCache>
            </c:strRef>
          </c:tx>
          <c:invertIfNegative val="0"/>
          <c:cat>
            <c:strRef>
              <c:f>'Analysis '!$J$53:$J$56</c:f>
              <c:strCache>
                <c:ptCount val="4"/>
                <c:pt idx="0">
                  <c:v>GH OA</c:v>
                </c:pt>
                <c:pt idx="1">
                  <c:v>ACJ OA</c:v>
                </c:pt>
                <c:pt idx="2">
                  <c:v>RCD</c:v>
                </c:pt>
                <c:pt idx="3">
                  <c:v>Impingement</c:v>
                </c:pt>
              </c:strCache>
            </c:strRef>
          </c:cat>
          <c:val>
            <c:numRef>
              <c:f>'Analysis '!$L$53:$L$56</c:f>
              <c:numCache>
                <c:formatCode>0%</c:formatCode>
                <c:ptCount val="4"/>
                <c:pt idx="0">
                  <c:v>-0.14000000000000001</c:v>
                </c:pt>
                <c:pt idx="1">
                  <c:v>-0.2900000000000002</c:v>
                </c:pt>
                <c:pt idx="2">
                  <c:v>-0.14000000000000001</c:v>
                </c:pt>
              </c:numCache>
            </c:numRef>
          </c:val>
          <c:extLst xmlns:c16r2="http://schemas.microsoft.com/office/drawing/2015/06/chart">
            <c:ext xmlns:c16="http://schemas.microsoft.com/office/drawing/2014/chart" uri="{C3380CC4-5D6E-409C-BE32-E72D297353CC}">
              <c16:uniqueId val="{00000001-BA82-44D5-A065-F2DCA182D4B3}"/>
            </c:ext>
          </c:extLst>
        </c:ser>
        <c:ser>
          <c:idx val="2"/>
          <c:order val="2"/>
          <c:tx>
            <c:strRef>
              <c:f>'Analysis '!$M$28</c:f>
              <c:strCache>
                <c:ptCount val="1"/>
                <c:pt idx="0">
                  <c:v>Male Right Side</c:v>
                </c:pt>
              </c:strCache>
            </c:strRef>
          </c:tx>
          <c:spPr>
            <a:solidFill>
              <a:schemeClr val="accent1">
                <a:lumMod val="40000"/>
                <a:lumOff val="60000"/>
              </a:schemeClr>
            </a:solidFill>
          </c:spPr>
          <c:invertIfNegative val="0"/>
          <c:cat>
            <c:strRef>
              <c:f>'Analysis '!$J$53:$J$56</c:f>
              <c:strCache>
                <c:ptCount val="4"/>
                <c:pt idx="0">
                  <c:v>GH OA</c:v>
                </c:pt>
                <c:pt idx="1">
                  <c:v>ACJ OA</c:v>
                </c:pt>
                <c:pt idx="2">
                  <c:v>RCD</c:v>
                </c:pt>
                <c:pt idx="3">
                  <c:v>Impingement</c:v>
                </c:pt>
              </c:strCache>
            </c:strRef>
          </c:cat>
          <c:val>
            <c:numRef>
              <c:f>'Analysis '!$M$53:$M$56</c:f>
              <c:numCache>
                <c:formatCode>0%</c:formatCode>
                <c:ptCount val="4"/>
                <c:pt idx="0">
                  <c:v>0.56000000000000005</c:v>
                </c:pt>
                <c:pt idx="1">
                  <c:v>0.63000000000000045</c:v>
                </c:pt>
                <c:pt idx="2">
                  <c:v>0.28000000000000008</c:v>
                </c:pt>
                <c:pt idx="3">
                  <c:v>0.05</c:v>
                </c:pt>
              </c:numCache>
            </c:numRef>
          </c:val>
          <c:extLst xmlns:c16r2="http://schemas.microsoft.com/office/drawing/2015/06/chart">
            <c:ext xmlns:c16="http://schemas.microsoft.com/office/drawing/2014/chart" uri="{C3380CC4-5D6E-409C-BE32-E72D297353CC}">
              <c16:uniqueId val="{00000002-BA82-44D5-A065-F2DCA182D4B3}"/>
            </c:ext>
          </c:extLst>
        </c:ser>
        <c:ser>
          <c:idx val="3"/>
          <c:order val="3"/>
          <c:tx>
            <c:strRef>
              <c:f>'Analysis '!$N$28</c:f>
              <c:strCache>
                <c:ptCount val="1"/>
                <c:pt idx="0">
                  <c:v>Female Right Side</c:v>
                </c:pt>
              </c:strCache>
            </c:strRef>
          </c:tx>
          <c:spPr>
            <a:solidFill>
              <a:schemeClr val="accent2">
                <a:lumMod val="60000"/>
                <a:lumOff val="40000"/>
              </a:schemeClr>
            </a:solidFill>
          </c:spPr>
          <c:invertIfNegative val="0"/>
          <c:cat>
            <c:strRef>
              <c:f>'Analysis '!$J$53:$J$56</c:f>
              <c:strCache>
                <c:ptCount val="4"/>
                <c:pt idx="0">
                  <c:v>GH OA</c:v>
                </c:pt>
                <c:pt idx="1">
                  <c:v>ACJ OA</c:v>
                </c:pt>
                <c:pt idx="2">
                  <c:v>RCD</c:v>
                </c:pt>
                <c:pt idx="3">
                  <c:v>Impingement</c:v>
                </c:pt>
              </c:strCache>
            </c:strRef>
          </c:cat>
          <c:val>
            <c:numRef>
              <c:f>'Analysis '!$N$53:$N$56</c:f>
              <c:numCache>
                <c:formatCode>0%</c:formatCode>
                <c:ptCount val="4"/>
                <c:pt idx="0">
                  <c:v>0.2100000000000001</c:v>
                </c:pt>
                <c:pt idx="1">
                  <c:v>0.2100000000000001</c:v>
                </c:pt>
                <c:pt idx="2">
                  <c:v>0.14000000000000001</c:v>
                </c:pt>
              </c:numCache>
            </c:numRef>
          </c:val>
          <c:extLst xmlns:c16r2="http://schemas.microsoft.com/office/drawing/2015/06/chart">
            <c:ext xmlns:c16="http://schemas.microsoft.com/office/drawing/2014/chart" uri="{C3380CC4-5D6E-409C-BE32-E72D297353CC}">
              <c16:uniqueId val="{00000003-BA82-44D5-A065-F2DCA182D4B3}"/>
            </c:ext>
          </c:extLst>
        </c:ser>
        <c:dLbls>
          <c:showLegendKey val="0"/>
          <c:showVal val="0"/>
          <c:showCatName val="0"/>
          <c:showSerName val="0"/>
          <c:showPercent val="0"/>
          <c:showBubbleSize val="0"/>
        </c:dLbls>
        <c:gapWidth val="150"/>
        <c:axId val="122284032"/>
        <c:axId val="133850816"/>
      </c:barChart>
      <c:catAx>
        <c:axId val="122284032"/>
        <c:scaling>
          <c:orientation val="minMax"/>
        </c:scaling>
        <c:delete val="0"/>
        <c:axPos val="l"/>
        <c:numFmt formatCode="General" sourceLinked="0"/>
        <c:majorTickMark val="none"/>
        <c:minorTickMark val="none"/>
        <c:tickLblPos val="low"/>
        <c:crossAx val="133850816"/>
        <c:crosses val="autoZero"/>
        <c:auto val="1"/>
        <c:lblAlgn val="ctr"/>
        <c:lblOffset val="100"/>
        <c:noMultiLvlLbl val="0"/>
      </c:catAx>
      <c:valAx>
        <c:axId val="133850816"/>
        <c:scaling>
          <c:orientation val="minMax"/>
        </c:scaling>
        <c:delete val="0"/>
        <c:axPos val="b"/>
        <c:majorGridlines/>
        <c:numFmt formatCode="0%" sourceLinked="1"/>
        <c:majorTickMark val="none"/>
        <c:minorTickMark val="none"/>
        <c:tickLblPos val="nextTo"/>
        <c:crossAx val="122284032"/>
        <c:crosses val="autoZero"/>
        <c:crossBetween val="between"/>
      </c:valAx>
    </c:plotArea>
    <c:legend>
      <c:legendPos val="r"/>
      <c:overlay val="0"/>
    </c:legend>
    <c:plotVisOnly val="1"/>
    <c:dispBlanksAs val="gap"/>
    <c:showDLblsOverMax val="0"/>
  </c:chart>
  <c:spPr>
    <a:ln>
      <a:solidFill>
        <a:sysClr val="window" lastClr="FFFFFF">
          <a:lumMod val="95000"/>
        </a:sysClr>
      </a:solidFill>
    </a:ln>
  </c:sp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solidFill>
                  <a:sysClr val="windowText" lastClr="000000"/>
                </a:solidFill>
              </a:rPr>
              <a:t>Crude Comparison</a:t>
            </a:r>
            <a:r>
              <a:rPr lang="en-US" sz="1200" baseline="0">
                <a:solidFill>
                  <a:sysClr val="windowText" lastClr="000000"/>
                </a:solidFill>
              </a:rPr>
              <a:t> of the Prevalence (%) of Each Disease between the Coffin Skeletons and Shroud 2c Skeletons</a:t>
            </a:r>
            <a:endParaRPr lang="en-US" sz="1200">
              <a:solidFill>
                <a:sysClr val="windowText" lastClr="000000"/>
              </a:solidFill>
            </a:endParaRPr>
          </a:p>
        </c:rich>
      </c:tx>
      <c:layout>
        <c:manualLayout>
          <c:xMode val="edge"/>
          <c:yMode val="edge"/>
          <c:x val="0.13295781713292679"/>
          <c:y val="2.0491803278688544E-2"/>
        </c:manualLayout>
      </c:layout>
      <c:overlay val="0"/>
      <c:spPr>
        <a:noFill/>
        <a:ln>
          <a:noFill/>
        </a:ln>
        <a:effectLst/>
      </c:spPr>
    </c:title>
    <c:autoTitleDeleted val="0"/>
    <c:plotArea>
      <c:layout/>
      <c:barChart>
        <c:barDir val="col"/>
        <c:grouping val="clustered"/>
        <c:varyColors val="0"/>
        <c:ser>
          <c:idx val="0"/>
          <c:order val="0"/>
          <c:tx>
            <c:strRef>
              <c:f>'Analysis '!$AK$2</c:f>
              <c:strCache>
                <c:ptCount val="1"/>
                <c:pt idx="0">
                  <c:v>Coffin Burials</c:v>
                </c:pt>
              </c:strCache>
            </c:strRef>
          </c:tx>
          <c:spPr>
            <a:solidFill>
              <a:schemeClr val="accent1"/>
            </a:solidFill>
            <a:ln>
              <a:noFill/>
            </a:ln>
            <a:effectLst/>
          </c:spPr>
          <c:invertIfNegative val="0"/>
          <c:cat>
            <c:strRef>
              <c:f>'Analysis '!$AJ$3:$AJ$9</c:f>
              <c:strCache>
                <c:ptCount val="7"/>
                <c:pt idx="0">
                  <c:v>GH OA</c:v>
                </c:pt>
                <c:pt idx="1">
                  <c:v>ACJ</c:v>
                </c:pt>
                <c:pt idx="2">
                  <c:v>RCD</c:v>
                </c:pt>
                <c:pt idx="3">
                  <c:v>Impingement </c:v>
                </c:pt>
                <c:pt idx="4">
                  <c:v>Humeral Fracture</c:v>
                </c:pt>
                <c:pt idx="5">
                  <c:v>Clavicular Fracture</c:v>
                </c:pt>
                <c:pt idx="6">
                  <c:v>Scapula Fracture</c:v>
                </c:pt>
              </c:strCache>
            </c:strRef>
          </c:cat>
          <c:val>
            <c:numRef>
              <c:f>'Analysis '!$AK$3:$AK$9</c:f>
              <c:numCache>
                <c:formatCode>0%</c:formatCode>
                <c:ptCount val="7"/>
                <c:pt idx="0">
                  <c:v>0.33333333333333331</c:v>
                </c:pt>
                <c:pt idx="1">
                  <c:v>0.43939393939393961</c:v>
                </c:pt>
                <c:pt idx="2">
                  <c:v>0.17391304347826109</c:v>
                </c:pt>
                <c:pt idx="3">
                  <c:v>7.8947368421052572E-2</c:v>
                </c:pt>
                <c:pt idx="4">
                  <c:v>2.6315789473684216E-2</c:v>
                </c:pt>
                <c:pt idx="5">
                  <c:v>2.702702702702706E-2</c:v>
                </c:pt>
              </c:numCache>
            </c:numRef>
          </c:val>
          <c:extLst xmlns:c16r2="http://schemas.microsoft.com/office/drawing/2015/06/chart">
            <c:ext xmlns:c16="http://schemas.microsoft.com/office/drawing/2014/chart" uri="{C3380CC4-5D6E-409C-BE32-E72D297353CC}">
              <c16:uniqueId val="{00000000-947B-41D8-99C6-F1CAC9A8A133}"/>
            </c:ext>
          </c:extLst>
        </c:ser>
        <c:ser>
          <c:idx val="1"/>
          <c:order val="1"/>
          <c:tx>
            <c:strRef>
              <c:f>'Analysis '!$AL$2</c:f>
              <c:strCache>
                <c:ptCount val="1"/>
                <c:pt idx="0">
                  <c:v>Shroud Burials </c:v>
                </c:pt>
              </c:strCache>
            </c:strRef>
          </c:tx>
          <c:spPr>
            <a:solidFill>
              <a:schemeClr val="accent2"/>
            </a:solidFill>
            <a:ln>
              <a:noFill/>
            </a:ln>
            <a:effectLst/>
          </c:spPr>
          <c:invertIfNegative val="0"/>
          <c:cat>
            <c:strRef>
              <c:f>'Analysis '!$AJ$3:$AJ$9</c:f>
              <c:strCache>
                <c:ptCount val="7"/>
                <c:pt idx="0">
                  <c:v>GH OA</c:v>
                </c:pt>
                <c:pt idx="1">
                  <c:v>ACJ</c:v>
                </c:pt>
                <c:pt idx="2">
                  <c:v>RCD</c:v>
                </c:pt>
                <c:pt idx="3">
                  <c:v>Impingement </c:v>
                </c:pt>
                <c:pt idx="4">
                  <c:v>Humeral Fracture</c:v>
                </c:pt>
                <c:pt idx="5">
                  <c:v>Clavicular Fracture</c:v>
                </c:pt>
                <c:pt idx="6">
                  <c:v>Scapula Fracture</c:v>
                </c:pt>
              </c:strCache>
            </c:strRef>
          </c:cat>
          <c:val>
            <c:numRef>
              <c:f>'Analysis '!$AL$3:$AL$9</c:f>
              <c:numCache>
                <c:formatCode>0%</c:formatCode>
                <c:ptCount val="7"/>
                <c:pt idx="0">
                  <c:v>0.16666666666666666</c:v>
                </c:pt>
                <c:pt idx="1">
                  <c:v>0.25</c:v>
                </c:pt>
                <c:pt idx="2">
                  <c:v>0.20833333333333348</c:v>
                </c:pt>
                <c:pt idx="3">
                  <c:v>8.3333333333333343E-2</c:v>
                </c:pt>
                <c:pt idx="4">
                  <c:v>4.1666666666666664E-2</c:v>
                </c:pt>
              </c:numCache>
            </c:numRef>
          </c:val>
          <c:extLst xmlns:c16r2="http://schemas.microsoft.com/office/drawing/2015/06/chart">
            <c:ext xmlns:c16="http://schemas.microsoft.com/office/drawing/2014/chart" uri="{C3380CC4-5D6E-409C-BE32-E72D297353CC}">
              <c16:uniqueId val="{00000001-947B-41D8-99C6-F1CAC9A8A133}"/>
            </c:ext>
          </c:extLst>
        </c:ser>
        <c:dLbls>
          <c:showLegendKey val="0"/>
          <c:showVal val="0"/>
          <c:showCatName val="0"/>
          <c:showSerName val="0"/>
          <c:showPercent val="0"/>
          <c:showBubbleSize val="0"/>
        </c:dLbls>
        <c:gapWidth val="219"/>
        <c:overlap val="-27"/>
        <c:axId val="122284544"/>
        <c:axId val="133851968"/>
      </c:barChart>
      <c:catAx>
        <c:axId val="122284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Disease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851968"/>
        <c:crosses val="autoZero"/>
        <c:auto val="1"/>
        <c:lblAlgn val="ctr"/>
        <c:lblOffset val="100"/>
        <c:noMultiLvlLbl val="0"/>
      </c:catAx>
      <c:valAx>
        <c:axId val="133851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Prevalence (%) </a:t>
                </a:r>
                <a:endParaRPr lang="en-US"/>
              </a:p>
            </c:rich>
          </c:tx>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284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ysClr val="window" lastClr="FFFFFF">
          <a:lumMod val="95000"/>
        </a:sysClr>
      </a:solidFill>
      <a:round/>
    </a:ln>
    <a:effectLst/>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D51093-273F-46C2-8D3D-1E7979349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10450</Words>
  <Characters>59571</Characters>
  <Application>Microsoft Office Word</Application>
  <DocSecurity>0</DocSecurity>
  <Lines>496</Lines>
  <Paragraphs>139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69882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Danni Croucher</dc:creator>
  <cp:lastModifiedBy>Danni Croucher</cp:lastModifiedBy>
  <cp:revision>2</cp:revision>
  <cp:lastPrinted>2017-08-31T18:48:00Z</cp:lastPrinted>
  <dcterms:created xsi:type="dcterms:W3CDTF">2019-04-24T13:05:00Z</dcterms:created>
  <dcterms:modified xsi:type="dcterms:W3CDTF">2019-04-24T13:05:00Z</dcterms:modified>
</cp:coreProperties>
</file>