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2B0" w:rsidRDefault="00005B13">
      <w:pPr>
        <w:spacing w:before="240"/>
        <w:rPr>
          <w:b/>
          <w:sz w:val="32"/>
          <w:szCs w:val="32"/>
          <w:highlight w:val="white"/>
        </w:rPr>
      </w:pPr>
      <w:r>
        <w:rPr>
          <w:b/>
          <w:sz w:val="32"/>
          <w:szCs w:val="32"/>
          <w:highlight w:val="white"/>
        </w:rPr>
        <w:t xml:space="preserve">For </w:t>
      </w:r>
      <w:r>
        <w:rPr>
          <w:b/>
          <w:i/>
          <w:sz w:val="32"/>
          <w:szCs w:val="32"/>
          <w:highlight w:val="white"/>
        </w:rPr>
        <w:t xml:space="preserve">Oikos </w:t>
      </w:r>
      <w:r>
        <w:rPr>
          <w:b/>
          <w:sz w:val="32"/>
          <w:szCs w:val="32"/>
          <w:highlight w:val="white"/>
        </w:rPr>
        <w:t xml:space="preserve">and </w:t>
      </w:r>
      <w:r>
        <w:rPr>
          <w:b/>
          <w:i/>
          <w:sz w:val="32"/>
          <w:szCs w:val="32"/>
          <w:highlight w:val="white"/>
        </w:rPr>
        <w:t>Polis</w:t>
      </w:r>
      <w:r>
        <w:rPr>
          <w:b/>
          <w:sz w:val="32"/>
          <w:szCs w:val="32"/>
          <w:highlight w:val="white"/>
        </w:rPr>
        <w:t>:</w:t>
      </w:r>
    </w:p>
    <w:p w:rsidR="001142B0" w:rsidRDefault="00005B13">
      <w:pPr>
        <w:spacing w:before="240"/>
        <w:rPr>
          <w:b/>
          <w:sz w:val="32"/>
          <w:szCs w:val="32"/>
          <w:highlight w:val="white"/>
        </w:rPr>
      </w:pPr>
      <w:r>
        <w:rPr>
          <w:b/>
          <w:sz w:val="32"/>
          <w:szCs w:val="32"/>
          <w:highlight w:val="white"/>
        </w:rPr>
        <w:t>Classical Attic Grave Reliefs as Family Monuments</w:t>
      </w:r>
    </w:p>
    <w:p w:rsidR="001142B0" w:rsidRDefault="001142B0">
      <w:pPr>
        <w:spacing w:before="240"/>
        <w:rPr>
          <w:sz w:val="24"/>
          <w:szCs w:val="24"/>
          <w:highlight w:val="white"/>
        </w:rPr>
      </w:pPr>
    </w:p>
    <w:p w:rsidR="001142B0" w:rsidRDefault="00005B13">
      <w:pPr>
        <w:spacing w:before="240"/>
        <w:rPr>
          <w:sz w:val="24"/>
          <w:szCs w:val="24"/>
          <w:highlight w:val="white"/>
        </w:rPr>
      </w:pPr>
      <w:r>
        <w:rPr>
          <w:sz w:val="24"/>
          <w:szCs w:val="24"/>
          <w:highlight w:val="white"/>
        </w:rPr>
        <w:t xml:space="preserve">A </w:t>
      </w:r>
      <w:proofErr w:type="spellStart"/>
      <w:r>
        <w:rPr>
          <w:sz w:val="24"/>
          <w:szCs w:val="24"/>
          <w:highlight w:val="white"/>
        </w:rPr>
        <w:t>Prosopographic</w:t>
      </w:r>
      <w:proofErr w:type="spellEnd"/>
      <w:r>
        <w:rPr>
          <w:sz w:val="24"/>
          <w:szCs w:val="24"/>
          <w:highlight w:val="white"/>
        </w:rPr>
        <w:t xml:space="preserve"> Study of 14 Plaster Casts of Grave Reliefs from </w:t>
      </w:r>
    </w:p>
    <w:p w:rsidR="001142B0" w:rsidRDefault="00005B13">
      <w:pPr>
        <w:spacing w:before="240"/>
        <w:rPr>
          <w:sz w:val="24"/>
          <w:szCs w:val="24"/>
          <w:highlight w:val="white"/>
        </w:rPr>
      </w:pPr>
      <w:r>
        <w:rPr>
          <w:sz w:val="24"/>
          <w:szCs w:val="24"/>
          <w:highlight w:val="white"/>
        </w:rPr>
        <w:t>The Cast Gallery of the Ashmolean Museum, Oxford</w:t>
      </w:r>
    </w:p>
    <w:p w:rsidR="001142B0" w:rsidRDefault="001142B0">
      <w:pPr>
        <w:spacing w:before="240"/>
        <w:jc w:val="center"/>
        <w:rPr>
          <w:sz w:val="28"/>
          <w:szCs w:val="28"/>
          <w:highlight w:val="white"/>
        </w:rPr>
      </w:pPr>
    </w:p>
    <w:p w:rsidR="001142B0" w:rsidRDefault="00005B13">
      <w:pPr>
        <w:spacing w:before="240"/>
        <w:jc w:val="center"/>
        <w:rPr>
          <w:b/>
          <w:sz w:val="24"/>
          <w:szCs w:val="24"/>
          <w:highlight w:val="white"/>
        </w:rPr>
      </w:pPr>
      <w:r>
        <w:rPr>
          <w:b/>
          <w:sz w:val="24"/>
          <w:szCs w:val="24"/>
          <w:highlight w:val="white"/>
        </w:rPr>
        <w:t>JOSEPH ROBSON</w:t>
      </w:r>
    </w:p>
    <w:p w:rsidR="001142B0" w:rsidRDefault="00005B13">
      <w:pPr>
        <w:spacing w:before="240"/>
        <w:jc w:val="center"/>
        <w:rPr>
          <w:sz w:val="24"/>
          <w:szCs w:val="24"/>
          <w:highlight w:val="white"/>
        </w:rPr>
      </w:pPr>
      <w:hyperlink r:id="rId7">
        <w:r>
          <w:rPr>
            <w:color w:val="0000FF"/>
            <w:sz w:val="24"/>
            <w:szCs w:val="24"/>
            <w:highlight w:val="white"/>
            <w:u w:val="single"/>
          </w:rPr>
          <w:t>joseph.robson@lmh.ox.ac.uk</w:t>
        </w:r>
      </w:hyperlink>
    </w:p>
    <w:p w:rsidR="001142B0" w:rsidRDefault="00005B13">
      <w:pPr>
        <w:spacing w:before="240"/>
        <w:jc w:val="center"/>
        <w:rPr>
          <w:sz w:val="24"/>
          <w:szCs w:val="24"/>
          <w:highlight w:val="white"/>
        </w:rPr>
      </w:pPr>
      <w:proofErr w:type="spellStart"/>
      <w:r>
        <w:rPr>
          <w:sz w:val="24"/>
          <w:szCs w:val="24"/>
          <w:highlight w:val="white"/>
        </w:rPr>
        <w:t>Mst</w:t>
      </w:r>
      <w:proofErr w:type="spellEnd"/>
      <w:r>
        <w:rPr>
          <w:sz w:val="24"/>
          <w:szCs w:val="24"/>
          <w:highlight w:val="white"/>
        </w:rPr>
        <w:t xml:space="preserve"> Classical Archaeology, University of Oxford</w:t>
      </w:r>
    </w:p>
    <w:p w:rsidR="001142B0" w:rsidRDefault="001142B0">
      <w:pPr>
        <w:spacing w:before="240"/>
        <w:jc w:val="center"/>
        <w:rPr>
          <w:sz w:val="24"/>
          <w:szCs w:val="24"/>
          <w:highlight w:val="white"/>
        </w:rPr>
      </w:pPr>
    </w:p>
    <w:p w:rsidR="001142B0" w:rsidRDefault="00005B13">
      <w:pPr>
        <w:spacing w:before="240"/>
        <w:jc w:val="both"/>
        <w:rPr>
          <w:highlight w:val="white"/>
        </w:rPr>
      </w:pPr>
      <w:r>
        <w:rPr>
          <w:highlight w:val="white"/>
        </w:rPr>
        <w:t xml:space="preserve">Joseph is currently an </w:t>
      </w:r>
      <w:proofErr w:type="spellStart"/>
      <w:r>
        <w:rPr>
          <w:highlight w:val="white"/>
        </w:rPr>
        <w:t>Mst</w:t>
      </w:r>
      <w:proofErr w:type="spellEnd"/>
      <w:r>
        <w:rPr>
          <w:highlight w:val="white"/>
        </w:rPr>
        <w:t xml:space="preserve"> student at the University of Oxford, having obtained his BA (Hons) in Classical Archaeology &amp; Ancient History from Oxford in 2017. Specialising in Numism</w:t>
      </w:r>
      <w:r>
        <w:rPr>
          <w:highlight w:val="white"/>
        </w:rPr>
        <w:t>atics and the history of collections, his dissertation focuses on coin hoard patterns in late Iron Age and early Imperial Roman Britain (55 BC-AD 93). He has volunteered at the Ashmolean Museum, Oxford, since 2014, in the galleries and Heberden Coin Room.</w:t>
      </w:r>
    </w:p>
    <w:p w:rsidR="001142B0" w:rsidRDefault="001142B0">
      <w:pPr>
        <w:spacing w:before="240"/>
        <w:jc w:val="center"/>
        <w:rPr>
          <w:sz w:val="24"/>
          <w:szCs w:val="24"/>
          <w:highlight w:val="white"/>
        </w:rPr>
      </w:pPr>
    </w:p>
    <w:p w:rsidR="001142B0" w:rsidRDefault="00005B13">
      <w:pPr>
        <w:spacing w:before="240" w:line="360" w:lineRule="auto"/>
        <w:jc w:val="both"/>
        <w:rPr>
          <w:color w:val="000000"/>
          <w:sz w:val="20"/>
          <w:szCs w:val="20"/>
        </w:rPr>
      </w:pPr>
      <w:r>
        <w:rPr>
          <w:b/>
          <w:color w:val="000000"/>
          <w:sz w:val="20"/>
          <w:szCs w:val="20"/>
        </w:rPr>
        <w:t xml:space="preserve">Keywords: </w:t>
      </w:r>
      <w:r>
        <w:rPr>
          <w:color w:val="000000"/>
          <w:sz w:val="20"/>
          <w:szCs w:val="20"/>
        </w:rPr>
        <w:t>Classical, Attica, Funerary Monuments, Public/Private Commemoration</w:t>
      </w:r>
    </w:p>
    <w:p w:rsidR="001142B0" w:rsidRDefault="00005B13">
      <w:pPr>
        <w:spacing w:before="240" w:line="360" w:lineRule="auto"/>
        <w:jc w:val="both"/>
        <w:rPr>
          <w:sz w:val="20"/>
          <w:szCs w:val="20"/>
        </w:rPr>
      </w:pPr>
      <w:r>
        <w:rPr>
          <w:i/>
          <w:sz w:val="20"/>
          <w:szCs w:val="20"/>
        </w:rPr>
        <w:t xml:space="preserve">Word Count (Excluding Title page): </w:t>
      </w:r>
      <w:r>
        <w:rPr>
          <w:sz w:val="20"/>
          <w:szCs w:val="20"/>
        </w:rPr>
        <w:t>5,735.</w:t>
      </w:r>
    </w:p>
    <w:p w:rsidR="001142B0" w:rsidRDefault="00005B13">
      <w:pPr>
        <w:spacing w:before="240" w:line="360" w:lineRule="auto"/>
        <w:jc w:val="both"/>
        <w:rPr>
          <w:i/>
          <w:sz w:val="18"/>
          <w:szCs w:val="18"/>
        </w:rPr>
      </w:pPr>
      <w:r>
        <w:rPr>
          <w:i/>
          <w:color w:val="000000"/>
          <w:sz w:val="18"/>
          <w:szCs w:val="18"/>
        </w:rPr>
        <w:t xml:space="preserve">Attic funerary </w:t>
      </w:r>
      <w:proofErr w:type="spellStart"/>
      <w:r>
        <w:rPr>
          <w:i/>
          <w:color w:val="000000"/>
          <w:sz w:val="18"/>
          <w:szCs w:val="18"/>
        </w:rPr>
        <w:t>stelai</w:t>
      </w:r>
      <w:proofErr w:type="spellEnd"/>
      <w:r>
        <w:rPr>
          <w:i/>
          <w:color w:val="000000"/>
          <w:sz w:val="18"/>
          <w:szCs w:val="18"/>
        </w:rPr>
        <w:t xml:space="preserve"> are a key source of material evidence for mapping changes within Attic self-perception and representation during </w:t>
      </w:r>
      <w:r>
        <w:rPr>
          <w:i/>
          <w:color w:val="000000"/>
          <w:sz w:val="18"/>
          <w:szCs w:val="18"/>
        </w:rPr>
        <w:t xml:space="preserve">the Classical period. A diverse range of family figures and social functions are depicted on </w:t>
      </w:r>
      <w:proofErr w:type="spellStart"/>
      <w:r>
        <w:rPr>
          <w:i/>
          <w:color w:val="000000"/>
          <w:sz w:val="18"/>
          <w:szCs w:val="18"/>
        </w:rPr>
        <w:t>stelai</w:t>
      </w:r>
      <w:proofErr w:type="spellEnd"/>
      <w:r>
        <w:rPr>
          <w:i/>
          <w:color w:val="000000"/>
          <w:sz w:val="18"/>
          <w:szCs w:val="18"/>
        </w:rPr>
        <w:t xml:space="preserve"> between their resurgence in c.430 BC and the reforms of Demetrios of </w:t>
      </w:r>
      <w:proofErr w:type="spellStart"/>
      <w:r>
        <w:rPr>
          <w:i/>
          <w:color w:val="000000"/>
          <w:sz w:val="18"/>
          <w:szCs w:val="18"/>
        </w:rPr>
        <w:t>Phaleron</w:t>
      </w:r>
      <w:proofErr w:type="spellEnd"/>
      <w:r>
        <w:rPr>
          <w:i/>
          <w:color w:val="000000"/>
          <w:sz w:val="18"/>
          <w:szCs w:val="18"/>
        </w:rPr>
        <w:t xml:space="preserve"> in c.317 BC. This article evaluates 14 plaster casts from the Cast gallery of </w:t>
      </w:r>
      <w:r>
        <w:rPr>
          <w:i/>
          <w:color w:val="000000"/>
          <w:sz w:val="18"/>
          <w:szCs w:val="18"/>
        </w:rPr>
        <w:t>the Ashmolean Museum in Oxford. The present corpus will be considered in an effort to evaluate the function of the monuments as commemorative markers, and how class and gender roles related to domestic and wider civil contexts. This article will evaluate a</w:t>
      </w:r>
      <w:r>
        <w:rPr>
          <w:i/>
          <w:color w:val="000000"/>
          <w:sz w:val="18"/>
          <w:szCs w:val="18"/>
        </w:rPr>
        <w:t xml:space="preserve">ny stylistic changes as they relate to potential changes within the conceptual family unit during this period, alongside the paradox of a private dedication erected in a public space. </w:t>
      </w:r>
      <w:r>
        <w:rPr>
          <w:i/>
          <w:sz w:val="18"/>
          <w:szCs w:val="18"/>
        </w:rPr>
        <w:t>The purpose of this paper is to compile and scrutinise the many 20</w:t>
      </w:r>
      <w:r>
        <w:rPr>
          <w:i/>
          <w:sz w:val="18"/>
          <w:szCs w:val="18"/>
          <w:vertAlign w:val="superscript"/>
        </w:rPr>
        <w:t>th</w:t>
      </w:r>
      <w:r>
        <w:rPr>
          <w:i/>
          <w:sz w:val="18"/>
          <w:szCs w:val="18"/>
        </w:rPr>
        <w:t xml:space="preserve"> and 21</w:t>
      </w:r>
      <w:r>
        <w:rPr>
          <w:i/>
          <w:sz w:val="18"/>
          <w:szCs w:val="18"/>
          <w:vertAlign w:val="superscript"/>
        </w:rPr>
        <w:t>st</w:t>
      </w:r>
      <w:r>
        <w:rPr>
          <w:i/>
          <w:sz w:val="18"/>
          <w:szCs w:val="18"/>
        </w:rPr>
        <w:t xml:space="preserve"> century interpretations of Attic grave reliefs, in order to provide one’s own assessment on the intersectionality of </w:t>
      </w:r>
      <w:proofErr w:type="spellStart"/>
      <w:r>
        <w:rPr>
          <w:i/>
          <w:sz w:val="18"/>
          <w:szCs w:val="18"/>
        </w:rPr>
        <w:t>stelai</w:t>
      </w:r>
      <w:proofErr w:type="spellEnd"/>
      <w:r>
        <w:rPr>
          <w:i/>
          <w:sz w:val="18"/>
          <w:szCs w:val="18"/>
        </w:rPr>
        <w:t xml:space="preserve">, the polis and the oikos. The paper serves as a contribution to recent scholarly attention on how the stele itself was an </w:t>
      </w:r>
      <w:r>
        <w:rPr>
          <w:i/>
          <w:sz w:val="18"/>
          <w:szCs w:val="18"/>
        </w:rPr>
        <w:t>opportunity for familial promotion.</w:t>
      </w:r>
    </w:p>
    <w:p w:rsidR="001142B0" w:rsidRDefault="00005B13">
      <w:pPr>
        <w:spacing w:before="240" w:line="360" w:lineRule="auto"/>
        <w:jc w:val="both"/>
        <w:rPr>
          <w:sz w:val="18"/>
          <w:szCs w:val="18"/>
        </w:rPr>
      </w:pPr>
      <w:r>
        <w:rPr>
          <w:sz w:val="18"/>
          <w:szCs w:val="18"/>
        </w:rPr>
        <w:t>[All images were photographed by the author]</w:t>
      </w:r>
    </w:p>
    <w:p w:rsidR="001142B0" w:rsidRDefault="00005B13">
      <w:pPr>
        <w:spacing w:before="240" w:line="360" w:lineRule="auto"/>
        <w:jc w:val="both"/>
      </w:pPr>
      <w:r w:rsidRPr="00470D43">
        <w:rPr>
          <w:color w:val="000000"/>
          <w:highlight w:val="green"/>
        </w:rPr>
        <w:lastRenderedPageBreak/>
        <w:t xml:space="preserve">Funerary </w:t>
      </w:r>
      <w:proofErr w:type="spellStart"/>
      <w:r w:rsidRPr="00470D43">
        <w:rPr>
          <w:i/>
          <w:color w:val="000000"/>
          <w:highlight w:val="green"/>
        </w:rPr>
        <w:t>stelai</w:t>
      </w:r>
      <w:proofErr w:type="spellEnd"/>
      <w:r w:rsidRPr="00470D43">
        <w:rPr>
          <w:color w:val="000000"/>
          <w:highlight w:val="green"/>
        </w:rPr>
        <w:t xml:space="preserve"> of the Classical period are valuable material evidence for Athenian and Attic self-representation from c.430 BC until the practice was banned by the tyrant </w:t>
      </w:r>
      <w:proofErr w:type="spellStart"/>
      <w:r w:rsidRPr="00470D43">
        <w:rPr>
          <w:color w:val="000000"/>
          <w:highlight w:val="green"/>
        </w:rPr>
        <w:t>Dem</w:t>
      </w:r>
      <w:r w:rsidRPr="00470D43">
        <w:rPr>
          <w:color w:val="000000"/>
          <w:highlight w:val="green"/>
        </w:rPr>
        <w:t>terios</w:t>
      </w:r>
      <w:proofErr w:type="spellEnd"/>
      <w:r w:rsidRPr="00470D43">
        <w:rPr>
          <w:color w:val="000000"/>
          <w:highlight w:val="green"/>
        </w:rPr>
        <w:t xml:space="preserve"> in the reforms of c.317 BC (</w:t>
      </w:r>
      <w:r w:rsidRPr="00470D43">
        <w:rPr>
          <w:highlight w:val="green"/>
        </w:rPr>
        <w:t>Pomeroy, 1997:100)</w:t>
      </w:r>
      <w:r w:rsidRPr="00470D43">
        <w:rPr>
          <w:color w:val="000000"/>
          <w:highlight w:val="green"/>
        </w:rPr>
        <w:t>.</w:t>
      </w:r>
      <w:r w:rsidRPr="00470D43">
        <w:rPr>
          <w:color w:val="000000"/>
          <w:highlight w:val="green"/>
          <w:vertAlign w:val="superscript"/>
        </w:rPr>
        <w:t xml:space="preserve"> </w:t>
      </w:r>
      <w:r w:rsidRPr="00470D43">
        <w:rPr>
          <w:color w:val="000000"/>
          <w:highlight w:val="green"/>
        </w:rPr>
        <w:t xml:space="preserve">The grave </w:t>
      </w:r>
      <w:r w:rsidRPr="00470D43">
        <w:rPr>
          <w:i/>
          <w:color w:val="000000"/>
          <w:highlight w:val="green"/>
        </w:rPr>
        <w:t xml:space="preserve">stele </w:t>
      </w:r>
      <w:r w:rsidRPr="00470D43">
        <w:rPr>
          <w:color w:val="000000"/>
          <w:highlight w:val="green"/>
        </w:rPr>
        <w:t>was arguably a politicised medium for the depiction of the dead; its popularity correlates with the rise of less audacious grave goods, indicating a more modest alternative to the free-</w:t>
      </w:r>
      <w:r w:rsidRPr="00470D43">
        <w:rPr>
          <w:color w:val="000000"/>
          <w:highlight w:val="green"/>
        </w:rPr>
        <w:t xml:space="preserve">standing </w:t>
      </w:r>
      <w:proofErr w:type="spellStart"/>
      <w:r w:rsidRPr="00470D43">
        <w:rPr>
          <w:i/>
          <w:color w:val="000000"/>
          <w:highlight w:val="green"/>
        </w:rPr>
        <w:t>kouroi</w:t>
      </w:r>
      <w:proofErr w:type="spellEnd"/>
      <w:r w:rsidRPr="00470D43">
        <w:rPr>
          <w:i/>
          <w:color w:val="000000"/>
          <w:highlight w:val="green"/>
        </w:rPr>
        <w:t xml:space="preserve"> </w:t>
      </w:r>
      <w:r w:rsidRPr="00470D43">
        <w:rPr>
          <w:color w:val="000000"/>
          <w:highlight w:val="green"/>
        </w:rPr>
        <w:t xml:space="preserve">and </w:t>
      </w:r>
      <w:r w:rsidRPr="00470D43">
        <w:rPr>
          <w:i/>
          <w:color w:val="000000"/>
          <w:highlight w:val="green"/>
        </w:rPr>
        <w:t xml:space="preserve">korai </w:t>
      </w:r>
      <w:r w:rsidRPr="00470D43">
        <w:rPr>
          <w:color w:val="000000"/>
          <w:highlight w:val="green"/>
        </w:rPr>
        <w:t>of the 6</w:t>
      </w:r>
      <w:r w:rsidRPr="00470D43">
        <w:rPr>
          <w:color w:val="000000"/>
          <w:highlight w:val="green"/>
          <w:vertAlign w:val="superscript"/>
        </w:rPr>
        <w:t>th</w:t>
      </w:r>
      <w:r w:rsidRPr="00470D43">
        <w:rPr>
          <w:color w:val="000000"/>
          <w:highlight w:val="green"/>
        </w:rPr>
        <w:t xml:space="preserve"> century BC (</w:t>
      </w:r>
      <w:proofErr w:type="spellStart"/>
      <w:r w:rsidRPr="00470D43">
        <w:rPr>
          <w:color w:val="000000"/>
          <w:highlight w:val="green"/>
        </w:rPr>
        <w:t>Neer</w:t>
      </w:r>
      <w:proofErr w:type="spellEnd"/>
      <w:r w:rsidRPr="00470D43">
        <w:rPr>
          <w:color w:val="000000"/>
          <w:highlight w:val="green"/>
        </w:rPr>
        <w:t xml:space="preserve">, 2010:188). A close analysis of the iconography of funerary </w:t>
      </w:r>
      <w:proofErr w:type="spellStart"/>
      <w:r w:rsidRPr="00470D43">
        <w:rPr>
          <w:i/>
          <w:color w:val="000000"/>
          <w:highlight w:val="green"/>
        </w:rPr>
        <w:t>stelai</w:t>
      </w:r>
      <w:proofErr w:type="spellEnd"/>
      <w:r w:rsidRPr="00470D43">
        <w:rPr>
          <w:i/>
          <w:color w:val="000000"/>
          <w:highlight w:val="green"/>
        </w:rPr>
        <w:t xml:space="preserve"> </w:t>
      </w:r>
      <w:r w:rsidRPr="00470D43">
        <w:rPr>
          <w:color w:val="000000"/>
          <w:highlight w:val="green"/>
        </w:rPr>
        <w:t>and accompanying inscriptions can often contribute to the identification of the deceased, relatives, attendants, careers and social sta</w:t>
      </w:r>
      <w:r w:rsidRPr="00470D43">
        <w:rPr>
          <w:color w:val="000000"/>
          <w:highlight w:val="green"/>
        </w:rPr>
        <w:t>nding of the subjects (</w:t>
      </w:r>
      <w:r w:rsidRPr="00470D43">
        <w:rPr>
          <w:highlight w:val="green"/>
        </w:rPr>
        <w:t>Burton, 2003: 20)</w:t>
      </w:r>
      <w:r w:rsidRPr="00470D43">
        <w:rPr>
          <w:color w:val="000000"/>
          <w:highlight w:val="green"/>
        </w:rPr>
        <w:t xml:space="preserve">.  </w:t>
      </w:r>
      <w:r w:rsidRPr="00470D43">
        <w:rPr>
          <w:highlight w:val="green"/>
        </w:rPr>
        <w:t>Greek grave reliefs have been extensively documented and researched since the late 19</w:t>
      </w:r>
      <w:r w:rsidRPr="00470D43">
        <w:rPr>
          <w:highlight w:val="green"/>
          <w:vertAlign w:val="superscript"/>
        </w:rPr>
        <w:t>th</w:t>
      </w:r>
      <w:r w:rsidRPr="00470D43">
        <w:rPr>
          <w:highlight w:val="green"/>
        </w:rPr>
        <w:t xml:space="preserve"> century. However, the breadth of research on Classical </w:t>
      </w:r>
      <w:proofErr w:type="spellStart"/>
      <w:r w:rsidRPr="00470D43">
        <w:rPr>
          <w:i/>
          <w:highlight w:val="green"/>
        </w:rPr>
        <w:t>stelai</w:t>
      </w:r>
      <w:proofErr w:type="spellEnd"/>
      <w:r w:rsidRPr="00470D43">
        <w:rPr>
          <w:i/>
          <w:highlight w:val="green"/>
        </w:rPr>
        <w:t xml:space="preserve"> </w:t>
      </w:r>
      <w:r w:rsidRPr="00470D43">
        <w:rPr>
          <w:highlight w:val="green"/>
        </w:rPr>
        <w:t xml:space="preserve">is not indicative of scholarly consensus. The diversity of the </w:t>
      </w:r>
      <w:r w:rsidRPr="00470D43">
        <w:rPr>
          <w:highlight w:val="green"/>
        </w:rPr>
        <w:t xml:space="preserve">funerary iconographic palette has made identifying the subject of a grave relief a long-debated topic. The broad chronology of Classical </w:t>
      </w:r>
      <w:proofErr w:type="spellStart"/>
      <w:r w:rsidRPr="00470D43">
        <w:rPr>
          <w:i/>
          <w:highlight w:val="green"/>
        </w:rPr>
        <w:t>stelai</w:t>
      </w:r>
      <w:proofErr w:type="spellEnd"/>
      <w:r w:rsidRPr="00470D43">
        <w:rPr>
          <w:highlight w:val="green"/>
        </w:rPr>
        <w:t xml:space="preserve"> is now widely considered to be orthodox, but the specific dating of an individual </w:t>
      </w:r>
      <w:r w:rsidRPr="00470D43">
        <w:rPr>
          <w:i/>
          <w:highlight w:val="green"/>
        </w:rPr>
        <w:t xml:space="preserve">stele </w:t>
      </w:r>
      <w:r w:rsidRPr="00470D43">
        <w:rPr>
          <w:highlight w:val="green"/>
        </w:rPr>
        <w:t>is rightly met by many w</w:t>
      </w:r>
      <w:r w:rsidRPr="00470D43">
        <w:rPr>
          <w:highlight w:val="green"/>
        </w:rPr>
        <w:t xml:space="preserve">ith caution (Clairmont, 1995:16). Stylistic assumptions can associate a </w:t>
      </w:r>
      <w:r w:rsidRPr="00470D43">
        <w:rPr>
          <w:i/>
          <w:highlight w:val="green"/>
        </w:rPr>
        <w:t xml:space="preserve">stele </w:t>
      </w:r>
      <w:r w:rsidRPr="00470D43">
        <w:rPr>
          <w:highlight w:val="green"/>
        </w:rPr>
        <w:t>with a particular decade (Adams, 1966: 113), but without accompanying inscriptions an exact date is not possible (Grossman, 2001:5).</w:t>
      </w:r>
    </w:p>
    <w:p w:rsidR="001142B0" w:rsidRDefault="00005B13">
      <w:pPr>
        <w:spacing w:before="240" w:line="360" w:lineRule="auto"/>
        <w:jc w:val="both"/>
      </w:pPr>
      <w:r w:rsidRPr="009F653C">
        <w:rPr>
          <w:highlight w:val="green"/>
        </w:rPr>
        <w:t>Recently, Classical funerary sculpture has un</w:t>
      </w:r>
      <w:r w:rsidRPr="009F653C">
        <w:rPr>
          <w:highlight w:val="green"/>
        </w:rPr>
        <w:t>dergone a shift in scholarly focus. The last 15 years has seen greater interest in the evaluation of social history, especially the relationship between the domestic family unit (</w:t>
      </w:r>
      <w:r w:rsidRPr="009F653C">
        <w:rPr>
          <w:i/>
          <w:highlight w:val="green"/>
        </w:rPr>
        <w:t>oikos</w:t>
      </w:r>
      <w:r w:rsidRPr="009F653C">
        <w:rPr>
          <w:highlight w:val="green"/>
        </w:rPr>
        <w:t xml:space="preserve">) and the wider political platform of the </w:t>
      </w:r>
      <w:r w:rsidRPr="009F653C">
        <w:rPr>
          <w:i/>
          <w:highlight w:val="green"/>
        </w:rPr>
        <w:t>polis</w:t>
      </w:r>
      <w:r w:rsidRPr="009F653C">
        <w:rPr>
          <w:highlight w:val="green"/>
        </w:rPr>
        <w:t>. The purpose of this pap</w:t>
      </w:r>
      <w:r w:rsidRPr="009F653C">
        <w:rPr>
          <w:highlight w:val="green"/>
        </w:rPr>
        <w:t>er is to compile and scrutinise published works 20</w:t>
      </w:r>
      <w:r w:rsidRPr="009F653C">
        <w:rPr>
          <w:highlight w:val="green"/>
          <w:vertAlign w:val="superscript"/>
        </w:rPr>
        <w:t>th</w:t>
      </w:r>
      <w:r w:rsidRPr="009F653C">
        <w:rPr>
          <w:highlight w:val="green"/>
        </w:rPr>
        <w:t xml:space="preserve"> and 21</w:t>
      </w:r>
      <w:r w:rsidRPr="009F653C">
        <w:rPr>
          <w:highlight w:val="green"/>
          <w:vertAlign w:val="superscript"/>
        </w:rPr>
        <w:t>st</w:t>
      </w:r>
      <w:r w:rsidRPr="009F653C">
        <w:rPr>
          <w:highlight w:val="green"/>
        </w:rPr>
        <w:t xml:space="preserve"> century concerning Attic grave reliefs. There will be a particular focus on the relationship between the commissioning family’s intention for a </w:t>
      </w:r>
      <w:proofErr w:type="spellStart"/>
      <w:proofErr w:type="gramStart"/>
      <w:r w:rsidRPr="009F653C">
        <w:rPr>
          <w:i/>
          <w:highlight w:val="green"/>
        </w:rPr>
        <w:t>stele</w:t>
      </w:r>
      <w:proofErr w:type="spellEnd"/>
      <w:r w:rsidRPr="009F653C">
        <w:rPr>
          <w:highlight w:val="green"/>
        </w:rPr>
        <w:t>, and</w:t>
      </w:r>
      <w:proofErr w:type="gramEnd"/>
      <w:r w:rsidRPr="009F653C">
        <w:rPr>
          <w:highlight w:val="green"/>
        </w:rPr>
        <w:t xml:space="preserve"> proceeding public reception. The inters</w:t>
      </w:r>
      <w:r w:rsidRPr="009F653C">
        <w:rPr>
          <w:highlight w:val="green"/>
        </w:rPr>
        <w:t xml:space="preserve">ectionality of </w:t>
      </w:r>
      <w:proofErr w:type="spellStart"/>
      <w:r w:rsidRPr="009F653C">
        <w:rPr>
          <w:i/>
          <w:highlight w:val="green"/>
        </w:rPr>
        <w:t>stelai</w:t>
      </w:r>
      <w:proofErr w:type="spellEnd"/>
      <w:r w:rsidRPr="009F653C">
        <w:rPr>
          <w:i/>
          <w:highlight w:val="green"/>
        </w:rPr>
        <w:t xml:space="preserve"> </w:t>
      </w:r>
      <w:r w:rsidRPr="009F653C">
        <w:rPr>
          <w:highlight w:val="green"/>
        </w:rPr>
        <w:t xml:space="preserve">will be assessed, their iconography and context inexorably linked both to the </w:t>
      </w:r>
      <w:r w:rsidRPr="009F653C">
        <w:rPr>
          <w:i/>
          <w:highlight w:val="green"/>
        </w:rPr>
        <w:t xml:space="preserve">polis </w:t>
      </w:r>
      <w:r w:rsidRPr="009F653C">
        <w:rPr>
          <w:highlight w:val="green"/>
        </w:rPr>
        <w:t xml:space="preserve">and the </w:t>
      </w:r>
      <w:r w:rsidRPr="009F653C">
        <w:rPr>
          <w:i/>
          <w:highlight w:val="green"/>
        </w:rPr>
        <w:t>oikos</w:t>
      </w:r>
      <w:r w:rsidRPr="009F653C">
        <w:rPr>
          <w:highlight w:val="green"/>
        </w:rPr>
        <w:t>.</w:t>
      </w:r>
      <w:r>
        <w:t xml:space="preserve"> </w:t>
      </w:r>
    </w:p>
    <w:p w:rsidR="001142B0" w:rsidRDefault="001142B0">
      <w:pPr>
        <w:spacing w:before="240" w:line="360" w:lineRule="auto"/>
        <w:jc w:val="both"/>
      </w:pPr>
    </w:p>
    <w:p w:rsidR="001142B0" w:rsidRDefault="001142B0">
      <w:pPr>
        <w:spacing w:before="240" w:after="0"/>
        <w:rPr>
          <w:b/>
          <w:sz w:val="24"/>
          <w:szCs w:val="24"/>
        </w:rPr>
      </w:pPr>
    </w:p>
    <w:p w:rsidR="001142B0" w:rsidRDefault="001142B0">
      <w:pPr>
        <w:spacing w:before="240" w:after="0"/>
        <w:rPr>
          <w:b/>
          <w:sz w:val="24"/>
          <w:szCs w:val="24"/>
        </w:rPr>
      </w:pPr>
    </w:p>
    <w:p w:rsidR="001142B0" w:rsidRDefault="001142B0">
      <w:pPr>
        <w:spacing w:before="240" w:after="0"/>
        <w:rPr>
          <w:b/>
          <w:sz w:val="24"/>
          <w:szCs w:val="24"/>
        </w:rPr>
      </w:pPr>
    </w:p>
    <w:p w:rsidR="001142B0" w:rsidRDefault="001142B0">
      <w:pPr>
        <w:spacing w:before="240" w:after="0"/>
        <w:rPr>
          <w:b/>
          <w:sz w:val="24"/>
          <w:szCs w:val="24"/>
        </w:rPr>
      </w:pPr>
    </w:p>
    <w:p w:rsidR="001142B0" w:rsidRDefault="001142B0">
      <w:pPr>
        <w:spacing w:before="240" w:after="0"/>
        <w:rPr>
          <w:b/>
          <w:sz w:val="24"/>
          <w:szCs w:val="24"/>
        </w:rPr>
      </w:pPr>
    </w:p>
    <w:p w:rsidR="001142B0" w:rsidRDefault="001142B0">
      <w:pPr>
        <w:spacing w:before="240" w:after="0"/>
        <w:rPr>
          <w:b/>
          <w:sz w:val="24"/>
          <w:szCs w:val="24"/>
        </w:rPr>
      </w:pPr>
    </w:p>
    <w:p w:rsidR="001142B0" w:rsidRDefault="001142B0">
      <w:pPr>
        <w:spacing w:before="240" w:after="0"/>
        <w:rPr>
          <w:b/>
          <w:sz w:val="24"/>
          <w:szCs w:val="24"/>
        </w:rPr>
      </w:pPr>
    </w:p>
    <w:p w:rsidR="001142B0" w:rsidRDefault="00005B13">
      <w:pPr>
        <w:spacing w:before="240" w:after="0"/>
        <w:rPr>
          <w:b/>
          <w:sz w:val="24"/>
          <w:szCs w:val="24"/>
        </w:rPr>
      </w:pPr>
      <w:r>
        <w:rPr>
          <w:b/>
          <w:sz w:val="24"/>
          <w:szCs w:val="24"/>
        </w:rPr>
        <w:lastRenderedPageBreak/>
        <w:t>Catalogue</w:t>
      </w:r>
    </w:p>
    <w:p w:rsidR="001142B0" w:rsidRDefault="001142B0">
      <w:pPr>
        <w:spacing w:after="0"/>
        <w:rPr>
          <w:b/>
          <w:sz w:val="24"/>
          <w:szCs w:val="24"/>
        </w:rPr>
      </w:pPr>
    </w:p>
    <w:p w:rsidR="001142B0" w:rsidRDefault="00005B13">
      <w:pPr>
        <w:spacing w:after="0"/>
      </w:pPr>
      <w:r>
        <w:rPr>
          <w:b/>
        </w:rPr>
        <w:t xml:space="preserve">Inventory Number </w:t>
      </w:r>
      <w:r>
        <w:t>– Ashmolean Cast Gallery, Oxford</w:t>
      </w:r>
    </w:p>
    <w:p w:rsidR="001142B0" w:rsidRDefault="00005B13">
      <w:pPr>
        <w:spacing w:after="0"/>
      </w:pPr>
      <w:r>
        <w:t>Current location</w:t>
      </w:r>
    </w:p>
    <w:p w:rsidR="001142B0" w:rsidRDefault="00005B13">
      <w:pPr>
        <w:spacing w:after="0"/>
      </w:pPr>
      <w:r>
        <w:t>Approximate date, material</w:t>
      </w:r>
    </w:p>
    <w:p w:rsidR="001142B0" w:rsidRDefault="00005B13">
      <w:pPr>
        <w:spacing w:after="0"/>
      </w:pPr>
      <w:r>
        <w:t>Location of discovery</w:t>
      </w:r>
    </w:p>
    <w:p w:rsidR="001142B0" w:rsidRDefault="00005B13">
      <w:pPr>
        <w:spacing w:after="0"/>
      </w:pPr>
      <w:r>
        <w:t>Dimensions</w:t>
      </w:r>
    </w:p>
    <w:p w:rsidR="001142B0" w:rsidRDefault="00005B13">
      <w:pPr>
        <w:spacing w:after="0"/>
      </w:pPr>
      <w:r>
        <w:t xml:space="preserve">Bibliography beyond the Ashmolean (CAT: Classical Attic Tombstones, DAG: </w:t>
      </w:r>
      <w:r>
        <w:rPr>
          <w:i/>
        </w:rPr>
        <w:t xml:space="preserve">Die </w:t>
      </w:r>
      <w:proofErr w:type="spellStart"/>
      <w:r>
        <w:rPr>
          <w:i/>
        </w:rPr>
        <w:t>Attische</w:t>
      </w:r>
      <w:proofErr w:type="spellEnd"/>
      <w:r>
        <w:rPr>
          <w:i/>
        </w:rPr>
        <w:t xml:space="preserve"> </w:t>
      </w:r>
      <w:proofErr w:type="spellStart"/>
      <w:r>
        <w:rPr>
          <w:i/>
        </w:rPr>
        <w:t>Grabreliefs</w:t>
      </w:r>
      <w:proofErr w:type="spellEnd"/>
      <w:r>
        <w:t>)</w:t>
      </w:r>
    </w:p>
    <w:p w:rsidR="001142B0" w:rsidRDefault="00005B13">
      <w:pPr>
        <w:spacing w:after="0"/>
      </w:pPr>
      <w:proofErr w:type="spellStart"/>
      <w:r>
        <w:t>Comparanda</w:t>
      </w:r>
      <w:proofErr w:type="spellEnd"/>
    </w:p>
    <w:p w:rsidR="001142B0" w:rsidRDefault="001142B0">
      <w:pPr>
        <w:pBdr>
          <w:top w:val="nil"/>
          <w:left w:val="nil"/>
          <w:bottom w:val="nil"/>
          <w:right w:val="nil"/>
          <w:between w:val="nil"/>
        </w:pBdr>
        <w:spacing w:after="0"/>
        <w:rPr>
          <w:b/>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w:t>
      </w:r>
      <w:proofErr w:type="spellStart"/>
      <w:r>
        <w:rPr>
          <w:b/>
          <w:color w:val="000000"/>
        </w:rPr>
        <w:t>Mynno</w:t>
      </w:r>
      <w:proofErr w:type="spellEnd"/>
      <w:r>
        <w:rPr>
          <w:b/>
          <w:color w:val="000000"/>
        </w:rPr>
        <w:t xml:space="preserve"> </w:t>
      </w:r>
    </w:p>
    <w:p w:rsidR="001142B0" w:rsidRDefault="00005B13">
      <w:pPr>
        <w:pBdr>
          <w:top w:val="nil"/>
          <w:left w:val="nil"/>
          <w:bottom w:val="nil"/>
          <w:right w:val="nil"/>
          <w:between w:val="nil"/>
        </w:pBdr>
        <w:spacing w:after="0"/>
        <w:jc w:val="center"/>
        <w:rPr>
          <w:color w:val="000000"/>
        </w:rPr>
      </w:pPr>
      <w:r>
        <w:rPr>
          <w:b/>
          <w:color w:val="000000"/>
        </w:rPr>
        <w:t>(Fig 1)</w:t>
      </w:r>
    </w:p>
    <w:p w:rsidR="001142B0" w:rsidRDefault="00005B13">
      <w:pPr>
        <w:pBdr>
          <w:top w:val="nil"/>
          <w:left w:val="nil"/>
          <w:bottom w:val="nil"/>
          <w:right w:val="nil"/>
          <w:between w:val="nil"/>
        </w:pBdr>
        <w:spacing w:after="0"/>
        <w:rPr>
          <w:color w:val="000000"/>
        </w:rPr>
      </w:pPr>
      <w:r>
        <w:rPr>
          <w:color w:val="000000"/>
        </w:rPr>
        <w:t>Oxford, Ashmolean Cast Gallery Inv.</w:t>
      </w:r>
      <w:r>
        <w:rPr>
          <w:b/>
          <w:color w:val="000000"/>
        </w:rPr>
        <w:t xml:space="preserve"> D039</w:t>
      </w:r>
    </w:p>
    <w:p w:rsidR="001142B0" w:rsidRDefault="00005B13">
      <w:pPr>
        <w:pBdr>
          <w:top w:val="nil"/>
          <w:left w:val="nil"/>
          <w:bottom w:val="nil"/>
          <w:right w:val="nil"/>
          <w:between w:val="nil"/>
        </w:pBdr>
        <w:spacing w:after="0"/>
        <w:rPr>
          <w:color w:val="000000"/>
        </w:rPr>
      </w:pPr>
      <w:r>
        <w:rPr>
          <w:color w:val="000000"/>
        </w:rPr>
        <w:t xml:space="preserve">Berlin, </w:t>
      </w:r>
      <w:proofErr w:type="spellStart"/>
      <w:r>
        <w:rPr>
          <w:color w:val="000000"/>
        </w:rPr>
        <w:t>Antikensammlung</w:t>
      </w:r>
      <w:proofErr w:type="spellEnd"/>
      <w:r>
        <w:rPr>
          <w:color w:val="000000"/>
        </w:rPr>
        <w:t xml:space="preserve">, Staatliche </w:t>
      </w:r>
      <w:proofErr w:type="spellStart"/>
      <w:r>
        <w:rPr>
          <w:color w:val="000000"/>
        </w:rPr>
        <w:t>Museen</w:t>
      </w:r>
      <w:proofErr w:type="spellEnd"/>
      <w:r>
        <w:rPr>
          <w:color w:val="000000"/>
        </w:rPr>
        <w:t xml:space="preserve"> </w:t>
      </w:r>
      <w:proofErr w:type="spellStart"/>
      <w:r>
        <w:rPr>
          <w:color w:val="000000"/>
        </w:rPr>
        <w:t>zu</w:t>
      </w:r>
      <w:proofErr w:type="spellEnd"/>
      <w:r>
        <w:rPr>
          <w:color w:val="000000"/>
        </w:rPr>
        <w:t xml:space="preserve"> Berlin Inv. </w:t>
      </w:r>
      <w:r>
        <w:rPr>
          <w:b/>
          <w:color w:val="000000"/>
        </w:rPr>
        <w:t>737</w:t>
      </w:r>
    </w:p>
    <w:p w:rsidR="001142B0" w:rsidRDefault="00005B13">
      <w:pPr>
        <w:pBdr>
          <w:top w:val="nil"/>
          <w:left w:val="nil"/>
          <w:bottom w:val="nil"/>
          <w:right w:val="nil"/>
          <w:between w:val="nil"/>
        </w:pBdr>
        <w:spacing w:after="0"/>
        <w:rPr>
          <w:color w:val="000000"/>
        </w:rPr>
      </w:pPr>
      <w:r>
        <w:rPr>
          <w:color w:val="000000"/>
        </w:rPr>
        <w:t>Late 5</w:t>
      </w:r>
      <w:r>
        <w:rPr>
          <w:color w:val="000000"/>
          <w:vertAlign w:val="superscript"/>
        </w:rPr>
        <w:t>th</w:t>
      </w:r>
      <w:r>
        <w:rPr>
          <w:color w:val="000000"/>
        </w:rPr>
        <w:t xml:space="preserve"> century BC, Pentelic Marble</w:t>
      </w:r>
    </w:p>
    <w:p w:rsidR="001142B0" w:rsidRDefault="00005B13">
      <w:pPr>
        <w:pBdr>
          <w:top w:val="nil"/>
          <w:left w:val="nil"/>
          <w:bottom w:val="nil"/>
          <w:right w:val="nil"/>
          <w:between w:val="nil"/>
        </w:pBdr>
        <w:spacing w:after="0"/>
        <w:rPr>
          <w:color w:val="000000"/>
        </w:rPr>
      </w:pPr>
      <w:r>
        <w:rPr>
          <w:color w:val="000000"/>
        </w:rPr>
        <w:t>Attica, between Athens and the Piraeus</w:t>
      </w:r>
    </w:p>
    <w:p w:rsidR="001142B0" w:rsidRDefault="00005B13">
      <w:pPr>
        <w:pBdr>
          <w:top w:val="nil"/>
          <w:left w:val="nil"/>
          <w:bottom w:val="nil"/>
          <w:right w:val="nil"/>
          <w:between w:val="nil"/>
        </w:pBdr>
        <w:tabs>
          <w:tab w:val="left" w:pos="3315"/>
        </w:tabs>
        <w:spacing w:after="0"/>
        <w:rPr>
          <w:color w:val="000000"/>
        </w:rPr>
      </w:pPr>
      <w:r>
        <w:rPr>
          <w:i/>
          <w:color w:val="000000"/>
        </w:rPr>
        <w:t>Height:</w:t>
      </w:r>
      <w:r>
        <w:rPr>
          <w:color w:val="000000"/>
        </w:rPr>
        <w:t xml:space="preserve"> 60cm, Width: 28cm</w:t>
      </w:r>
      <w:r>
        <w:rPr>
          <w:color w:val="000000"/>
        </w:rPr>
        <w:tab/>
      </w:r>
    </w:p>
    <w:p w:rsidR="001142B0" w:rsidRDefault="00005B13">
      <w:pPr>
        <w:pBdr>
          <w:top w:val="nil"/>
          <w:left w:val="nil"/>
          <w:bottom w:val="nil"/>
          <w:right w:val="nil"/>
          <w:between w:val="nil"/>
        </w:pBdr>
        <w:spacing w:after="0"/>
        <w:rPr>
          <w:color w:val="000000"/>
        </w:rPr>
      </w:pPr>
      <w:r>
        <w:rPr>
          <w:i/>
          <w:color w:val="000000"/>
        </w:rPr>
        <w:t xml:space="preserve">Bibliography: TCG, </w:t>
      </w:r>
      <w:r>
        <w:rPr>
          <w:color w:val="000000"/>
        </w:rPr>
        <w:t xml:space="preserve">207, D039; </w:t>
      </w:r>
      <w:r>
        <w:rPr>
          <w:i/>
          <w:color w:val="000000"/>
        </w:rPr>
        <w:t>CAT 2, 1.176</w:t>
      </w:r>
      <w:r>
        <w:rPr>
          <w:color w:val="000000"/>
        </w:rPr>
        <w:t xml:space="preserve">; </w:t>
      </w:r>
      <w:r>
        <w:rPr>
          <w:i/>
          <w:color w:val="000000"/>
        </w:rPr>
        <w:t xml:space="preserve">DAG </w:t>
      </w:r>
      <w:r>
        <w:rPr>
          <w:color w:val="000000"/>
        </w:rPr>
        <w:t>1</w:t>
      </w:r>
      <w:r>
        <w:rPr>
          <w:i/>
          <w:color w:val="000000"/>
        </w:rPr>
        <w:t xml:space="preserve">, </w:t>
      </w:r>
      <w:r>
        <w:rPr>
          <w:color w:val="000000"/>
        </w:rPr>
        <w:t>38.17.</w:t>
      </w:r>
    </w:p>
    <w:p w:rsidR="001142B0" w:rsidRDefault="00005B13">
      <w:pPr>
        <w:pBdr>
          <w:top w:val="nil"/>
          <w:left w:val="nil"/>
          <w:bottom w:val="nil"/>
          <w:right w:val="nil"/>
          <w:between w:val="nil"/>
        </w:pBdr>
        <w:spacing w:after="0"/>
        <w:rPr>
          <w:b/>
          <w:color w:val="000000"/>
        </w:rPr>
      </w:pPr>
      <w:proofErr w:type="spellStart"/>
      <w:r>
        <w:rPr>
          <w:i/>
          <w:color w:val="000000"/>
        </w:rPr>
        <w:t>Comparanda</w:t>
      </w:r>
      <w:proofErr w:type="spellEnd"/>
      <w:r>
        <w:rPr>
          <w:i/>
          <w:color w:val="000000"/>
        </w:rPr>
        <w:t xml:space="preserve">: </w:t>
      </w:r>
      <w:r>
        <w:rPr>
          <w:b/>
          <w:color w:val="000000"/>
        </w:rPr>
        <w:t>D037</w:t>
      </w: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seated woman </w:t>
      </w:r>
    </w:p>
    <w:p w:rsidR="001142B0" w:rsidRDefault="00005B13">
      <w:pPr>
        <w:pBdr>
          <w:top w:val="nil"/>
          <w:left w:val="nil"/>
          <w:bottom w:val="nil"/>
          <w:right w:val="nil"/>
          <w:between w:val="nil"/>
        </w:pBdr>
        <w:spacing w:after="0"/>
        <w:jc w:val="center"/>
        <w:rPr>
          <w:color w:val="000000"/>
        </w:rPr>
      </w:pPr>
      <w:r>
        <w:rPr>
          <w:b/>
          <w:color w:val="000000"/>
        </w:rPr>
        <w:t>(Fig 2)</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Oxford, Ashmolean Cast Gallery Inv. </w:t>
      </w:r>
      <w:r w:rsidRPr="009F653C">
        <w:rPr>
          <w:b/>
          <w:color w:val="000000"/>
          <w:highlight w:val="green"/>
        </w:rPr>
        <w:t>D038</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Athens, National Archaeological Museum Inv. </w:t>
      </w:r>
      <w:r w:rsidRPr="009F653C">
        <w:rPr>
          <w:b/>
          <w:color w:val="000000"/>
          <w:highlight w:val="green"/>
        </w:rPr>
        <w:t>1822</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Late 5</w:t>
      </w:r>
      <w:r w:rsidRPr="009F653C">
        <w:rPr>
          <w:color w:val="000000"/>
          <w:highlight w:val="green"/>
          <w:vertAlign w:val="superscript"/>
        </w:rPr>
        <w:t>th</w:t>
      </w:r>
      <w:r w:rsidRPr="009F653C">
        <w:rPr>
          <w:color w:val="000000"/>
          <w:highlight w:val="green"/>
        </w:rPr>
        <w:t xml:space="preserve"> century BC, Marble</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Athens, between </w:t>
      </w:r>
      <w:proofErr w:type="spellStart"/>
      <w:r w:rsidRPr="009F653C">
        <w:rPr>
          <w:color w:val="000000"/>
          <w:highlight w:val="green"/>
        </w:rPr>
        <w:t>Athinas</w:t>
      </w:r>
      <w:proofErr w:type="spellEnd"/>
      <w:r w:rsidRPr="009F653C">
        <w:rPr>
          <w:color w:val="000000"/>
          <w:highlight w:val="green"/>
        </w:rPr>
        <w:t xml:space="preserve"> Street &amp; </w:t>
      </w:r>
      <w:proofErr w:type="spellStart"/>
      <w:r w:rsidRPr="009F653C">
        <w:rPr>
          <w:color w:val="000000"/>
          <w:highlight w:val="green"/>
        </w:rPr>
        <w:t>Lykourgou</w:t>
      </w:r>
      <w:proofErr w:type="spellEnd"/>
      <w:r w:rsidRPr="009F653C">
        <w:rPr>
          <w:color w:val="000000"/>
          <w:highlight w:val="green"/>
        </w:rPr>
        <w:t xml:space="preserve"> Street </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(lower part found in 1898, upper part found in 1964)</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Height: 1.18m, Width: 70cm</w:t>
      </w:r>
    </w:p>
    <w:p w:rsidR="001142B0" w:rsidRPr="009F653C" w:rsidRDefault="00005B13">
      <w:pPr>
        <w:pBdr>
          <w:top w:val="nil"/>
          <w:left w:val="nil"/>
          <w:bottom w:val="nil"/>
          <w:right w:val="nil"/>
          <w:between w:val="nil"/>
        </w:pBdr>
        <w:spacing w:after="0"/>
        <w:rPr>
          <w:color w:val="000000"/>
          <w:highlight w:val="green"/>
        </w:rPr>
      </w:pPr>
      <w:r w:rsidRPr="009F653C">
        <w:rPr>
          <w:i/>
          <w:color w:val="000000"/>
          <w:highlight w:val="green"/>
        </w:rPr>
        <w:t xml:space="preserve">Bibliography: TCG, </w:t>
      </w:r>
      <w:r w:rsidRPr="009F653C">
        <w:rPr>
          <w:color w:val="000000"/>
          <w:highlight w:val="green"/>
        </w:rPr>
        <w:t xml:space="preserve">207, D038; </w:t>
      </w:r>
      <w:r w:rsidRPr="009F653C">
        <w:rPr>
          <w:i/>
          <w:color w:val="000000"/>
          <w:highlight w:val="green"/>
        </w:rPr>
        <w:t xml:space="preserve">CAT 2, </w:t>
      </w:r>
      <w:r w:rsidRPr="009F653C">
        <w:rPr>
          <w:color w:val="000000"/>
          <w:highlight w:val="green"/>
        </w:rPr>
        <w:t>98, 2.151.</w:t>
      </w:r>
    </w:p>
    <w:p w:rsidR="001142B0" w:rsidRDefault="00005B13">
      <w:pPr>
        <w:pBdr>
          <w:top w:val="nil"/>
          <w:left w:val="nil"/>
          <w:bottom w:val="nil"/>
          <w:right w:val="nil"/>
          <w:between w:val="nil"/>
        </w:pBdr>
        <w:spacing w:after="0"/>
        <w:rPr>
          <w:i/>
          <w:color w:val="000000"/>
        </w:rPr>
      </w:pPr>
      <w:proofErr w:type="spellStart"/>
      <w:r w:rsidRPr="009F653C">
        <w:rPr>
          <w:i/>
          <w:color w:val="000000"/>
          <w:highlight w:val="green"/>
        </w:rPr>
        <w:t>Comparanda</w:t>
      </w:r>
      <w:proofErr w:type="spellEnd"/>
      <w:r w:rsidRPr="009F653C">
        <w:rPr>
          <w:i/>
          <w:color w:val="000000"/>
          <w:highlight w:val="green"/>
        </w:rPr>
        <w:t xml:space="preserve">: </w:t>
      </w:r>
      <w:r w:rsidRPr="009F653C">
        <w:rPr>
          <w:b/>
          <w:color w:val="000000"/>
          <w:highlight w:val="green"/>
        </w:rPr>
        <w:t xml:space="preserve">D037; </w:t>
      </w:r>
      <w:r w:rsidRPr="009F653C">
        <w:rPr>
          <w:i/>
          <w:color w:val="000000"/>
          <w:highlight w:val="green"/>
        </w:rPr>
        <w:t xml:space="preserve">NAM, </w:t>
      </w:r>
      <w:r w:rsidRPr="009F653C">
        <w:rPr>
          <w:color w:val="000000"/>
          <w:highlight w:val="green"/>
        </w:rPr>
        <w:t xml:space="preserve">inv. 820; </w:t>
      </w:r>
      <w:r w:rsidRPr="009F653C">
        <w:rPr>
          <w:i/>
          <w:color w:val="000000"/>
          <w:highlight w:val="green"/>
        </w:rPr>
        <w:t>inv</w:t>
      </w:r>
      <w:r w:rsidRPr="009F653C">
        <w:rPr>
          <w:color w:val="000000"/>
          <w:highlight w:val="green"/>
        </w:rPr>
        <w:t>. 831.</w:t>
      </w:r>
    </w:p>
    <w:p w:rsidR="001142B0" w:rsidRDefault="001142B0">
      <w:pPr>
        <w:pBdr>
          <w:top w:val="nil"/>
          <w:left w:val="nil"/>
          <w:bottom w:val="nil"/>
          <w:right w:val="nil"/>
          <w:between w:val="nil"/>
        </w:pBdr>
        <w:spacing w:after="0"/>
        <w:rPr>
          <w:b/>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w:t>
      </w:r>
      <w:proofErr w:type="spellStart"/>
      <w:r>
        <w:rPr>
          <w:b/>
          <w:color w:val="000000"/>
        </w:rPr>
        <w:t>Hegeso</w:t>
      </w:r>
      <w:proofErr w:type="spellEnd"/>
      <w:r>
        <w:rPr>
          <w:b/>
          <w:color w:val="000000"/>
        </w:rPr>
        <w:t xml:space="preserve"> </w:t>
      </w:r>
    </w:p>
    <w:p w:rsidR="001142B0" w:rsidRDefault="00005B13">
      <w:pPr>
        <w:pBdr>
          <w:top w:val="nil"/>
          <w:left w:val="nil"/>
          <w:bottom w:val="nil"/>
          <w:right w:val="nil"/>
          <w:between w:val="nil"/>
        </w:pBdr>
        <w:spacing w:after="0"/>
        <w:jc w:val="center"/>
        <w:rPr>
          <w:color w:val="000000"/>
        </w:rPr>
      </w:pPr>
      <w:r>
        <w:rPr>
          <w:b/>
          <w:color w:val="000000"/>
        </w:rPr>
        <w:t>(Fig 3)</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Oxford, Ashmolean Cast Gallery Inv. </w:t>
      </w:r>
      <w:r w:rsidRPr="009F653C">
        <w:rPr>
          <w:b/>
          <w:color w:val="000000"/>
          <w:highlight w:val="green"/>
        </w:rPr>
        <w:t>D037</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Athens, National Archaeological Museum Inv. </w:t>
      </w:r>
      <w:r w:rsidRPr="009F653C">
        <w:rPr>
          <w:b/>
          <w:color w:val="000000"/>
          <w:highlight w:val="green"/>
        </w:rPr>
        <w:t>3624</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c.400 BC, Pentelic Marble</w:t>
      </w:r>
    </w:p>
    <w:p w:rsidR="001142B0" w:rsidRPr="009F653C" w:rsidRDefault="00005B13">
      <w:pPr>
        <w:pBdr>
          <w:top w:val="nil"/>
          <w:left w:val="nil"/>
          <w:bottom w:val="nil"/>
          <w:right w:val="nil"/>
          <w:between w:val="nil"/>
        </w:pBdr>
        <w:spacing w:after="0"/>
        <w:rPr>
          <w:color w:val="000000"/>
          <w:highlight w:val="green"/>
        </w:rPr>
      </w:pPr>
      <w:r w:rsidRPr="009F653C">
        <w:rPr>
          <w:color w:val="000000"/>
          <w:highlight w:val="green"/>
        </w:rPr>
        <w:t xml:space="preserve">Athenian </w:t>
      </w:r>
      <w:proofErr w:type="spellStart"/>
      <w:r w:rsidRPr="009F653C">
        <w:rPr>
          <w:color w:val="000000"/>
          <w:highlight w:val="green"/>
        </w:rPr>
        <w:t>Kerameikos</w:t>
      </w:r>
      <w:proofErr w:type="spellEnd"/>
      <w:r w:rsidRPr="009F653C">
        <w:rPr>
          <w:color w:val="000000"/>
          <w:highlight w:val="green"/>
        </w:rPr>
        <w:t xml:space="preserve"> (Discovered in 1870)</w:t>
      </w:r>
    </w:p>
    <w:p w:rsidR="001142B0" w:rsidRPr="009F653C" w:rsidRDefault="00005B13">
      <w:pPr>
        <w:pBdr>
          <w:top w:val="nil"/>
          <w:left w:val="nil"/>
          <w:bottom w:val="nil"/>
          <w:right w:val="nil"/>
          <w:between w:val="nil"/>
        </w:pBdr>
        <w:spacing w:after="0"/>
        <w:rPr>
          <w:color w:val="000000"/>
          <w:highlight w:val="green"/>
        </w:rPr>
      </w:pPr>
      <w:r w:rsidRPr="009F653C">
        <w:rPr>
          <w:i/>
          <w:color w:val="000000"/>
          <w:highlight w:val="green"/>
        </w:rPr>
        <w:t>Height:</w:t>
      </w:r>
      <w:r w:rsidRPr="009F653C">
        <w:rPr>
          <w:color w:val="000000"/>
          <w:highlight w:val="green"/>
        </w:rPr>
        <w:t xml:space="preserve"> 1.5m, Width: 97cm</w:t>
      </w:r>
    </w:p>
    <w:p w:rsidR="001142B0" w:rsidRPr="009F653C" w:rsidRDefault="00005B13">
      <w:pPr>
        <w:pBdr>
          <w:top w:val="nil"/>
          <w:left w:val="nil"/>
          <w:bottom w:val="nil"/>
          <w:right w:val="nil"/>
          <w:between w:val="nil"/>
        </w:pBdr>
        <w:spacing w:after="0"/>
        <w:rPr>
          <w:i/>
          <w:color w:val="000000"/>
          <w:highlight w:val="green"/>
        </w:rPr>
      </w:pPr>
      <w:r w:rsidRPr="009F653C">
        <w:rPr>
          <w:i/>
          <w:color w:val="000000"/>
          <w:highlight w:val="green"/>
        </w:rPr>
        <w:t xml:space="preserve">Bibliography: TCG, </w:t>
      </w:r>
      <w:r w:rsidRPr="009F653C">
        <w:rPr>
          <w:color w:val="000000"/>
          <w:highlight w:val="green"/>
        </w:rPr>
        <w:t xml:space="preserve">207, D037; </w:t>
      </w:r>
      <w:r w:rsidRPr="009F653C">
        <w:rPr>
          <w:i/>
          <w:color w:val="000000"/>
          <w:highlight w:val="green"/>
        </w:rPr>
        <w:t xml:space="preserve">CAT 2, </w:t>
      </w:r>
      <w:r w:rsidRPr="009F653C">
        <w:rPr>
          <w:color w:val="000000"/>
          <w:highlight w:val="green"/>
        </w:rPr>
        <w:t xml:space="preserve">95-9, 2.150; </w:t>
      </w:r>
      <w:r w:rsidRPr="009F653C">
        <w:rPr>
          <w:i/>
          <w:color w:val="000000"/>
          <w:highlight w:val="green"/>
        </w:rPr>
        <w:t xml:space="preserve">DAG 1, </w:t>
      </w:r>
      <w:r w:rsidRPr="009F653C">
        <w:rPr>
          <w:color w:val="000000"/>
          <w:highlight w:val="green"/>
        </w:rPr>
        <w:t>21, 68.</w:t>
      </w:r>
    </w:p>
    <w:p w:rsidR="001142B0" w:rsidRDefault="00005B13">
      <w:pPr>
        <w:pBdr>
          <w:top w:val="nil"/>
          <w:left w:val="nil"/>
          <w:bottom w:val="nil"/>
          <w:right w:val="nil"/>
          <w:between w:val="nil"/>
        </w:pBdr>
        <w:spacing w:after="0"/>
        <w:rPr>
          <w:color w:val="000000"/>
        </w:rPr>
      </w:pPr>
      <w:proofErr w:type="spellStart"/>
      <w:r w:rsidRPr="009F653C">
        <w:rPr>
          <w:i/>
          <w:color w:val="000000"/>
          <w:highlight w:val="green"/>
        </w:rPr>
        <w:t>Comparanda</w:t>
      </w:r>
      <w:proofErr w:type="spellEnd"/>
      <w:r w:rsidRPr="009F653C">
        <w:rPr>
          <w:i/>
          <w:color w:val="000000"/>
          <w:highlight w:val="green"/>
        </w:rPr>
        <w:t xml:space="preserve">: </w:t>
      </w:r>
      <w:r w:rsidRPr="009F653C">
        <w:rPr>
          <w:b/>
          <w:color w:val="000000"/>
          <w:highlight w:val="green"/>
        </w:rPr>
        <w:t>D038</w:t>
      </w:r>
      <w:r w:rsidRPr="009F653C">
        <w:rPr>
          <w:color w:val="000000"/>
          <w:highlight w:val="green"/>
        </w:rPr>
        <w:t xml:space="preserve">; </w:t>
      </w:r>
      <w:r w:rsidRPr="009F653C">
        <w:rPr>
          <w:b/>
          <w:color w:val="000000"/>
          <w:highlight w:val="green"/>
        </w:rPr>
        <w:t xml:space="preserve">D039; </w:t>
      </w:r>
      <w:r w:rsidRPr="009F653C">
        <w:rPr>
          <w:i/>
          <w:color w:val="000000"/>
          <w:highlight w:val="green"/>
        </w:rPr>
        <w:t xml:space="preserve">NAM, </w:t>
      </w:r>
      <w:r w:rsidRPr="009F653C">
        <w:rPr>
          <w:color w:val="000000"/>
          <w:highlight w:val="green"/>
        </w:rPr>
        <w:t>inv. 1178a; inv. 726.</w:t>
      </w: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i/>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lastRenderedPageBreak/>
        <w:t xml:space="preserve">Grave stele of </w:t>
      </w:r>
      <w:proofErr w:type="spellStart"/>
      <w:r>
        <w:rPr>
          <w:b/>
          <w:color w:val="000000"/>
        </w:rPr>
        <w:t>Sostrate</w:t>
      </w:r>
      <w:proofErr w:type="spellEnd"/>
      <w:r>
        <w:rPr>
          <w:b/>
          <w:color w:val="000000"/>
        </w:rPr>
        <w:t xml:space="preserve"> and </w:t>
      </w:r>
      <w:proofErr w:type="spellStart"/>
      <w:r>
        <w:rPr>
          <w:b/>
          <w:color w:val="000000"/>
        </w:rPr>
        <w:t>Euxenides</w:t>
      </w:r>
      <w:proofErr w:type="spellEnd"/>
      <w:r>
        <w:rPr>
          <w:b/>
          <w:color w:val="000000"/>
        </w:rPr>
        <w:t xml:space="preserve"> </w:t>
      </w:r>
    </w:p>
    <w:p w:rsidR="001142B0" w:rsidRDefault="00005B13">
      <w:pPr>
        <w:pBdr>
          <w:top w:val="nil"/>
          <w:left w:val="nil"/>
          <w:bottom w:val="nil"/>
          <w:right w:val="nil"/>
          <w:between w:val="nil"/>
        </w:pBdr>
        <w:spacing w:after="0"/>
        <w:jc w:val="center"/>
        <w:rPr>
          <w:b/>
          <w:color w:val="000000"/>
        </w:rPr>
      </w:pPr>
      <w:r>
        <w:rPr>
          <w:b/>
          <w:color w:val="000000"/>
        </w:rPr>
        <w:t>(Fig 4)</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D072</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Copenhagen, Ny Carlsberg </w:t>
      </w:r>
      <w:proofErr w:type="spellStart"/>
      <w:r w:rsidRPr="00AC74B0">
        <w:rPr>
          <w:color w:val="000000"/>
          <w:highlight w:val="green"/>
        </w:rPr>
        <w:t>Glyptothek</w:t>
      </w:r>
      <w:proofErr w:type="spellEnd"/>
      <w:r w:rsidRPr="00AC74B0">
        <w:rPr>
          <w:color w:val="000000"/>
          <w:highlight w:val="green"/>
        </w:rPr>
        <w:t xml:space="preserve"> Inv. </w:t>
      </w:r>
      <w:r w:rsidRPr="00AC74B0">
        <w:rPr>
          <w:b/>
          <w:color w:val="000000"/>
          <w:highlight w:val="green"/>
        </w:rPr>
        <w:t>1695</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Early 4</w:t>
      </w:r>
      <w:r w:rsidRPr="00AC74B0">
        <w:rPr>
          <w:color w:val="000000"/>
          <w:highlight w:val="green"/>
          <w:vertAlign w:val="superscript"/>
        </w:rPr>
        <w:t>th</w:t>
      </w:r>
      <w:r w:rsidRPr="00AC74B0">
        <w:rPr>
          <w:color w:val="000000"/>
          <w:highlight w:val="green"/>
        </w:rPr>
        <w:t xml:space="preserve"> century BC, possibly Pentelic Marble</w:t>
      </w:r>
    </w:p>
    <w:p w:rsidR="001142B0" w:rsidRPr="00AC74B0" w:rsidRDefault="00005B13">
      <w:pPr>
        <w:pBdr>
          <w:top w:val="nil"/>
          <w:left w:val="nil"/>
          <w:bottom w:val="nil"/>
          <w:right w:val="nil"/>
          <w:between w:val="nil"/>
        </w:pBdr>
        <w:spacing w:after="0"/>
        <w:rPr>
          <w:color w:val="000000"/>
          <w:highlight w:val="green"/>
        </w:rPr>
      </w:pPr>
      <w:proofErr w:type="spellStart"/>
      <w:r w:rsidRPr="00AC74B0">
        <w:rPr>
          <w:color w:val="000000"/>
          <w:highlight w:val="green"/>
        </w:rPr>
        <w:t>Menidi</w:t>
      </w:r>
      <w:proofErr w:type="spellEnd"/>
      <w:r w:rsidRPr="00AC74B0">
        <w:rPr>
          <w:color w:val="000000"/>
          <w:highlight w:val="green"/>
        </w:rPr>
        <w:t>, Attica</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1.03m, Width: 60 cm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217, D072; </w:t>
      </w:r>
      <w:r w:rsidRPr="00AC74B0">
        <w:rPr>
          <w:i/>
          <w:color w:val="000000"/>
          <w:highlight w:val="green"/>
        </w:rPr>
        <w:t xml:space="preserve">CAT 2, </w:t>
      </w:r>
      <w:r w:rsidRPr="00AC74B0">
        <w:rPr>
          <w:color w:val="000000"/>
          <w:highlight w:val="green"/>
        </w:rPr>
        <w:t>206, 2.227b.</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NAM, </w:t>
      </w:r>
      <w:r w:rsidRPr="00AC74B0">
        <w:rPr>
          <w:color w:val="000000"/>
          <w:highlight w:val="green"/>
        </w:rPr>
        <w:t>inv. 765.</w:t>
      </w: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a mother</w:t>
      </w:r>
    </w:p>
    <w:p w:rsidR="001142B0" w:rsidRDefault="00005B13">
      <w:pPr>
        <w:pBdr>
          <w:top w:val="nil"/>
          <w:left w:val="nil"/>
          <w:bottom w:val="nil"/>
          <w:right w:val="nil"/>
          <w:between w:val="nil"/>
        </w:pBdr>
        <w:spacing w:after="0"/>
        <w:jc w:val="center"/>
        <w:rPr>
          <w:b/>
          <w:color w:val="000000"/>
        </w:rPr>
      </w:pPr>
      <w:r>
        <w:rPr>
          <w:b/>
          <w:color w:val="000000"/>
        </w:rPr>
        <w:t>(Fig 5)</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D073</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London, British Museum Cat. </w:t>
      </w:r>
      <w:r w:rsidRPr="00AC74B0">
        <w:rPr>
          <w:b/>
          <w:color w:val="000000"/>
          <w:highlight w:val="green"/>
        </w:rPr>
        <w:t>2232</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Early 4</w:t>
      </w:r>
      <w:r w:rsidRPr="00AC74B0">
        <w:rPr>
          <w:color w:val="000000"/>
          <w:highlight w:val="green"/>
          <w:vertAlign w:val="superscript"/>
        </w:rPr>
        <w:t>th</w:t>
      </w:r>
      <w:r w:rsidRPr="00AC74B0">
        <w:rPr>
          <w:color w:val="000000"/>
          <w:highlight w:val="green"/>
        </w:rPr>
        <w:t xml:space="preserve"> century BC, Pentelic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Attica </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80cm, Width: 46cm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217, D073; </w:t>
      </w:r>
      <w:r w:rsidRPr="00AC74B0">
        <w:rPr>
          <w:i/>
          <w:color w:val="000000"/>
          <w:highlight w:val="green"/>
        </w:rPr>
        <w:t xml:space="preserve">CAT 2, </w:t>
      </w:r>
      <w:r w:rsidRPr="00AC74B0">
        <w:rPr>
          <w:color w:val="000000"/>
          <w:highlight w:val="green"/>
        </w:rPr>
        <w:t>691, 2.786.</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NAM, </w:t>
      </w:r>
      <w:r w:rsidRPr="00AC74B0">
        <w:rPr>
          <w:color w:val="000000"/>
          <w:highlight w:val="green"/>
        </w:rPr>
        <w:t>inv. 722; inv. 3790.</w:t>
      </w: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w:t>
      </w:r>
      <w:proofErr w:type="spellStart"/>
      <w:r>
        <w:rPr>
          <w:b/>
          <w:color w:val="000000"/>
        </w:rPr>
        <w:t>Arkesilas</w:t>
      </w:r>
      <w:proofErr w:type="spellEnd"/>
    </w:p>
    <w:p w:rsidR="001142B0" w:rsidRDefault="00005B13">
      <w:pPr>
        <w:pBdr>
          <w:top w:val="nil"/>
          <w:left w:val="nil"/>
          <w:bottom w:val="nil"/>
          <w:right w:val="nil"/>
          <w:between w:val="nil"/>
        </w:pBdr>
        <w:spacing w:after="0"/>
        <w:jc w:val="center"/>
        <w:rPr>
          <w:b/>
          <w:color w:val="000000"/>
        </w:rPr>
      </w:pPr>
      <w:r>
        <w:rPr>
          <w:b/>
          <w:color w:val="000000"/>
        </w:rPr>
        <w:t>(Fig 6)</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D075</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Dresden, </w:t>
      </w:r>
      <w:proofErr w:type="spellStart"/>
      <w:r w:rsidRPr="00AC74B0">
        <w:rPr>
          <w:color w:val="000000"/>
          <w:highlight w:val="green"/>
        </w:rPr>
        <w:t>Albertinum</w:t>
      </w:r>
      <w:proofErr w:type="spellEnd"/>
      <w:r w:rsidRPr="00AC74B0">
        <w:rPr>
          <w:color w:val="000000"/>
          <w:highlight w:val="green"/>
        </w:rPr>
        <w:t xml:space="preserve"> Inv. </w:t>
      </w:r>
      <w:r w:rsidRPr="00AC74B0">
        <w:rPr>
          <w:b/>
          <w:color w:val="000000"/>
          <w:highlight w:val="green"/>
        </w:rPr>
        <w:t>ZV 2440 (</w:t>
      </w:r>
      <w:proofErr w:type="spellStart"/>
      <w:r w:rsidRPr="00AC74B0">
        <w:rPr>
          <w:b/>
          <w:color w:val="000000"/>
          <w:highlight w:val="green"/>
        </w:rPr>
        <w:t>Hm</w:t>
      </w:r>
      <w:proofErr w:type="spellEnd"/>
      <w:r w:rsidRPr="00AC74B0">
        <w:rPr>
          <w:b/>
          <w:color w:val="000000"/>
          <w:highlight w:val="green"/>
        </w:rPr>
        <w:t xml:space="preserve"> 144)</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c. 360 BC, Pentelic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Athens</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89cm, Width: 49cm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218, D075; </w:t>
      </w:r>
      <w:r w:rsidRPr="00AC74B0">
        <w:rPr>
          <w:i/>
          <w:color w:val="000000"/>
          <w:highlight w:val="green"/>
        </w:rPr>
        <w:t xml:space="preserve">CAT 3, </w:t>
      </w:r>
      <w:r w:rsidRPr="00AC74B0">
        <w:rPr>
          <w:color w:val="000000"/>
          <w:highlight w:val="green"/>
        </w:rPr>
        <w:t>242-4, 3.374c.</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NAM, </w:t>
      </w:r>
      <w:r w:rsidRPr="00AC74B0">
        <w:rPr>
          <w:color w:val="000000"/>
          <w:highlight w:val="green"/>
        </w:rPr>
        <w:t>inv. 902.</w:t>
      </w:r>
    </w:p>
    <w:p w:rsidR="001142B0" w:rsidRDefault="001142B0">
      <w:pPr>
        <w:pBdr>
          <w:top w:val="nil"/>
          <w:left w:val="nil"/>
          <w:bottom w:val="nil"/>
          <w:right w:val="nil"/>
          <w:between w:val="nil"/>
        </w:pBdr>
        <w:spacing w:after="0"/>
        <w:rPr>
          <w:i/>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w:t>
      </w:r>
      <w:proofErr w:type="spellStart"/>
      <w:r>
        <w:rPr>
          <w:b/>
          <w:color w:val="000000"/>
        </w:rPr>
        <w:t>Pamphile</w:t>
      </w:r>
      <w:proofErr w:type="spellEnd"/>
    </w:p>
    <w:p w:rsidR="001142B0" w:rsidRDefault="00005B13">
      <w:pPr>
        <w:pBdr>
          <w:top w:val="nil"/>
          <w:left w:val="nil"/>
          <w:bottom w:val="nil"/>
          <w:right w:val="nil"/>
          <w:between w:val="nil"/>
        </w:pBdr>
        <w:spacing w:after="0"/>
        <w:jc w:val="center"/>
        <w:rPr>
          <w:color w:val="000000"/>
        </w:rPr>
      </w:pPr>
      <w:r>
        <w:rPr>
          <w:b/>
          <w:color w:val="000000"/>
        </w:rPr>
        <w:t>(Fig 7)</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D077</w:t>
      </w:r>
    </w:p>
    <w:p w:rsidR="001142B0" w:rsidRPr="00AC74B0" w:rsidRDefault="00005B13">
      <w:pPr>
        <w:pBdr>
          <w:top w:val="nil"/>
          <w:left w:val="nil"/>
          <w:bottom w:val="nil"/>
          <w:right w:val="nil"/>
          <w:between w:val="nil"/>
        </w:pBdr>
        <w:tabs>
          <w:tab w:val="left" w:pos="6380"/>
        </w:tabs>
        <w:spacing w:after="0"/>
        <w:rPr>
          <w:color w:val="000000"/>
          <w:highlight w:val="green"/>
        </w:rPr>
      </w:pPr>
      <w:r w:rsidRPr="00AC74B0">
        <w:rPr>
          <w:color w:val="000000"/>
          <w:highlight w:val="green"/>
        </w:rPr>
        <w:t xml:space="preserve">Athens, </w:t>
      </w:r>
      <w:proofErr w:type="spellStart"/>
      <w:r w:rsidRPr="00AC74B0">
        <w:rPr>
          <w:color w:val="000000"/>
          <w:highlight w:val="green"/>
        </w:rPr>
        <w:t>Kerameikos</w:t>
      </w:r>
      <w:proofErr w:type="spellEnd"/>
      <w:r w:rsidRPr="00AC74B0">
        <w:rPr>
          <w:color w:val="000000"/>
          <w:highlight w:val="green"/>
        </w:rPr>
        <w:t xml:space="preserve"> Museum</w:t>
      </w:r>
      <w:r w:rsidRPr="00AC74B0">
        <w:rPr>
          <w:color w:val="000000"/>
          <w:highlight w:val="green"/>
        </w:rPr>
        <w:tab/>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C. 320 BC, Pentelic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Athenian </w:t>
      </w:r>
      <w:proofErr w:type="spellStart"/>
      <w:r w:rsidRPr="00AC74B0">
        <w:rPr>
          <w:color w:val="000000"/>
          <w:highlight w:val="green"/>
        </w:rPr>
        <w:t>Kerameikos</w:t>
      </w:r>
      <w:proofErr w:type="spellEnd"/>
      <w:r w:rsidRPr="00AC74B0">
        <w:rPr>
          <w:color w:val="000000"/>
          <w:highlight w:val="green"/>
        </w:rPr>
        <w:t xml:space="preserve"> (Found in 1870)</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1.98m, Width: 1.25m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218, D077; </w:t>
      </w:r>
      <w:r w:rsidRPr="00AC74B0">
        <w:rPr>
          <w:i/>
          <w:color w:val="000000"/>
          <w:highlight w:val="green"/>
        </w:rPr>
        <w:t xml:space="preserve">CAT 2, </w:t>
      </w:r>
      <w:r w:rsidRPr="00AC74B0">
        <w:rPr>
          <w:color w:val="000000"/>
          <w:highlight w:val="green"/>
        </w:rPr>
        <w:t xml:space="preserve">593-5, 2.464; </w:t>
      </w:r>
      <w:r w:rsidRPr="00AC74B0">
        <w:rPr>
          <w:i/>
          <w:color w:val="000000"/>
          <w:highlight w:val="green"/>
        </w:rPr>
        <w:t xml:space="preserve">DAG 1, </w:t>
      </w:r>
      <w:r w:rsidRPr="00AC74B0">
        <w:rPr>
          <w:color w:val="000000"/>
          <w:highlight w:val="green"/>
        </w:rPr>
        <w:t>30-1, 109.40.</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NAM, </w:t>
      </w:r>
      <w:r w:rsidRPr="00AC74B0">
        <w:rPr>
          <w:color w:val="000000"/>
          <w:highlight w:val="green"/>
        </w:rPr>
        <w:t>inv. 724; inv. 819; inv. 743; inv. 820.</w:t>
      </w: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Grave </w:t>
      </w:r>
      <w:r>
        <w:rPr>
          <w:b/>
          <w:i/>
          <w:color w:val="000000"/>
        </w:rPr>
        <w:t>stele</w:t>
      </w:r>
      <w:r>
        <w:rPr>
          <w:b/>
          <w:color w:val="000000"/>
        </w:rPr>
        <w:t xml:space="preserve"> of hoplite and family</w:t>
      </w:r>
    </w:p>
    <w:p w:rsidR="001142B0" w:rsidRDefault="00005B13">
      <w:pPr>
        <w:pBdr>
          <w:top w:val="nil"/>
          <w:left w:val="nil"/>
          <w:bottom w:val="nil"/>
          <w:right w:val="nil"/>
          <w:between w:val="nil"/>
        </w:pBdr>
        <w:spacing w:after="0"/>
        <w:jc w:val="center"/>
        <w:rPr>
          <w:color w:val="000000"/>
        </w:rPr>
      </w:pPr>
      <w:r>
        <w:rPr>
          <w:b/>
          <w:color w:val="000000"/>
        </w:rPr>
        <w:t>(Fig 8)</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lastRenderedPageBreak/>
        <w:t xml:space="preserve">Oxford, Ashmolean Cast Gallery Inv. </w:t>
      </w:r>
      <w:r w:rsidRPr="00AC74B0">
        <w:rPr>
          <w:b/>
          <w:color w:val="000000"/>
          <w:highlight w:val="green"/>
        </w:rPr>
        <w:t>D069</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Berlin, </w:t>
      </w:r>
      <w:proofErr w:type="spellStart"/>
      <w:r w:rsidRPr="00AC74B0">
        <w:rPr>
          <w:color w:val="000000"/>
          <w:highlight w:val="green"/>
        </w:rPr>
        <w:t>Antikensammlung</w:t>
      </w:r>
      <w:proofErr w:type="spellEnd"/>
      <w:r w:rsidRPr="00AC74B0">
        <w:rPr>
          <w:color w:val="000000"/>
          <w:highlight w:val="green"/>
        </w:rPr>
        <w:t xml:space="preserve"> Staatliche </w:t>
      </w:r>
      <w:proofErr w:type="spellStart"/>
      <w:r w:rsidRPr="00AC74B0">
        <w:rPr>
          <w:color w:val="000000"/>
          <w:highlight w:val="green"/>
        </w:rPr>
        <w:t>Museen</w:t>
      </w:r>
      <w:proofErr w:type="spellEnd"/>
      <w:r w:rsidRPr="00AC74B0">
        <w:rPr>
          <w:color w:val="000000"/>
          <w:highlight w:val="green"/>
        </w:rPr>
        <w:t xml:space="preserve"> </w:t>
      </w:r>
      <w:proofErr w:type="spellStart"/>
      <w:r w:rsidRPr="00AC74B0">
        <w:rPr>
          <w:color w:val="000000"/>
          <w:highlight w:val="green"/>
        </w:rPr>
        <w:t>zu</w:t>
      </w:r>
      <w:proofErr w:type="spellEnd"/>
      <w:r w:rsidRPr="00AC74B0">
        <w:rPr>
          <w:color w:val="000000"/>
          <w:highlight w:val="green"/>
        </w:rPr>
        <w:t xml:space="preserve"> Berlin Inv. </w:t>
      </w:r>
      <w:r w:rsidRPr="00AC74B0">
        <w:rPr>
          <w:b/>
          <w:color w:val="000000"/>
          <w:highlight w:val="green"/>
        </w:rPr>
        <w:t>1473</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Attica</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C. 350 BC, Pentelic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1.76m, Width: 1.1m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216, D069; </w:t>
      </w:r>
      <w:r w:rsidRPr="00AC74B0">
        <w:rPr>
          <w:i/>
          <w:color w:val="000000"/>
          <w:highlight w:val="green"/>
        </w:rPr>
        <w:t xml:space="preserve">DAG 1, </w:t>
      </w:r>
      <w:r w:rsidRPr="00AC74B0">
        <w:rPr>
          <w:color w:val="000000"/>
          <w:highlight w:val="green"/>
        </w:rPr>
        <w:t>107, 463.</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w:t>
      </w:r>
      <w:r w:rsidRPr="00AC74B0">
        <w:rPr>
          <w:b/>
          <w:color w:val="000000"/>
          <w:highlight w:val="green"/>
        </w:rPr>
        <w:t xml:space="preserve">D065; </w:t>
      </w:r>
      <w:r w:rsidRPr="00AC74B0">
        <w:rPr>
          <w:i/>
          <w:color w:val="000000"/>
          <w:highlight w:val="green"/>
        </w:rPr>
        <w:t xml:space="preserve">NAM, </w:t>
      </w:r>
      <w:r w:rsidRPr="00AC74B0">
        <w:rPr>
          <w:color w:val="000000"/>
          <w:highlight w:val="green"/>
        </w:rPr>
        <w:t>inv. 834</w:t>
      </w:r>
    </w:p>
    <w:p w:rsidR="001142B0" w:rsidRDefault="001142B0">
      <w:pPr>
        <w:pBdr>
          <w:top w:val="nil"/>
          <w:left w:val="nil"/>
          <w:bottom w:val="nil"/>
          <w:right w:val="nil"/>
          <w:between w:val="nil"/>
        </w:pBdr>
        <w:spacing w:after="0"/>
        <w:rPr>
          <w:b/>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Grave relief of a reclining male</w:t>
      </w:r>
    </w:p>
    <w:p w:rsidR="001142B0" w:rsidRDefault="00005B13">
      <w:pPr>
        <w:pBdr>
          <w:top w:val="nil"/>
          <w:left w:val="nil"/>
          <w:bottom w:val="nil"/>
          <w:right w:val="nil"/>
          <w:between w:val="nil"/>
        </w:pBdr>
        <w:spacing w:after="0"/>
        <w:jc w:val="center"/>
        <w:rPr>
          <w:color w:val="000000"/>
        </w:rPr>
      </w:pPr>
      <w:r>
        <w:rPr>
          <w:b/>
          <w:color w:val="000000"/>
        </w:rPr>
        <w:t>(Fig 9)</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D082</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Piraeus, Archaeological Museum Inv. </w:t>
      </w:r>
      <w:r w:rsidRPr="00AC74B0">
        <w:rPr>
          <w:b/>
          <w:color w:val="000000"/>
          <w:highlight w:val="green"/>
        </w:rPr>
        <w:t>208</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c. 380 BC,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Piraeus, Athens</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57cm, Width: 64cm</w:t>
      </w:r>
    </w:p>
    <w:p w:rsidR="001142B0" w:rsidRDefault="00005B13">
      <w:pPr>
        <w:pBdr>
          <w:top w:val="nil"/>
          <w:left w:val="nil"/>
          <w:bottom w:val="nil"/>
          <w:right w:val="nil"/>
          <w:between w:val="nil"/>
        </w:pBdr>
        <w:spacing w:after="0"/>
        <w:rPr>
          <w:color w:val="000000"/>
        </w:rPr>
      </w:pPr>
      <w:r w:rsidRPr="00AC74B0">
        <w:rPr>
          <w:i/>
          <w:color w:val="000000"/>
          <w:highlight w:val="green"/>
        </w:rPr>
        <w:t xml:space="preserve">Bibliography: TCG, </w:t>
      </w:r>
      <w:r w:rsidRPr="00AC74B0">
        <w:rPr>
          <w:color w:val="000000"/>
          <w:highlight w:val="green"/>
        </w:rPr>
        <w:t xml:space="preserve">220, </w:t>
      </w:r>
      <w:r w:rsidRPr="00AC74B0">
        <w:rPr>
          <w:b/>
          <w:color w:val="000000"/>
          <w:highlight w:val="green"/>
        </w:rPr>
        <w:t>D082</w:t>
      </w:r>
      <w:r w:rsidRPr="00AC74B0">
        <w:rPr>
          <w:color w:val="000000"/>
          <w:highlight w:val="green"/>
        </w:rPr>
        <w:t>.</w:t>
      </w: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 Grave </w:t>
      </w:r>
      <w:r>
        <w:rPr>
          <w:b/>
          <w:i/>
          <w:color w:val="000000"/>
        </w:rPr>
        <w:t>stele</w:t>
      </w:r>
      <w:r>
        <w:rPr>
          <w:b/>
          <w:color w:val="000000"/>
        </w:rPr>
        <w:t xml:space="preserve"> of </w:t>
      </w:r>
      <w:proofErr w:type="spellStart"/>
      <w:r>
        <w:rPr>
          <w:b/>
          <w:color w:val="000000"/>
        </w:rPr>
        <w:t>Telesias</w:t>
      </w:r>
      <w:proofErr w:type="spellEnd"/>
    </w:p>
    <w:p w:rsidR="001142B0" w:rsidRDefault="00005B13">
      <w:pPr>
        <w:pBdr>
          <w:top w:val="nil"/>
          <w:left w:val="nil"/>
          <w:bottom w:val="nil"/>
          <w:right w:val="nil"/>
          <w:between w:val="nil"/>
        </w:pBdr>
        <w:spacing w:after="0"/>
        <w:jc w:val="center"/>
        <w:rPr>
          <w:color w:val="000000"/>
        </w:rPr>
      </w:pPr>
      <w:r>
        <w:rPr>
          <w:b/>
          <w:color w:val="000000"/>
        </w:rPr>
        <w:t>(Fig 10)</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D071</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Athens, National Archaeological Museum Inv. </w:t>
      </w:r>
      <w:r w:rsidRPr="00AC74B0">
        <w:rPr>
          <w:b/>
          <w:color w:val="000000"/>
          <w:highlight w:val="green"/>
        </w:rPr>
        <w:t>898</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370-360 BC,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Piraeus (Found in 1871)</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77cm, Width: 40cm</w:t>
      </w:r>
    </w:p>
    <w:p w:rsidR="001142B0" w:rsidRPr="00AC74B0" w:rsidRDefault="00005B13">
      <w:pPr>
        <w:pBdr>
          <w:top w:val="nil"/>
          <w:left w:val="nil"/>
          <w:bottom w:val="nil"/>
          <w:right w:val="nil"/>
          <w:between w:val="nil"/>
        </w:pBdr>
        <w:spacing w:after="0"/>
        <w:rPr>
          <w:i/>
          <w:color w:val="000000"/>
          <w:highlight w:val="green"/>
        </w:rPr>
      </w:pPr>
      <w:r w:rsidRPr="00AC74B0">
        <w:rPr>
          <w:i/>
          <w:color w:val="000000"/>
          <w:highlight w:val="green"/>
        </w:rPr>
        <w:t xml:space="preserve">Bibliography: TCG, </w:t>
      </w:r>
      <w:r w:rsidRPr="00AC74B0">
        <w:rPr>
          <w:color w:val="000000"/>
          <w:highlight w:val="green"/>
        </w:rPr>
        <w:t xml:space="preserve">217, D071; </w:t>
      </w:r>
      <w:r w:rsidRPr="00AC74B0">
        <w:rPr>
          <w:i/>
          <w:color w:val="000000"/>
          <w:highlight w:val="green"/>
        </w:rPr>
        <w:t xml:space="preserve">CAT 1, </w:t>
      </w:r>
      <w:r w:rsidRPr="00AC74B0">
        <w:rPr>
          <w:color w:val="000000"/>
          <w:highlight w:val="green"/>
        </w:rPr>
        <w:t xml:space="preserve">448-9, 1.810; </w:t>
      </w:r>
      <w:r w:rsidRPr="00AC74B0">
        <w:rPr>
          <w:i/>
          <w:color w:val="000000"/>
          <w:highlight w:val="green"/>
        </w:rPr>
        <w:t xml:space="preserve">DAG 2, </w:t>
      </w:r>
      <w:r w:rsidRPr="00AC74B0">
        <w:rPr>
          <w:color w:val="000000"/>
          <w:highlight w:val="green"/>
        </w:rPr>
        <w:t>221-2, 1036.208.</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NAM, </w:t>
      </w:r>
      <w:r w:rsidRPr="00AC74B0">
        <w:rPr>
          <w:color w:val="000000"/>
          <w:highlight w:val="green"/>
        </w:rPr>
        <w:t>inv. 715; inv. 914; inv. 794.</w:t>
      </w:r>
    </w:p>
    <w:p w:rsidR="001142B0" w:rsidRDefault="001142B0">
      <w:pPr>
        <w:pBdr>
          <w:top w:val="nil"/>
          <w:left w:val="nil"/>
          <w:bottom w:val="nil"/>
          <w:right w:val="nil"/>
          <w:between w:val="nil"/>
        </w:pBdr>
        <w:spacing w:after="0"/>
        <w:rPr>
          <w:i/>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 </w:t>
      </w:r>
      <w:proofErr w:type="spellStart"/>
      <w:r>
        <w:rPr>
          <w:b/>
          <w:color w:val="000000"/>
        </w:rPr>
        <w:t>Ilissos</w:t>
      </w:r>
      <w:proofErr w:type="spellEnd"/>
      <w:r>
        <w:rPr>
          <w:b/>
          <w:color w:val="000000"/>
        </w:rPr>
        <w:t xml:space="preserve"> relief </w:t>
      </w:r>
    </w:p>
    <w:p w:rsidR="001142B0" w:rsidRDefault="00005B13">
      <w:pPr>
        <w:pBdr>
          <w:top w:val="nil"/>
          <w:left w:val="nil"/>
          <w:bottom w:val="nil"/>
          <w:right w:val="nil"/>
          <w:between w:val="nil"/>
        </w:pBdr>
        <w:spacing w:after="0"/>
        <w:jc w:val="center"/>
        <w:rPr>
          <w:color w:val="000000"/>
        </w:rPr>
      </w:pPr>
      <w:r>
        <w:rPr>
          <w:b/>
          <w:color w:val="000000"/>
        </w:rPr>
        <w:t>(Fig 11)</w:t>
      </w:r>
    </w:p>
    <w:p w:rsidR="001142B0" w:rsidRDefault="00005B13">
      <w:pPr>
        <w:pBdr>
          <w:top w:val="nil"/>
          <w:left w:val="nil"/>
          <w:bottom w:val="nil"/>
          <w:right w:val="nil"/>
          <w:between w:val="nil"/>
        </w:pBdr>
        <w:spacing w:after="0"/>
        <w:rPr>
          <w:color w:val="000000"/>
        </w:rPr>
      </w:pPr>
      <w:r>
        <w:rPr>
          <w:color w:val="000000"/>
        </w:rPr>
        <w:t xml:space="preserve">Oxford, Ashmolean Cast Gallery Inv. </w:t>
      </w:r>
      <w:r>
        <w:rPr>
          <w:b/>
          <w:color w:val="000000"/>
        </w:rPr>
        <w:t>D076</w:t>
      </w:r>
    </w:p>
    <w:p w:rsidR="001142B0" w:rsidRDefault="00005B13">
      <w:pPr>
        <w:pBdr>
          <w:top w:val="nil"/>
          <w:left w:val="nil"/>
          <w:bottom w:val="nil"/>
          <w:right w:val="nil"/>
          <w:between w:val="nil"/>
        </w:pBdr>
        <w:spacing w:after="0"/>
        <w:rPr>
          <w:color w:val="000000"/>
        </w:rPr>
      </w:pPr>
      <w:r>
        <w:rPr>
          <w:color w:val="000000"/>
        </w:rPr>
        <w:t>Athens, National Archaeological Museum I</w:t>
      </w:r>
      <w:r>
        <w:rPr>
          <w:color w:val="000000"/>
        </w:rPr>
        <w:t xml:space="preserve">nv. </w:t>
      </w:r>
      <w:r>
        <w:rPr>
          <w:b/>
          <w:color w:val="000000"/>
        </w:rPr>
        <w:t>869</w:t>
      </w:r>
    </w:p>
    <w:p w:rsidR="001142B0" w:rsidRDefault="00005B13">
      <w:pPr>
        <w:pBdr>
          <w:top w:val="nil"/>
          <w:left w:val="nil"/>
          <w:bottom w:val="nil"/>
          <w:right w:val="nil"/>
          <w:between w:val="nil"/>
        </w:pBdr>
        <w:spacing w:after="0"/>
        <w:rPr>
          <w:color w:val="000000"/>
        </w:rPr>
      </w:pPr>
      <w:r>
        <w:rPr>
          <w:color w:val="000000"/>
        </w:rPr>
        <w:t>340-330 BC, Pentelic Marble</w:t>
      </w:r>
    </w:p>
    <w:p w:rsidR="001142B0" w:rsidRDefault="00005B13">
      <w:pPr>
        <w:pBdr>
          <w:top w:val="nil"/>
          <w:left w:val="nil"/>
          <w:bottom w:val="nil"/>
          <w:right w:val="nil"/>
          <w:between w:val="nil"/>
        </w:pBdr>
        <w:spacing w:after="0"/>
        <w:rPr>
          <w:color w:val="000000"/>
        </w:rPr>
      </w:pPr>
      <w:proofErr w:type="spellStart"/>
      <w:r>
        <w:rPr>
          <w:color w:val="000000"/>
        </w:rPr>
        <w:t>Ilissos</w:t>
      </w:r>
      <w:proofErr w:type="spellEnd"/>
      <w:r>
        <w:rPr>
          <w:color w:val="000000"/>
        </w:rPr>
        <w:t xml:space="preserve"> River, Athens (Found in 1874)</w:t>
      </w:r>
    </w:p>
    <w:p w:rsidR="001142B0" w:rsidRDefault="00005B13">
      <w:pPr>
        <w:pBdr>
          <w:top w:val="nil"/>
          <w:left w:val="nil"/>
          <w:bottom w:val="nil"/>
          <w:right w:val="nil"/>
          <w:between w:val="nil"/>
        </w:pBdr>
        <w:spacing w:after="0"/>
        <w:rPr>
          <w:color w:val="000000"/>
        </w:rPr>
      </w:pPr>
      <w:r>
        <w:rPr>
          <w:color w:val="000000"/>
        </w:rPr>
        <w:t>Height: 1.68m, Width: 1.07m</w:t>
      </w:r>
    </w:p>
    <w:p w:rsidR="001142B0" w:rsidRDefault="00005B13">
      <w:pPr>
        <w:pBdr>
          <w:top w:val="nil"/>
          <w:left w:val="nil"/>
          <w:bottom w:val="nil"/>
          <w:right w:val="nil"/>
          <w:between w:val="nil"/>
        </w:pBdr>
        <w:spacing w:after="0"/>
        <w:rPr>
          <w:color w:val="000000"/>
        </w:rPr>
      </w:pPr>
      <w:r>
        <w:rPr>
          <w:i/>
          <w:color w:val="000000"/>
        </w:rPr>
        <w:t xml:space="preserve">Bibliography: TCG, </w:t>
      </w:r>
      <w:r>
        <w:rPr>
          <w:color w:val="000000"/>
        </w:rPr>
        <w:t xml:space="preserve">218, D076; </w:t>
      </w:r>
      <w:r>
        <w:rPr>
          <w:i/>
          <w:color w:val="000000"/>
        </w:rPr>
        <w:t xml:space="preserve">CAT 2, </w:t>
      </w:r>
      <w:r>
        <w:rPr>
          <w:color w:val="000000"/>
        </w:rPr>
        <w:t xml:space="preserve">821-4, 2950; </w:t>
      </w:r>
      <w:r>
        <w:rPr>
          <w:i/>
          <w:color w:val="000000"/>
        </w:rPr>
        <w:t xml:space="preserve">DAG 2, </w:t>
      </w:r>
      <w:r>
        <w:rPr>
          <w:color w:val="000000"/>
        </w:rPr>
        <w:t>226, 1055.211.</w:t>
      </w:r>
    </w:p>
    <w:p w:rsidR="001142B0" w:rsidRDefault="00005B13">
      <w:pPr>
        <w:pBdr>
          <w:top w:val="nil"/>
          <w:left w:val="nil"/>
          <w:bottom w:val="nil"/>
          <w:right w:val="nil"/>
          <w:between w:val="nil"/>
        </w:pBdr>
        <w:spacing w:after="0"/>
        <w:rPr>
          <w:color w:val="000000"/>
        </w:rPr>
      </w:pPr>
      <w:proofErr w:type="spellStart"/>
      <w:r>
        <w:rPr>
          <w:i/>
          <w:color w:val="000000"/>
        </w:rPr>
        <w:t>Comparanda</w:t>
      </w:r>
      <w:proofErr w:type="spellEnd"/>
      <w:r>
        <w:rPr>
          <w:i/>
          <w:color w:val="000000"/>
        </w:rPr>
        <w:t xml:space="preserve">: NAM, </w:t>
      </w:r>
      <w:r>
        <w:rPr>
          <w:color w:val="000000"/>
        </w:rPr>
        <w:t>inv. 731; inv. 871.</w:t>
      </w: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 Grave </w:t>
      </w:r>
      <w:r>
        <w:rPr>
          <w:b/>
          <w:i/>
          <w:color w:val="000000"/>
        </w:rPr>
        <w:t>stele</w:t>
      </w:r>
      <w:r>
        <w:rPr>
          <w:b/>
          <w:color w:val="000000"/>
        </w:rPr>
        <w:t xml:space="preserve"> of </w:t>
      </w:r>
      <w:proofErr w:type="spellStart"/>
      <w:r>
        <w:rPr>
          <w:b/>
          <w:color w:val="000000"/>
        </w:rPr>
        <w:t>Dexileos</w:t>
      </w:r>
      <w:proofErr w:type="spellEnd"/>
      <w:r>
        <w:rPr>
          <w:b/>
          <w:color w:val="000000"/>
        </w:rPr>
        <w:t xml:space="preserve"> </w:t>
      </w:r>
    </w:p>
    <w:p w:rsidR="001142B0" w:rsidRDefault="00005B13">
      <w:pPr>
        <w:pBdr>
          <w:top w:val="nil"/>
          <w:left w:val="nil"/>
          <w:bottom w:val="nil"/>
          <w:right w:val="nil"/>
          <w:between w:val="nil"/>
        </w:pBdr>
        <w:spacing w:after="0"/>
        <w:jc w:val="center"/>
        <w:rPr>
          <w:color w:val="000000"/>
        </w:rPr>
      </w:pPr>
      <w:r>
        <w:rPr>
          <w:b/>
          <w:color w:val="000000"/>
        </w:rPr>
        <w:t>(Fig 12)</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lastRenderedPageBreak/>
        <w:t xml:space="preserve">Oxford, Ashmolean Cast Gallery Inv. </w:t>
      </w:r>
      <w:r w:rsidRPr="00AC74B0">
        <w:rPr>
          <w:b/>
          <w:color w:val="000000"/>
          <w:highlight w:val="green"/>
        </w:rPr>
        <w:t>D067</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Athens, </w:t>
      </w:r>
      <w:proofErr w:type="spellStart"/>
      <w:r w:rsidRPr="00AC74B0">
        <w:rPr>
          <w:color w:val="000000"/>
          <w:highlight w:val="green"/>
        </w:rPr>
        <w:t>Kerameikos</w:t>
      </w:r>
      <w:proofErr w:type="spellEnd"/>
      <w:r w:rsidRPr="00AC74B0">
        <w:rPr>
          <w:color w:val="000000"/>
          <w:highlight w:val="green"/>
        </w:rPr>
        <w:t xml:space="preserve"> Museum Inv. </w:t>
      </w:r>
      <w:r w:rsidRPr="00AC74B0">
        <w:rPr>
          <w:b/>
          <w:color w:val="000000"/>
          <w:highlight w:val="green"/>
        </w:rPr>
        <w:t>P1130</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394-393 BC Pentelic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Athenian </w:t>
      </w:r>
      <w:proofErr w:type="spellStart"/>
      <w:r w:rsidRPr="00AC74B0">
        <w:rPr>
          <w:color w:val="000000"/>
          <w:highlight w:val="green"/>
        </w:rPr>
        <w:t>Kerameikos</w:t>
      </w:r>
      <w:proofErr w:type="spellEnd"/>
      <w:r w:rsidRPr="00AC74B0">
        <w:rPr>
          <w:color w:val="000000"/>
          <w:highlight w:val="green"/>
        </w:rPr>
        <w:t xml:space="preserve"> (Found in 1863 in the family precinct of </w:t>
      </w:r>
      <w:proofErr w:type="spellStart"/>
      <w:r w:rsidRPr="00AC74B0">
        <w:rPr>
          <w:color w:val="000000"/>
          <w:highlight w:val="green"/>
        </w:rPr>
        <w:t>Dexileos</w:t>
      </w:r>
      <w:proofErr w:type="spellEnd"/>
      <w:r w:rsidRPr="00AC74B0">
        <w:rPr>
          <w:color w:val="000000"/>
          <w:highlight w:val="green"/>
        </w:rPr>
        <w:t>)</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Height: 1.75m, Width: 1.35m</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 xml:space="preserve">Bibliography: TCG, </w:t>
      </w:r>
      <w:r w:rsidRPr="00AC74B0">
        <w:rPr>
          <w:color w:val="000000"/>
          <w:highlight w:val="green"/>
        </w:rPr>
        <w:t xml:space="preserve">216, D067; </w:t>
      </w:r>
      <w:r w:rsidRPr="00AC74B0">
        <w:rPr>
          <w:i/>
          <w:color w:val="000000"/>
          <w:highlight w:val="green"/>
        </w:rPr>
        <w:t xml:space="preserve">CAT 2, </w:t>
      </w:r>
      <w:r w:rsidRPr="00AC74B0">
        <w:rPr>
          <w:color w:val="000000"/>
          <w:highlight w:val="green"/>
        </w:rPr>
        <w:t xml:space="preserve">143-5, 2.209; </w:t>
      </w:r>
      <w:r w:rsidRPr="00AC74B0">
        <w:rPr>
          <w:i/>
          <w:color w:val="000000"/>
          <w:highlight w:val="green"/>
        </w:rPr>
        <w:t xml:space="preserve">DAG 2, </w:t>
      </w:r>
      <w:r w:rsidRPr="00AC74B0">
        <w:rPr>
          <w:color w:val="000000"/>
          <w:highlight w:val="green"/>
        </w:rPr>
        <w:t>254-5, 1158.248.</w:t>
      </w:r>
    </w:p>
    <w:p w:rsidR="001142B0" w:rsidRDefault="00005B13">
      <w:pPr>
        <w:pBdr>
          <w:top w:val="nil"/>
          <w:left w:val="nil"/>
          <w:bottom w:val="nil"/>
          <w:right w:val="nil"/>
          <w:between w:val="nil"/>
        </w:pBdr>
        <w:spacing w:after="0"/>
        <w:rPr>
          <w:color w:val="000000"/>
        </w:rPr>
      </w:pPr>
      <w:proofErr w:type="spellStart"/>
      <w:r w:rsidRPr="00AC74B0">
        <w:rPr>
          <w:i/>
          <w:color w:val="000000"/>
          <w:highlight w:val="green"/>
        </w:rPr>
        <w:t>Comparanda</w:t>
      </w:r>
      <w:proofErr w:type="spellEnd"/>
      <w:r w:rsidRPr="00AC74B0">
        <w:rPr>
          <w:i/>
          <w:color w:val="000000"/>
          <w:highlight w:val="green"/>
        </w:rPr>
        <w:t xml:space="preserve">: </w:t>
      </w:r>
      <w:r w:rsidRPr="00AC74B0">
        <w:rPr>
          <w:b/>
          <w:color w:val="000000"/>
          <w:highlight w:val="green"/>
        </w:rPr>
        <w:t xml:space="preserve">D066; </w:t>
      </w:r>
      <w:r w:rsidRPr="00AC74B0">
        <w:rPr>
          <w:i/>
          <w:color w:val="000000"/>
          <w:highlight w:val="green"/>
        </w:rPr>
        <w:t xml:space="preserve">NAM, </w:t>
      </w:r>
      <w:r w:rsidRPr="00AC74B0">
        <w:rPr>
          <w:color w:val="000000"/>
          <w:highlight w:val="green"/>
        </w:rPr>
        <w:t>inv. 2744; inv. 3708; inv. 3620a.</w:t>
      </w: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 Grave </w:t>
      </w:r>
      <w:r>
        <w:rPr>
          <w:b/>
          <w:i/>
          <w:color w:val="000000"/>
        </w:rPr>
        <w:t>stele</w:t>
      </w:r>
      <w:r>
        <w:rPr>
          <w:b/>
          <w:color w:val="000000"/>
        </w:rPr>
        <w:t xml:space="preserve"> of </w:t>
      </w:r>
      <w:proofErr w:type="spellStart"/>
      <w:r>
        <w:rPr>
          <w:b/>
          <w:color w:val="000000"/>
        </w:rPr>
        <w:t>Demokleides</w:t>
      </w:r>
      <w:proofErr w:type="spellEnd"/>
    </w:p>
    <w:p w:rsidR="001142B0" w:rsidRDefault="00005B13">
      <w:pPr>
        <w:pBdr>
          <w:top w:val="nil"/>
          <w:left w:val="nil"/>
          <w:bottom w:val="nil"/>
          <w:right w:val="nil"/>
          <w:between w:val="nil"/>
        </w:pBdr>
        <w:spacing w:after="0"/>
        <w:jc w:val="center"/>
        <w:rPr>
          <w:color w:val="000000"/>
        </w:rPr>
      </w:pPr>
      <w:r>
        <w:rPr>
          <w:b/>
          <w:color w:val="000000"/>
        </w:rPr>
        <w:t>(Fig 13)</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Oxford, Ashmolean Cast Gallery Inv. </w:t>
      </w:r>
      <w:r w:rsidRPr="00AC74B0">
        <w:rPr>
          <w:b/>
          <w:color w:val="000000"/>
          <w:highlight w:val="green"/>
        </w:rPr>
        <w:t>D064</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 xml:space="preserve">Athens, National Archaeological Museum Inv. </w:t>
      </w:r>
      <w:r w:rsidRPr="00AC74B0">
        <w:rPr>
          <w:b/>
          <w:color w:val="000000"/>
          <w:highlight w:val="green"/>
        </w:rPr>
        <w:t>752</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400-375 BC, Marble</w:t>
      </w:r>
    </w:p>
    <w:p w:rsidR="001142B0" w:rsidRPr="00AC74B0" w:rsidRDefault="00005B13">
      <w:pPr>
        <w:pBdr>
          <w:top w:val="nil"/>
          <w:left w:val="nil"/>
          <w:bottom w:val="nil"/>
          <w:right w:val="nil"/>
          <w:between w:val="nil"/>
        </w:pBdr>
        <w:spacing w:after="0"/>
        <w:rPr>
          <w:color w:val="000000"/>
          <w:highlight w:val="green"/>
        </w:rPr>
      </w:pPr>
      <w:r w:rsidRPr="00AC74B0">
        <w:rPr>
          <w:color w:val="000000"/>
          <w:highlight w:val="green"/>
        </w:rPr>
        <w:t>Athens (Found in 1881)</w:t>
      </w:r>
    </w:p>
    <w:p w:rsidR="001142B0" w:rsidRPr="00AC74B0" w:rsidRDefault="00005B13">
      <w:pPr>
        <w:pBdr>
          <w:top w:val="nil"/>
          <w:left w:val="nil"/>
          <w:bottom w:val="nil"/>
          <w:right w:val="nil"/>
          <w:between w:val="nil"/>
        </w:pBdr>
        <w:spacing w:after="0"/>
        <w:rPr>
          <w:color w:val="000000"/>
          <w:highlight w:val="green"/>
        </w:rPr>
      </w:pPr>
      <w:r w:rsidRPr="00AC74B0">
        <w:rPr>
          <w:i/>
          <w:color w:val="000000"/>
          <w:highlight w:val="green"/>
        </w:rPr>
        <w:t>Height:</w:t>
      </w:r>
      <w:r w:rsidRPr="00AC74B0">
        <w:rPr>
          <w:color w:val="000000"/>
          <w:highlight w:val="green"/>
        </w:rPr>
        <w:t xml:space="preserve"> 60cm, Width: 45cm</w:t>
      </w:r>
    </w:p>
    <w:p w:rsidR="001142B0" w:rsidRDefault="00005B13">
      <w:pPr>
        <w:pBdr>
          <w:top w:val="nil"/>
          <w:left w:val="nil"/>
          <w:bottom w:val="nil"/>
          <w:right w:val="nil"/>
          <w:between w:val="nil"/>
        </w:pBdr>
        <w:spacing w:after="0"/>
        <w:rPr>
          <w:color w:val="000000"/>
        </w:rPr>
      </w:pPr>
      <w:r w:rsidRPr="00AC74B0">
        <w:rPr>
          <w:i/>
          <w:color w:val="000000"/>
          <w:highlight w:val="green"/>
        </w:rPr>
        <w:t xml:space="preserve">Bibliography: TCG, </w:t>
      </w:r>
      <w:r w:rsidRPr="00AC74B0">
        <w:rPr>
          <w:color w:val="000000"/>
          <w:highlight w:val="green"/>
        </w:rPr>
        <w:t xml:space="preserve">215, D064; </w:t>
      </w:r>
      <w:r w:rsidRPr="00AC74B0">
        <w:rPr>
          <w:i/>
          <w:color w:val="000000"/>
          <w:highlight w:val="green"/>
        </w:rPr>
        <w:t xml:space="preserve">CAT 1, </w:t>
      </w:r>
      <w:r w:rsidRPr="00AC74B0">
        <w:rPr>
          <w:color w:val="000000"/>
          <w:highlight w:val="green"/>
        </w:rPr>
        <w:t xml:space="preserve">316-7, 1.330; </w:t>
      </w:r>
      <w:r w:rsidRPr="00AC74B0">
        <w:rPr>
          <w:i/>
          <w:color w:val="000000"/>
          <w:highlight w:val="green"/>
        </w:rPr>
        <w:t xml:space="preserve">DAG 2, </w:t>
      </w:r>
      <w:r w:rsidRPr="00AC74B0">
        <w:rPr>
          <w:color w:val="000000"/>
          <w:highlight w:val="green"/>
        </w:rPr>
        <w:t>623.122.</w:t>
      </w:r>
    </w:p>
    <w:p w:rsidR="001142B0" w:rsidRDefault="001142B0">
      <w:pPr>
        <w:pBdr>
          <w:top w:val="nil"/>
          <w:left w:val="nil"/>
          <w:bottom w:val="nil"/>
          <w:right w:val="nil"/>
          <w:between w:val="nil"/>
        </w:pBdr>
        <w:spacing w:after="0"/>
        <w:rPr>
          <w:color w:val="000000"/>
        </w:rPr>
      </w:pPr>
    </w:p>
    <w:p w:rsidR="001142B0" w:rsidRDefault="00005B13">
      <w:pPr>
        <w:numPr>
          <w:ilvl w:val="0"/>
          <w:numId w:val="1"/>
        </w:numPr>
        <w:pBdr>
          <w:top w:val="nil"/>
          <w:left w:val="nil"/>
          <w:bottom w:val="nil"/>
          <w:right w:val="nil"/>
          <w:between w:val="nil"/>
        </w:pBdr>
        <w:spacing w:after="0"/>
        <w:rPr>
          <w:color w:val="000000"/>
        </w:rPr>
      </w:pPr>
      <w:r>
        <w:rPr>
          <w:b/>
          <w:color w:val="000000"/>
        </w:rPr>
        <w:t xml:space="preserve"> </w:t>
      </w:r>
      <w:r w:rsidRPr="00AC74B0">
        <w:rPr>
          <w:b/>
          <w:color w:val="000000"/>
          <w:highlight w:val="green"/>
        </w:rPr>
        <w:t xml:space="preserve">Funerary </w:t>
      </w:r>
      <w:r w:rsidRPr="00AC74B0">
        <w:rPr>
          <w:b/>
          <w:i/>
          <w:color w:val="000000"/>
          <w:highlight w:val="green"/>
        </w:rPr>
        <w:t>lekythos</w:t>
      </w:r>
      <w:r w:rsidRPr="00AC74B0">
        <w:rPr>
          <w:b/>
          <w:color w:val="000000"/>
          <w:highlight w:val="green"/>
        </w:rPr>
        <w:t xml:space="preserve"> of </w:t>
      </w:r>
      <w:proofErr w:type="spellStart"/>
      <w:r w:rsidRPr="00AC74B0">
        <w:rPr>
          <w:b/>
          <w:color w:val="000000"/>
          <w:highlight w:val="green"/>
        </w:rPr>
        <w:t>Onesimos</w:t>
      </w:r>
      <w:proofErr w:type="spellEnd"/>
    </w:p>
    <w:p w:rsidR="001142B0" w:rsidRDefault="00005B13">
      <w:pPr>
        <w:pBdr>
          <w:top w:val="nil"/>
          <w:left w:val="nil"/>
          <w:bottom w:val="nil"/>
          <w:right w:val="nil"/>
          <w:between w:val="nil"/>
        </w:pBdr>
        <w:spacing w:after="0"/>
        <w:jc w:val="center"/>
        <w:rPr>
          <w:color w:val="000000"/>
        </w:rPr>
      </w:pPr>
      <w:r>
        <w:rPr>
          <w:b/>
          <w:color w:val="000000"/>
        </w:rPr>
        <w:t>(Fig 14)</w:t>
      </w:r>
    </w:p>
    <w:p w:rsidR="001142B0" w:rsidRDefault="00005B13">
      <w:pPr>
        <w:pBdr>
          <w:top w:val="nil"/>
          <w:left w:val="nil"/>
          <w:bottom w:val="nil"/>
          <w:right w:val="nil"/>
          <w:between w:val="nil"/>
        </w:pBdr>
        <w:spacing w:after="0"/>
        <w:rPr>
          <w:color w:val="000000"/>
        </w:rPr>
      </w:pPr>
      <w:r>
        <w:rPr>
          <w:color w:val="000000"/>
        </w:rPr>
        <w:t xml:space="preserve">Oxford, Ashmolean Cast Gallery Inv. </w:t>
      </w:r>
      <w:r>
        <w:rPr>
          <w:b/>
          <w:color w:val="000000"/>
        </w:rPr>
        <w:t>D065</w:t>
      </w:r>
    </w:p>
    <w:p w:rsidR="001142B0" w:rsidRDefault="00005B13">
      <w:pPr>
        <w:pBdr>
          <w:top w:val="nil"/>
          <w:left w:val="nil"/>
          <w:bottom w:val="nil"/>
          <w:right w:val="nil"/>
          <w:between w:val="nil"/>
        </w:pBdr>
        <w:spacing w:after="0"/>
        <w:rPr>
          <w:color w:val="000000"/>
        </w:rPr>
      </w:pPr>
      <w:r>
        <w:rPr>
          <w:color w:val="000000"/>
        </w:rPr>
        <w:t xml:space="preserve">Munich, </w:t>
      </w:r>
      <w:proofErr w:type="spellStart"/>
      <w:r>
        <w:rPr>
          <w:color w:val="000000"/>
        </w:rPr>
        <w:t>Glyptothek</w:t>
      </w:r>
      <w:proofErr w:type="spellEnd"/>
      <w:r>
        <w:rPr>
          <w:color w:val="000000"/>
        </w:rPr>
        <w:t xml:space="preserve"> Inv. </w:t>
      </w:r>
      <w:r>
        <w:rPr>
          <w:b/>
          <w:color w:val="000000"/>
        </w:rPr>
        <w:t>209</w:t>
      </w:r>
    </w:p>
    <w:p w:rsidR="001142B0" w:rsidRDefault="00005B13">
      <w:pPr>
        <w:pBdr>
          <w:top w:val="nil"/>
          <w:left w:val="nil"/>
          <w:bottom w:val="nil"/>
          <w:right w:val="nil"/>
          <w:between w:val="nil"/>
        </w:pBdr>
        <w:spacing w:after="0"/>
        <w:rPr>
          <w:color w:val="000000"/>
        </w:rPr>
      </w:pPr>
      <w:r>
        <w:rPr>
          <w:color w:val="000000"/>
        </w:rPr>
        <w:t>C.405 BC,</w:t>
      </w:r>
      <w:r>
        <w:rPr>
          <w:i/>
          <w:color w:val="000000"/>
        </w:rPr>
        <w:t xml:space="preserve"> </w:t>
      </w:r>
      <w:r>
        <w:rPr>
          <w:color w:val="000000"/>
        </w:rPr>
        <w:t>Pentelic Marble</w:t>
      </w:r>
    </w:p>
    <w:p w:rsidR="001142B0" w:rsidRDefault="00005B13">
      <w:pPr>
        <w:pBdr>
          <w:top w:val="nil"/>
          <w:left w:val="nil"/>
          <w:bottom w:val="nil"/>
          <w:right w:val="nil"/>
          <w:between w:val="nil"/>
        </w:pBdr>
        <w:spacing w:after="0"/>
        <w:rPr>
          <w:color w:val="000000"/>
        </w:rPr>
      </w:pPr>
      <w:proofErr w:type="spellStart"/>
      <w:r>
        <w:rPr>
          <w:color w:val="000000"/>
        </w:rPr>
        <w:t>Odos</w:t>
      </w:r>
      <w:proofErr w:type="spellEnd"/>
      <w:r>
        <w:rPr>
          <w:color w:val="000000"/>
        </w:rPr>
        <w:t xml:space="preserve"> </w:t>
      </w:r>
      <w:proofErr w:type="spellStart"/>
      <w:r>
        <w:rPr>
          <w:color w:val="000000"/>
        </w:rPr>
        <w:t>Aiolou</w:t>
      </w:r>
      <w:proofErr w:type="spellEnd"/>
      <w:r>
        <w:rPr>
          <w:color w:val="000000"/>
        </w:rPr>
        <w:t xml:space="preserve">, Athens (Found </w:t>
      </w:r>
      <w:r>
        <w:rPr>
          <w:color w:val="000000"/>
        </w:rPr>
        <w:t>in 1811)</w:t>
      </w:r>
    </w:p>
    <w:p w:rsidR="001142B0" w:rsidRDefault="00005B13">
      <w:pPr>
        <w:pBdr>
          <w:top w:val="nil"/>
          <w:left w:val="nil"/>
          <w:bottom w:val="nil"/>
          <w:right w:val="nil"/>
          <w:between w:val="nil"/>
        </w:pBdr>
        <w:spacing w:after="0"/>
        <w:rPr>
          <w:color w:val="000000"/>
        </w:rPr>
      </w:pPr>
      <w:r>
        <w:rPr>
          <w:color w:val="000000"/>
        </w:rPr>
        <w:t>Height: 48cm, Width: 45cm, Diameter: 20cm</w:t>
      </w:r>
    </w:p>
    <w:p w:rsidR="001142B0" w:rsidRDefault="00005B13">
      <w:pPr>
        <w:pBdr>
          <w:top w:val="nil"/>
          <w:left w:val="nil"/>
          <w:bottom w:val="nil"/>
          <w:right w:val="nil"/>
          <w:between w:val="nil"/>
        </w:pBdr>
        <w:spacing w:after="0"/>
        <w:rPr>
          <w:i/>
          <w:color w:val="000000"/>
        </w:rPr>
      </w:pPr>
      <w:r>
        <w:rPr>
          <w:i/>
          <w:color w:val="000000"/>
        </w:rPr>
        <w:t xml:space="preserve">Bibliography: TCG, </w:t>
      </w:r>
      <w:r>
        <w:rPr>
          <w:color w:val="000000"/>
        </w:rPr>
        <w:t xml:space="preserve">215, D065; </w:t>
      </w:r>
      <w:r>
        <w:rPr>
          <w:i/>
          <w:color w:val="000000"/>
        </w:rPr>
        <w:t xml:space="preserve">DAG 1, </w:t>
      </w:r>
      <w:r>
        <w:rPr>
          <w:color w:val="000000"/>
        </w:rPr>
        <w:t>87-8, 380.92.</w:t>
      </w:r>
    </w:p>
    <w:p w:rsidR="001142B0" w:rsidRDefault="00005B13">
      <w:pPr>
        <w:pBdr>
          <w:top w:val="nil"/>
          <w:left w:val="nil"/>
          <w:bottom w:val="nil"/>
          <w:right w:val="nil"/>
          <w:between w:val="nil"/>
        </w:pBdr>
        <w:spacing w:after="0"/>
        <w:rPr>
          <w:i/>
          <w:color w:val="000000"/>
        </w:rPr>
      </w:pPr>
      <w:proofErr w:type="spellStart"/>
      <w:r>
        <w:rPr>
          <w:i/>
          <w:color w:val="000000"/>
        </w:rPr>
        <w:t>Comparanda</w:t>
      </w:r>
      <w:proofErr w:type="spellEnd"/>
      <w:r>
        <w:rPr>
          <w:i/>
          <w:color w:val="000000"/>
        </w:rPr>
        <w:t xml:space="preserve">: </w:t>
      </w:r>
      <w:r>
        <w:rPr>
          <w:b/>
          <w:color w:val="000000"/>
        </w:rPr>
        <w:t xml:space="preserve">D069; </w:t>
      </w:r>
      <w:r>
        <w:rPr>
          <w:i/>
          <w:color w:val="000000"/>
        </w:rPr>
        <w:t xml:space="preserve">NAM, </w:t>
      </w:r>
      <w:r>
        <w:rPr>
          <w:color w:val="000000"/>
        </w:rPr>
        <w:t>inv. 815.</w:t>
      </w:r>
    </w:p>
    <w:p w:rsidR="001142B0" w:rsidRDefault="001142B0">
      <w:pPr>
        <w:pBdr>
          <w:top w:val="nil"/>
          <w:left w:val="nil"/>
          <w:bottom w:val="nil"/>
          <w:right w:val="nil"/>
          <w:between w:val="nil"/>
        </w:pBdr>
        <w:spacing w:after="0"/>
        <w:rPr>
          <w:i/>
          <w:color w:val="000000"/>
        </w:rPr>
      </w:pPr>
    </w:p>
    <w:p w:rsidR="001142B0" w:rsidRDefault="001142B0">
      <w:pPr>
        <w:pBdr>
          <w:top w:val="nil"/>
          <w:left w:val="nil"/>
          <w:bottom w:val="nil"/>
          <w:right w:val="nil"/>
          <w:between w:val="nil"/>
        </w:pBdr>
        <w:spacing w:after="0"/>
        <w:rPr>
          <w:i/>
          <w:color w:val="000000"/>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i/>
          <w:color w:val="000000"/>
          <w:sz w:val="28"/>
          <w:szCs w:val="28"/>
        </w:rPr>
      </w:pPr>
    </w:p>
    <w:p w:rsidR="001142B0" w:rsidRDefault="001142B0">
      <w:pPr>
        <w:pBdr>
          <w:top w:val="nil"/>
          <w:left w:val="nil"/>
          <w:bottom w:val="nil"/>
          <w:right w:val="nil"/>
          <w:between w:val="nil"/>
        </w:pBdr>
        <w:spacing w:after="0"/>
        <w:rPr>
          <w:b/>
          <w:i/>
          <w:color w:val="000000"/>
        </w:rPr>
      </w:pPr>
    </w:p>
    <w:p w:rsidR="001142B0" w:rsidRDefault="00005B13">
      <w:pPr>
        <w:pBdr>
          <w:top w:val="nil"/>
          <w:left w:val="nil"/>
          <w:bottom w:val="nil"/>
          <w:right w:val="nil"/>
          <w:between w:val="nil"/>
        </w:pBdr>
        <w:spacing w:after="0"/>
        <w:rPr>
          <w:i/>
          <w:color w:val="000000"/>
        </w:rPr>
      </w:pPr>
      <w:r w:rsidRPr="00B972EC">
        <w:rPr>
          <w:b/>
          <w:i/>
          <w:color w:val="000000"/>
          <w:highlight w:val="green"/>
        </w:rPr>
        <w:t xml:space="preserve">“Who is actually dead here?” </w:t>
      </w:r>
      <w:r w:rsidRPr="00B972EC">
        <w:rPr>
          <w:b/>
          <w:color w:val="000000"/>
          <w:highlight w:val="green"/>
        </w:rPr>
        <w:t>An Immediate Complication</w:t>
      </w:r>
    </w:p>
    <w:p w:rsidR="001142B0" w:rsidRDefault="00005B13">
      <w:pPr>
        <w:spacing w:before="240" w:line="360" w:lineRule="auto"/>
        <w:jc w:val="both"/>
      </w:pPr>
      <w:proofErr w:type="spellStart"/>
      <w:r w:rsidRPr="00FE5702">
        <w:rPr>
          <w:highlight w:val="green"/>
        </w:rPr>
        <w:lastRenderedPageBreak/>
        <w:t>Friis</w:t>
      </w:r>
      <w:proofErr w:type="spellEnd"/>
      <w:r w:rsidRPr="00FE5702">
        <w:rPr>
          <w:highlight w:val="green"/>
        </w:rPr>
        <w:t xml:space="preserve"> Johansen’s landmark text on classical grave reliefs sought to resolve an ongoing problem in interpretation (</w:t>
      </w:r>
      <w:proofErr w:type="spellStart"/>
      <w:r w:rsidRPr="00FE5702">
        <w:rPr>
          <w:highlight w:val="green"/>
        </w:rPr>
        <w:t>Friis</w:t>
      </w:r>
      <w:proofErr w:type="spellEnd"/>
      <w:r w:rsidRPr="00FE5702">
        <w:rPr>
          <w:highlight w:val="green"/>
        </w:rPr>
        <w:t xml:space="preserve"> Johansen, 1951:53). Namely, the issue of identifying which figure or figures were the deceased on a pair or group scene. A controversial</w:t>
      </w:r>
      <w:r w:rsidRPr="00FE5702">
        <w:rPr>
          <w:highlight w:val="green"/>
        </w:rPr>
        <w:t xml:space="preserve"> study by </w:t>
      </w:r>
      <w:proofErr w:type="spellStart"/>
      <w:r w:rsidRPr="00FE5702">
        <w:rPr>
          <w:highlight w:val="green"/>
        </w:rPr>
        <w:t>Holwerda</w:t>
      </w:r>
      <w:proofErr w:type="spellEnd"/>
      <w:r w:rsidRPr="00FE5702">
        <w:rPr>
          <w:highlight w:val="green"/>
        </w:rPr>
        <w:t xml:space="preserve"> in 1899 argued that grave reliefs did not depict the deceased, and has since been dismissed (</w:t>
      </w:r>
      <w:proofErr w:type="spellStart"/>
      <w:r w:rsidRPr="00FE5702">
        <w:rPr>
          <w:highlight w:val="green"/>
        </w:rPr>
        <w:t>Holwerda</w:t>
      </w:r>
      <w:proofErr w:type="spellEnd"/>
      <w:r w:rsidRPr="00FE5702">
        <w:rPr>
          <w:highlight w:val="green"/>
        </w:rPr>
        <w:t xml:space="preserve">, 1899). </w:t>
      </w:r>
      <w:proofErr w:type="spellStart"/>
      <w:r w:rsidRPr="00FE5702">
        <w:rPr>
          <w:highlight w:val="green"/>
        </w:rPr>
        <w:t>Mynno’s</w:t>
      </w:r>
      <w:proofErr w:type="spellEnd"/>
      <w:r w:rsidRPr="00FE5702">
        <w:rPr>
          <w:highlight w:val="green"/>
        </w:rPr>
        <w:t xml:space="preserve"> </w:t>
      </w:r>
      <w:r w:rsidRPr="00FE5702">
        <w:rPr>
          <w:i/>
          <w:highlight w:val="green"/>
        </w:rPr>
        <w:t xml:space="preserve">stele </w:t>
      </w:r>
      <w:r w:rsidRPr="00FE5702">
        <w:rPr>
          <w:highlight w:val="green"/>
        </w:rPr>
        <w:t>(</w:t>
      </w:r>
      <w:r w:rsidRPr="00FE5702">
        <w:rPr>
          <w:b/>
          <w:highlight w:val="green"/>
        </w:rPr>
        <w:t>1</w:t>
      </w:r>
      <w:r w:rsidRPr="00FE5702">
        <w:rPr>
          <w:highlight w:val="green"/>
        </w:rPr>
        <w:t>) bears only an inscribed name and a solitary, seated young woman. There is no evidence to suggest the figure w</w:t>
      </w:r>
      <w:r w:rsidRPr="00FE5702">
        <w:rPr>
          <w:highlight w:val="green"/>
        </w:rPr>
        <w:t xml:space="preserve">as a relative or grave attendant and not </w:t>
      </w:r>
      <w:proofErr w:type="spellStart"/>
      <w:r w:rsidRPr="00FE5702">
        <w:rPr>
          <w:highlight w:val="green"/>
        </w:rPr>
        <w:t>Mynno</w:t>
      </w:r>
      <w:proofErr w:type="spellEnd"/>
      <w:r w:rsidRPr="00FE5702">
        <w:rPr>
          <w:highlight w:val="green"/>
        </w:rPr>
        <w:t xml:space="preserve"> herself. The research consensus agrees instead that solo mortal figures must be the deceased (</w:t>
      </w:r>
      <w:proofErr w:type="spellStart"/>
      <w:r w:rsidRPr="00FE5702">
        <w:rPr>
          <w:highlight w:val="green"/>
        </w:rPr>
        <w:t>Stears</w:t>
      </w:r>
      <w:proofErr w:type="spellEnd"/>
      <w:r w:rsidRPr="00FE5702">
        <w:rPr>
          <w:highlight w:val="green"/>
        </w:rPr>
        <w:t xml:space="preserve">, 1995:119). Attic reliefs of pairs are similarly straightforward. </w:t>
      </w:r>
      <w:proofErr w:type="spellStart"/>
      <w:r w:rsidRPr="00FE5702">
        <w:rPr>
          <w:highlight w:val="green"/>
        </w:rPr>
        <w:t>Hegeso</w:t>
      </w:r>
      <w:proofErr w:type="spellEnd"/>
      <w:r w:rsidRPr="00FE5702">
        <w:rPr>
          <w:highlight w:val="green"/>
        </w:rPr>
        <w:t xml:space="preserve"> (</w:t>
      </w:r>
      <w:r w:rsidRPr="00FE5702">
        <w:rPr>
          <w:b/>
          <w:highlight w:val="green"/>
        </w:rPr>
        <w:t>3</w:t>
      </w:r>
      <w:r w:rsidRPr="00FE5702">
        <w:rPr>
          <w:highlight w:val="green"/>
        </w:rPr>
        <w:t xml:space="preserve">) and </w:t>
      </w:r>
      <w:proofErr w:type="spellStart"/>
      <w:r w:rsidRPr="00FE5702">
        <w:rPr>
          <w:highlight w:val="green"/>
        </w:rPr>
        <w:t>Dexileos</w:t>
      </w:r>
      <w:proofErr w:type="spellEnd"/>
      <w:r w:rsidRPr="00FE5702">
        <w:rPr>
          <w:highlight w:val="green"/>
        </w:rPr>
        <w:t xml:space="preserve"> (</w:t>
      </w:r>
      <w:r w:rsidRPr="00FE5702">
        <w:rPr>
          <w:b/>
          <w:highlight w:val="green"/>
        </w:rPr>
        <w:t>12</w:t>
      </w:r>
      <w:r w:rsidRPr="00FE5702">
        <w:rPr>
          <w:highlight w:val="green"/>
        </w:rPr>
        <w:t>) are named and</w:t>
      </w:r>
      <w:r w:rsidRPr="00FE5702">
        <w:rPr>
          <w:highlight w:val="green"/>
        </w:rPr>
        <w:t xml:space="preserve"> feature in pairs. The standing figure on </w:t>
      </w:r>
      <w:r w:rsidRPr="00FE5702">
        <w:rPr>
          <w:i/>
          <w:highlight w:val="green"/>
        </w:rPr>
        <w:t xml:space="preserve">stele </w:t>
      </w:r>
      <w:r w:rsidRPr="00FE5702">
        <w:rPr>
          <w:b/>
          <w:highlight w:val="green"/>
        </w:rPr>
        <w:t>3</w:t>
      </w:r>
      <w:r w:rsidRPr="00FE5702">
        <w:rPr>
          <w:highlight w:val="green"/>
        </w:rPr>
        <w:t xml:space="preserve"> wears a hair-net and double-</w:t>
      </w:r>
      <w:r w:rsidRPr="00FE5702">
        <w:rPr>
          <w:i/>
          <w:highlight w:val="green"/>
        </w:rPr>
        <w:t xml:space="preserve">chiton, </w:t>
      </w:r>
      <w:r w:rsidRPr="00FE5702">
        <w:rPr>
          <w:highlight w:val="green"/>
        </w:rPr>
        <w:t xml:space="preserve">holding a </w:t>
      </w:r>
      <w:r w:rsidRPr="00FE5702">
        <w:rPr>
          <w:i/>
          <w:highlight w:val="green"/>
        </w:rPr>
        <w:t xml:space="preserve">pyxis </w:t>
      </w:r>
      <w:r w:rsidRPr="00FE5702">
        <w:rPr>
          <w:highlight w:val="green"/>
        </w:rPr>
        <w:t xml:space="preserve">for the seated woman to inspect (Barker, 1922:292). The former is subservient, an ancillary figure whose presence visualises the aristocratic status of </w:t>
      </w:r>
      <w:proofErr w:type="spellStart"/>
      <w:r w:rsidRPr="00FE5702">
        <w:rPr>
          <w:highlight w:val="green"/>
        </w:rPr>
        <w:t>He</w:t>
      </w:r>
      <w:r w:rsidRPr="00FE5702">
        <w:rPr>
          <w:highlight w:val="green"/>
        </w:rPr>
        <w:t>geso</w:t>
      </w:r>
      <w:proofErr w:type="spellEnd"/>
      <w:r w:rsidRPr="00FE5702">
        <w:rPr>
          <w:highlight w:val="green"/>
        </w:rPr>
        <w:t xml:space="preserve"> (Leader, 1997:689). The nude male on </w:t>
      </w:r>
      <w:r w:rsidRPr="00FE5702">
        <w:rPr>
          <w:i/>
          <w:highlight w:val="green"/>
        </w:rPr>
        <w:t xml:space="preserve">stele </w:t>
      </w:r>
      <w:r w:rsidRPr="00FE5702">
        <w:rPr>
          <w:b/>
          <w:highlight w:val="green"/>
        </w:rPr>
        <w:t>12</w:t>
      </w:r>
      <w:r w:rsidRPr="00FE5702">
        <w:rPr>
          <w:b/>
          <w:color w:val="FF0000"/>
          <w:highlight w:val="green"/>
        </w:rPr>
        <w:t xml:space="preserve"> </w:t>
      </w:r>
      <w:r w:rsidRPr="00FE5702">
        <w:rPr>
          <w:highlight w:val="green"/>
        </w:rPr>
        <w:t xml:space="preserve">is pierced by a spear but few Attic grave reliefs depict the moment of a subject’s death; the figure is </w:t>
      </w:r>
      <w:proofErr w:type="spellStart"/>
      <w:r w:rsidRPr="00FE5702">
        <w:rPr>
          <w:highlight w:val="green"/>
        </w:rPr>
        <w:t>Dexileos</w:t>
      </w:r>
      <w:proofErr w:type="spellEnd"/>
      <w:r w:rsidRPr="00FE5702">
        <w:rPr>
          <w:highlight w:val="green"/>
        </w:rPr>
        <w:t>’ defeated foe (</w:t>
      </w:r>
      <w:proofErr w:type="spellStart"/>
      <w:r w:rsidRPr="00FE5702">
        <w:rPr>
          <w:highlight w:val="green"/>
        </w:rPr>
        <w:t>Hurwit</w:t>
      </w:r>
      <w:proofErr w:type="spellEnd"/>
      <w:r w:rsidRPr="00FE5702">
        <w:rPr>
          <w:highlight w:val="green"/>
        </w:rPr>
        <w:t>, 2007:57). Both</w:t>
      </w:r>
      <w:r w:rsidRPr="00FE5702">
        <w:rPr>
          <w:i/>
          <w:highlight w:val="green"/>
        </w:rPr>
        <w:t xml:space="preserve"> </w:t>
      </w:r>
      <w:r w:rsidRPr="00FE5702">
        <w:rPr>
          <w:highlight w:val="green"/>
        </w:rPr>
        <w:t>examples illustrate how secondary characters are easily identifiable by their costume and relation to the central figure (</w:t>
      </w:r>
      <w:proofErr w:type="spellStart"/>
      <w:r w:rsidRPr="00FE5702">
        <w:rPr>
          <w:highlight w:val="green"/>
        </w:rPr>
        <w:t>Friis</w:t>
      </w:r>
      <w:proofErr w:type="spellEnd"/>
      <w:r w:rsidRPr="00FE5702">
        <w:rPr>
          <w:highlight w:val="green"/>
        </w:rPr>
        <w:t xml:space="preserve"> Johansen, 1951:53). Although Fullerton suggests that the </w:t>
      </w:r>
      <w:proofErr w:type="spellStart"/>
      <w:r w:rsidRPr="00FE5702">
        <w:rPr>
          <w:highlight w:val="green"/>
        </w:rPr>
        <w:t>Dexileos</w:t>
      </w:r>
      <w:proofErr w:type="spellEnd"/>
      <w:r w:rsidRPr="00FE5702">
        <w:rPr>
          <w:highlight w:val="green"/>
        </w:rPr>
        <w:t xml:space="preserve"> </w:t>
      </w:r>
      <w:r w:rsidRPr="00FE5702">
        <w:rPr>
          <w:i/>
          <w:highlight w:val="green"/>
        </w:rPr>
        <w:t xml:space="preserve">stele </w:t>
      </w:r>
      <w:r w:rsidRPr="00FE5702">
        <w:rPr>
          <w:highlight w:val="green"/>
        </w:rPr>
        <w:t>would have been a ‘stock composition’, the visual and em</w:t>
      </w:r>
      <w:r w:rsidRPr="00FE5702">
        <w:rPr>
          <w:highlight w:val="green"/>
        </w:rPr>
        <w:t>otional impact of a heroic death in combat is not diminished (Fullerton, 2016:549).</w:t>
      </w:r>
    </w:p>
    <w:p w:rsidR="001142B0" w:rsidRDefault="00005B13">
      <w:pPr>
        <w:spacing w:before="240" w:line="360" w:lineRule="auto"/>
        <w:jc w:val="both"/>
      </w:pPr>
      <w:r w:rsidRPr="00FE5702">
        <w:rPr>
          <w:highlight w:val="green"/>
        </w:rPr>
        <w:t xml:space="preserve">Identifying the deceased within a family group is a more complex task. </w:t>
      </w:r>
      <w:proofErr w:type="spellStart"/>
      <w:r w:rsidRPr="00FE5702">
        <w:rPr>
          <w:highlight w:val="green"/>
        </w:rPr>
        <w:t>Friis</w:t>
      </w:r>
      <w:proofErr w:type="spellEnd"/>
      <w:r w:rsidRPr="00FE5702">
        <w:rPr>
          <w:highlight w:val="green"/>
        </w:rPr>
        <w:t xml:space="preserve"> Johansen maintains that the homogeneity of the genre’s iconography is the cause of confusion (</w:t>
      </w:r>
      <w:proofErr w:type="spellStart"/>
      <w:r w:rsidRPr="00FE5702">
        <w:rPr>
          <w:highlight w:val="green"/>
        </w:rPr>
        <w:t>F</w:t>
      </w:r>
      <w:r w:rsidRPr="00FE5702">
        <w:rPr>
          <w:highlight w:val="green"/>
        </w:rPr>
        <w:t>riis</w:t>
      </w:r>
      <w:proofErr w:type="spellEnd"/>
      <w:r w:rsidRPr="00FE5702">
        <w:rPr>
          <w:highlight w:val="green"/>
        </w:rPr>
        <w:t xml:space="preserve"> Johansen, 1951:55). For example, grave reliefs did not depict portraiture, unlike some free-standing statues in the mid-4</w:t>
      </w:r>
      <w:r w:rsidRPr="00FE5702">
        <w:rPr>
          <w:highlight w:val="green"/>
          <w:vertAlign w:val="superscript"/>
        </w:rPr>
        <w:t>th</w:t>
      </w:r>
      <w:r w:rsidRPr="00FE5702">
        <w:rPr>
          <w:highlight w:val="green"/>
        </w:rPr>
        <w:t xml:space="preserve"> century. The subjects of funerary reliefs are idealised versions, crafted to be symbolic and not precise representations of fig</w:t>
      </w:r>
      <w:r w:rsidRPr="00FE5702">
        <w:rPr>
          <w:highlight w:val="green"/>
        </w:rPr>
        <w:t xml:space="preserve">ures (Grossman, 2007:313). Furthermore, the approaches utilised on solo or pair scenes are not necessarily applicable to group scenes (Von </w:t>
      </w:r>
      <w:proofErr w:type="spellStart"/>
      <w:r w:rsidRPr="00FE5702">
        <w:rPr>
          <w:highlight w:val="green"/>
        </w:rPr>
        <w:t>Rodenwaldt</w:t>
      </w:r>
      <w:proofErr w:type="spellEnd"/>
      <w:r w:rsidRPr="00FE5702">
        <w:rPr>
          <w:highlight w:val="green"/>
        </w:rPr>
        <w:t xml:space="preserve">, 1923:62). For example, </w:t>
      </w:r>
      <w:r w:rsidRPr="00FE5702">
        <w:rPr>
          <w:i/>
          <w:highlight w:val="green"/>
        </w:rPr>
        <w:t xml:space="preserve">stele </w:t>
      </w:r>
      <w:r w:rsidRPr="00FE5702">
        <w:rPr>
          <w:b/>
          <w:highlight w:val="green"/>
        </w:rPr>
        <w:t>6</w:t>
      </w:r>
      <w:r w:rsidRPr="00FE5702">
        <w:rPr>
          <w:b/>
          <w:color w:val="FF0000"/>
          <w:highlight w:val="green"/>
        </w:rPr>
        <w:t xml:space="preserve"> </w:t>
      </w:r>
      <w:r w:rsidRPr="00FE5702">
        <w:rPr>
          <w:highlight w:val="green"/>
        </w:rPr>
        <w:t>shows an elderly bearded man on a chair</w:t>
      </w:r>
      <w:r w:rsidRPr="00FE5702">
        <w:rPr>
          <w:i/>
          <w:highlight w:val="green"/>
        </w:rPr>
        <w:t xml:space="preserve">, </w:t>
      </w:r>
      <w:r w:rsidRPr="00FE5702">
        <w:rPr>
          <w:highlight w:val="green"/>
        </w:rPr>
        <w:t>demonstrating that the funerary i</w:t>
      </w:r>
      <w:r w:rsidRPr="00FE5702">
        <w:rPr>
          <w:highlight w:val="green"/>
        </w:rPr>
        <w:t xml:space="preserve">mage of the seated figure was not exclusive to women. On </w:t>
      </w:r>
      <w:r w:rsidRPr="00FE5702">
        <w:rPr>
          <w:i/>
          <w:highlight w:val="green"/>
        </w:rPr>
        <w:t xml:space="preserve">stele </w:t>
      </w:r>
      <w:r w:rsidRPr="00FE5702">
        <w:rPr>
          <w:b/>
          <w:highlight w:val="green"/>
        </w:rPr>
        <w:t xml:space="preserve">9 </w:t>
      </w:r>
      <w:r w:rsidRPr="00FE5702">
        <w:rPr>
          <w:highlight w:val="green"/>
        </w:rPr>
        <w:t>the seated woman is on the far right of the relief, secondary to the elevated reclining male. The image of a seated woman is repeated alongside other visual cues that would have otherwise ide</w:t>
      </w:r>
      <w:r w:rsidRPr="00FE5702">
        <w:rPr>
          <w:highlight w:val="green"/>
        </w:rPr>
        <w:t>ntified them as the deceased.</w:t>
      </w:r>
      <w:r>
        <w:t xml:space="preserve"> </w:t>
      </w:r>
    </w:p>
    <w:p w:rsidR="001142B0" w:rsidRDefault="001142B0">
      <w:pPr>
        <w:spacing w:before="240" w:line="360" w:lineRule="auto"/>
        <w:jc w:val="both"/>
      </w:pPr>
    </w:p>
    <w:p w:rsidR="001142B0" w:rsidRDefault="001142B0">
      <w:pPr>
        <w:spacing w:before="240" w:line="360" w:lineRule="auto"/>
        <w:jc w:val="both"/>
      </w:pPr>
    </w:p>
    <w:p w:rsidR="001142B0" w:rsidRDefault="001142B0">
      <w:pPr>
        <w:spacing w:before="240" w:line="360" w:lineRule="auto"/>
        <w:jc w:val="both"/>
      </w:pPr>
    </w:p>
    <w:p w:rsidR="001142B0" w:rsidRDefault="001142B0">
      <w:pPr>
        <w:spacing w:before="240" w:line="360" w:lineRule="auto"/>
        <w:jc w:val="both"/>
      </w:pPr>
    </w:p>
    <w:p w:rsidR="001142B0" w:rsidRDefault="00005B13">
      <w:pPr>
        <w:spacing w:before="240" w:line="360" w:lineRule="auto"/>
        <w:jc w:val="both"/>
      </w:pPr>
      <w:r>
        <w:rPr>
          <w:b/>
        </w:rPr>
        <w:t xml:space="preserve"> </w:t>
      </w:r>
      <w:r w:rsidRPr="003F5735">
        <w:rPr>
          <w:b/>
          <w:highlight w:val="green"/>
        </w:rPr>
        <w:t>‘Life’ after Death – A Cause for Commemoration</w:t>
      </w:r>
    </w:p>
    <w:p w:rsidR="001142B0" w:rsidRDefault="00005B13">
      <w:pPr>
        <w:spacing w:before="240" w:line="360" w:lineRule="auto"/>
        <w:jc w:val="both"/>
      </w:pPr>
      <w:r w:rsidRPr="003F5735">
        <w:rPr>
          <w:highlight w:val="green"/>
        </w:rPr>
        <w:lastRenderedPageBreak/>
        <w:t>Despite ongoing and detailed scholarly research, identifying the exact context of a scene presents a challenge that has not yet been resolved. Defining the scene beyond an i</w:t>
      </w:r>
      <w:r w:rsidRPr="003F5735">
        <w:rPr>
          <w:highlight w:val="green"/>
        </w:rPr>
        <w:t>nterior or exterior setting often risks being contradictory or impenetrable at worst (</w:t>
      </w:r>
      <w:proofErr w:type="spellStart"/>
      <w:r w:rsidRPr="003F5735">
        <w:rPr>
          <w:highlight w:val="green"/>
        </w:rPr>
        <w:t>Friis</w:t>
      </w:r>
      <w:proofErr w:type="spellEnd"/>
      <w:r w:rsidRPr="003F5735">
        <w:rPr>
          <w:highlight w:val="green"/>
        </w:rPr>
        <w:t xml:space="preserve"> Johansen, 1951:53). One controversial aspect of this debate comes with attempting to explain the significance of family scenes (</w:t>
      </w:r>
      <w:proofErr w:type="spellStart"/>
      <w:r w:rsidRPr="003F5735">
        <w:rPr>
          <w:highlight w:val="green"/>
        </w:rPr>
        <w:t>Stears</w:t>
      </w:r>
      <w:proofErr w:type="spellEnd"/>
      <w:r w:rsidRPr="003F5735">
        <w:rPr>
          <w:highlight w:val="green"/>
        </w:rPr>
        <w:t>, 2000:26). The previous secti</w:t>
      </w:r>
      <w:r w:rsidRPr="003F5735">
        <w:rPr>
          <w:highlight w:val="green"/>
        </w:rPr>
        <w:t xml:space="preserve">on outlines how the deceased is not only represented on grave </w:t>
      </w:r>
      <w:proofErr w:type="spellStart"/>
      <w:proofErr w:type="gramStart"/>
      <w:r w:rsidRPr="003F5735">
        <w:rPr>
          <w:i/>
          <w:highlight w:val="green"/>
        </w:rPr>
        <w:t>stelai</w:t>
      </w:r>
      <w:proofErr w:type="spellEnd"/>
      <w:r w:rsidRPr="003F5735">
        <w:rPr>
          <w:i/>
          <w:highlight w:val="green"/>
        </w:rPr>
        <w:t xml:space="preserve">, </w:t>
      </w:r>
      <w:r w:rsidRPr="003F5735">
        <w:rPr>
          <w:highlight w:val="green"/>
        </w:rPr>
        <w:t>but</w:t>
      </w:r>
      <w:proofErr w:type="gramEnd"/>
      <w:r w:rsidRPr="003F5735">
        <w:rPr>
          <w:highlight w:val="green"/>
        </w:rPr>
        <w:t xml:space="preserve"> is the main subject of the scene</w:t>
      </w:r>
      <w:r w:rsidRPr="003F5735">
        <w:rPr>
          <w:i/>
          <w:highlight w:val="green"/>
        </w:rPr>
        <w:t xml:space="preserve">. </w:t>
      </w:r>
      <w:r w:rsidRPr="003F5735">
        <w:rPr>
          <w:highlight w:val="green"/>
        </w:rPr>
        <w:t xml:space="preserve">In single figure scenes like </w:t>
      </w:r>
      <w:r w:rsidRPr="003F5735">
        <w:rPr>
          <w:i/>
          <w:highlight w:val="green"/>
        </w:rPr>
        <w:t xml:space="preserve">stele </w:t>
      </w:r>
      <w:r w:rsidRPr="003F5735">
        <w:rPr>
          <w:b/>
          <w:highlight w:val="green"/>
        </w:rPr>
        <w:t xml:space="preserve">1 </w:t>
      </w:r>
      <w:r w:rsidRPr="003F5735">
        <w:rPr>
          <w:highlight w:val="green"/>
        </w:rPr>
        <w:t xml:space="preserve">or </w:t>
      </w:r>
      <w:r w:rsidRPr="003F5735">
        <w:rPr>
          <w:b/>
          <w:highlight w:val="green"/>
        </w:rPr>
        <w:t xml:space="preserve">13 </w:t>
      </w:r>
      <w:r w:rsidRPr="003F5735">
        <w:rPr>
          <w:highlight w:val="green"/>
        </w:rPr>
        <w:t>identification is highly convincing. Apart from</w:t>
      </w:r>
      <w:r w:rsidRPr="003F5735">
        <w:rPr>
          <w:i/>
          <w:highlight w:val="green"/>
        </w:rPr>
        <w:t xml:space="preserve"> </w:t>
      </w:r>
      <w:r w:rsidRPr="003F5735">
        <w:rPr>
          <w:highlight w:val="green"/>
        </w:rPr>
        <w:t>monuments</w:t>
      </w:r>
      <w:r w:rsidRPr="003F5735">
        <w:rPr>
          <w:i/>
          <w:highlight w:val="green"/>
        </w:rPr>
        <w:t xml:space="preserve"> </w:t>
      </w:r>
      <w:r w:rsidRPr="003F5735">
        <w:rPr>
          <w:highlight w:val="green"/>
        </w:rPr>
        <w:t xml:space="preserve">like </w:t>
      </w:r>
      <w:r w:rsidRPr="003F5735">
        <w:rPr>
          <w:b/>
          <w:highlight w:val="green"/>
        </w:rPr>
        <w:t xml:space="preserve">8 </w:t>
      </w:r>
      <w:r w:rsidRPr="003F5735">
        <w:rPr>
          <w:highlight w:val="green"/>
        </w:rPr>
        <w:t xml:space="preserve">and </w:t>
      </w:r>
      <w:r w:rsidRPr="003F5735">
        <w:rPr>
          <w:b/>
          <w:highlight w:val="green"/>
        </w:rPr>
        <w:t>14</w:t>
      </w:r>
      <w:r w:rsidRPr="003F5735">
        <w:rPr>
          <w:highlight w:val="green"/>
        </w:rPr>
        <w:t xml:space="preserve"> which contain ‘competing’ iconogr</w:t>
      </w:r>
      <w:r w:rsidRPr="003F5735">
        <w:rPr>
          <w:highlight w:val="green"/>
        </w:rPr>
        <w:t>aphy, it is usually possible to ascertain who the deceased is and who is a relative/child/slave in the scene (</w:t>
      </w:r>
      <w:proofErr w:type="spellStart"/>
      <w:r w:rsidRPr="003F5735">
        <w:rPr>
          <w:highlight w:val="green"/>
        </w:rPr>
        <w:t>Frel</w:t>
      </w:r>
      <w:proofErr w:type="spellEnd"/>
      <w:r w:rsidRPr="003F5735">
        <w:rPr>
          <w:highlight w:val="green"/>
        </w:rPr>
        <w:t>, 1973:175).</w:t>
      </w:r>
    </w:p>
    <w:p w:rsidR="001142B0" w:rsidRDefault="00005B13">
      <w:pPr>
        <w:spacing w:before="240" w:line="360" w:lineRule="auto"/>
        <w:jc w:val="both"/>
      </w:pPr>
      <w:r w:rsidRPr="003F5735">
        <w:rPr>
          <w:highlight w:val="green"/>
        </w:rPr>
        <w:t>Since the late 19</w:t>
      </w:r>
      <w:r w:rsidRPr="003F5735">
        <w:rPr>
          <w:highlight w:val="green"/>
          <w:vertAlign w:val="superscript"/>
        </w:rPr>
        <w:t>th</w:t>
      </w:r>
      <w:r w:rsidRPr="003F5735">
        <w:rPr>
          <w:highlight w:val="green"/>
        </w:rPr>
        <w:t xml:space="preserve"> century three major theories approach the confusion of scenes with multiple family members. Firstly, the deceased is intended to occupy the realm of the dead, with the surrounding family as survivors brought together by grief (Boardman, 1995:116), or perh</w:t>
      </w:r>
      <w:r w:rsidRPr="003F5735">
        <w:rPr>
          <w:highlight w:val="green"/>
        </w:rPr>
        <w:t>aps the deceased is bidding farewell to the living before starting his or her spiritual journey into the afterlife (Boardman, 1995:116). Secondly, the scene takes place entirely in the afterlife with a grand reunion (</w:t>
      </w:r>
      <w:proofErr w:type="spellStart"/>
      <w:r w:rsidRPr="003F5735">
        <w:rPr>
          <w:highlight w:val="green"/>
        </w:rPr>
        <w:t>Mee</w:t>
      </w:r>
      <w:proofErr w:type="spellEnd"/>
      <w:r w:rsidRPr="003F5735">
        <w:rPr>
          <w:highlight w:val="green"/>
        </w:rPr>
        <w:t xml:space="preserve">, 2011:247). Third, the </w:t>
      </w:r>
      <w:r w:rsidRPr="003F5735">
        <w:rPr>
          <w:i/>
          <w:highlight w:val="green"/>
        </w:rPr>
        <w:t xml:space="preserve">stele </w:t>
      </w:r>
      <w:r w:rsidRPr="003F5735">
        <w:rPr>
          <w:highlight w:val="green"/>
        </w:rPr>
        <w:t>acts a</w:t>
      </w:r>
      <w:r w:rsidRPr="003F5735">
        <w:rPr>
          <w:highlight w:val="green"/>
        </w:rPr>
        <w:t xml:space="preserve">s a bridge between the realms of the living and the dead (Wasserman, 1969:198). One social theme transcends the different hypotheses and is found in all four: the </w:t>
      </w:r>
      <w:r w:rsidRPr="003F5735">
        <w:rPr>
          <w:i/>
          <w:highlight w:val="green"/>
        </w:rPr>
        <w:t xml:space="preserve">oikos </w:t>
      </w:r>
      <w:r w:rsidRPr="003F5735">
        <w:rPr>
          <w:highlight w:val="green"/>
        </w:rPr>
        <w:t xml:space="preserve">was the essential concept for understanding the Attic family </w:t>
      </w:r>
      <w:proofErr w:type="gramStart"/>
      <w:r w:rsidRPr="003F5735">
        <w:rPr>
          <w:highlight w:val="green"/>
        </w:rPr>
        <w:t>unit, and</w:t>
      </w:r>
      <w:proofErr w:type="gramEnd"/>
      <w:r w:rsidRPr="003F5735">
        <w:rPr>
          <w:highlight w:val="green"/>
        </w:rPr>
        <w:t xml:space="preserve"> had to be nurtur</w:t>
      </w:r>
      <w:r w:rsidRPr="003F5735">
        <w:rPr>
          <w:highlight w:val="green"/>
        </w:rPr>
        <w:t xml:space="preserve">ed and accepted by the </w:t>
      </w:r>
      <w:r w:rsidRPr="003F5735">
        <w:rPr>
          <w:i/>
          <w:highlight w:val="green"/>
        </w:rPr>
        <w:t>polis</w:t>
      </w:r>
      <w:r w:rsidRPr="003F5735">
        <w:rPr>
          <w:highlight w:val="green"/>
        </w:rPr>
        <w:t>.</w:t>
      </w:r>
    </w:p>
    <w:p w:rsidR="001142B0" w:rsidRDefault="00005B13">
      <w:pPr>
        <w:spacing w:before="240" w:line="360" w:lineRule="auto"/>
        <w:jc w:val="both"/>
      </w:pPr>
      <w:r w:rsidRPr="003F5735">
        <w:rPr>
          <w:highlight w:val="green"/>
        </w:rPr>
        <w:t>The idea of a dead figure surrounded by surviving family members has been championed by Kurtz and Boardman (Kurtz &amp; Boardman, 1971:140), and is consistent with this report’s view that family members funded the production of th</w:t>
      </w:r>
      <w:r w:rsidRPr="003F5735">
        <w:rPr>
          <w:highlight w:val="green"/>
        </w:rPr>
        <w:t>e actual relief (</w:t>
      </w:r>
      <w:proofErr w:type="spellStart"/>
      <w:r w:rsidRPr="003F5735">
        <w:rPr>
          <w:highlight w:val="green"/>
        </w:rPr>
        <w:t>Wrenhaven</w:t>
      </w:r>
      <w:proofErr w:type="spellEnd"/>
      <w:r w:rsidRPr="003F5735">
        <w:rPr>
          <w:highlight w:val="green"/>
        </w:rPr>
        <w:t xml:space="preserve">, 2012:96). The most compelling evidence for this theory comes from </w:t>
      </w:r>
      <w:r w:rsidRPr="003F5735">
        <w:rPr>
          <w:i/>
          <w:highlight w:val="green"/>
        </w:rPr>
        <w:t xml:space="preserve">stele </w:t>
      </w:r>
      <w:r w:rsidRPr="003F5735">
        <w:rPr>
          <w:b/>
          <w:highlight w:val="green"/>
        </w:rPr>
        <w:t>11</w:t>
      </w:r>
      <w:r w:rsidRPr="003F5735">
        <w:rPr>
          <w:highlight w:val="green"/>
        </w:rPr>
        <w:t xml:space="preserve">, Excavated from the </w:t>
      </w:r>
      <w:proofErr w:type="spellStart"/>
      <w:r w:rsidRPr="003F5735">
        <w:rPr>
          <w:highlight w:val="green"/>
        </w:rPr>
        <w:t>Ilissos</w:t>
      </w:r>
      <w:proofErr w:type="spellEnd"/>
      <w:r w:rsidRPr="003F5735">
        <w:rPr>
          <w:highlight w:val="green"/>
        </w:rPr>
        <w:t xml:space="preserve"> River. The nude subject of the scene leans against the </w:t>
      </w:r>
      <w:r w:rsidRPr="003F5735">
        <w:rPr>
          <w:i/>
          <w:highlight w:val="green"/>
        </w:rPr>
        <w:t xml:space="preserve">anta, </w:t>
      </w:r>
      <w:r w:rsidRPr="003F5735">
        <w:rPr>
          <w:highlight w:val="green"/>
        </w:rPr>
        <w:t>as</w:t>
      </w:r>
      <w:r w:rsidRPr="003F5735">
        <w:rPr>
          <w:i/>
          <w:highlight w:val="green"/>
        </w:rPr>
        <w:t xml:space="preserve"> </w:t>
      </w:r>
      <w:r w:rsidRPr="003F5735">
        <w:rPr>
          <w:highlight w:val="green"/>
        </w:rPr>
        <w:t>an elderly male figure stands passively to his right. His gaz</w:t>
      </w:r>
      <w:r w:rsidRPr="003F5735">
        <w:rPr>
          <w:highlight w:val="green"/>
        </w:rPr>
        <w:t>e is locked on the face of the deceased, leaning gently against his staff and raising his right hand to his chin in contemplation (Kurtz &amp; Boardman, 1971:141). The old man’s quiet intensity seeks to connect to the heroic male, who is oblivious to his prese</w:t>
      </w:r>
      <w:r w:rsidRPr="003F5735">
        <w:rPr>
          <w:highlight w:val="green"/>
        </w:rPr>
        <w:t xml:space="preserve">nce as he stares out into the world of the viewer. Nevertheless, the elder remains an important ancillary figure in the intergenerational scene – He is draped in a thick </w:t>
      </w:r>
      <w:r w:rsidRPr="003F5735">
        <w:rPr>
          <w:i/>
          <w:highlight w:val="green"/>
        </w:rPr>
        <w:t xml:space="preserve">himation, </w:t>
      </w:r>
      <w:r w:rsidRPr="003F5735">
        <w:rPr>
          <w:highlight w:val="green"/>
        </w:rPr>
        <w:t>a civic garment that alludes to active participation in the public affairs o</w:t>
      </w:r>
      <w:r w:rsidRPr="003F5735">
        <w:rPr>
          <w:highlight w:val="green"/>
        </w:rPr>
        <w:t xml:space="preserve">f the </w:t>
      </w:r>
      <w:r w:rsidRPr="003F5735">
        <w:rPr>
          <w:i/>
          <w:highlight w:val="green"/>
        </w:rPr>
        <w:t xml:space="preserve">polis </w:t>
      </w:r>
      <w:r w:rsidRPr="003F5735">
        <w:rPr>
          <w:highlight w:val="green"/>
        </w:rPr>
        <w:t>(Hallett, 2005:20). The dichotomy between the pair ultimately defines the elder as a bystander to the youth, who exudes a passive, detached presence (</w:t>
      </w:r>
      <w:proofErr w:type="spellStart"/>
      <w:r w:rsidRPr="003F5735">
        <w:rPr>
          <w:highlight w:val="green"/>
        </w:rPr>
        <w:t>Palagia</w:t>
      </w:r>
      <w:proofErr w:type="spellEnd"/>
      <w:r w:rsidRPr="003F5735">
        <w:rPr>
          <w:highlight w:val="green"/>
        </w:rPr>
        <w:t>, 2006:145).</w:t>
      </w:r>
    </w:p>
    <w:p w:rsidR="001142B0" w:rsidRPr="003F5735" w:rsidRDefault="00005B13">
      <w:pPr>
        <w:spacing w:before="240" w:line="360" w:lineRule="auto"/>
        <w:jc w:val="both"/>
        <w:rPr>
          <w:highlight w:val="green"/>
        </w:rPr>
      </w:pPr>
      <w:r w:rsidRPr="003F5735">
        <w:rPr>
          <w:highlight w:val="green"/>
        </w:rPr>
        <w:t xml:space="preserve">A similar distinction appears in </w:t>
      </w:r>
      <w:r w:rsidRPr="003F5735">
        <w:rPr>
          <w:i/>
          <w:highlight w:val="green"/>
        </w:rPr>
        <w:t xml:space="preserve">stele </w:t>
      </w:r>
      <w:r w:rsidRPr="003F5735">
        <w:rPr>
          <w:b/>
          <w:highlight w:val="green"/>
        </w:rPr>
        <w:t>10</w:t>
      </w:r>
      <w:r w:rsidRPr="003F5735">
        <w:rPr>
          <w:highlight w:val="green"/>
        </w:rPr>
        <w:t xml:space="preserve">, where </w:t>
      </w:r>
      <w:proofErr w:type="spellStart"/>
      <w:r w:rsidRPr="003F5735">
        <w:rPr>
          <w:highlight w:val="green"/>
        </w:rPr>
        <w:t>Telesias</w:t>
      </w:r>
      <w:proofErr w:type="spellEnd"/>
      <w:r w:rsidRPr="003F5735">
        <w:rPr>
          <w:highlight w:val="green"/>
        </w:rPr>
        <w:t xml:space="preserve"> observes a hare </w:t>
      </w:r>
      <w:r w:rsidRPr="003F5735">
        <w:rPr>
          <w:highlight w:val="green"/>
        </w:rPr>
        <w:t xml:space="preserve">without returning the gaze of the child beside him. Kurtz and Boardman consider this separation to visually divide life and death in Attic funerary iconography. Family or servants on monuments like </w:t>
      </w:r>
      <w:r w:rsidRPr="003F5735">
        <w:rPr>
          <w:i/>
          <w:highlight w:val="green"/>
        </w:rPr>
        <w:t xml:space="preserve">stele </w:t>
      </w:r>
      <w:r w:rsidRPr="003F5735">
        <w:rPr>
          <w:b/>
          <w:highlight w:val="green"/>
        </w:rPr>
        <w:t>3</w:t>
      </w:r>
      <w:r w:rsidRPr="003F5735">
        <w:rPr>
          <w:highlight w:val="green"/>
        </w:rPr>
        <w:t xml:space="preserve"> are spectators to the </w:t>
      </w:r>
      <w:r w:rsidRPr="003F5735">
        <w:rPr>
          <w:highlight w:val="green"/>
        </w:rPr>
        <w:lastRenderedPageBreak/>
        <w:t xml:space="preserve">deceased subject, just like </w:t>
      </w:r>
      <w:r w:rsidRPr="003F5735">
        <w:rPr>
          <w:highlight w:val="green"/>
        </w:rPr>
        <w:t>the actual visitor to the grave (</w:t>
      </w:r>
      <w:proofErr w:type="spellStart"/>
      <w:r w:rsidRPr="003F5735">
        <w:rPr>
          <w:highlight w:val="green"/>
        </w:rPr>
        <w:t>Wrenhaven</w:t>
      </w:r>
      <w:proofErr w:type="spellEnd"/>
      <w:r w:rsidRPr="003F5735">
        <w:rPr>
          <w:highlight w:val="green"/>
        </w:rPr>
        <w:t xml:space="preserve">, 2012:101). The clasping of hands </w:t>
      </w:r>
      <w:r w:rsidRPr="003F5735">
        <w:rPr>
          <w:i/>
          <w:highlight w:val="green"/>
        </w:rPr>
        <w:t>(</w:t>
      </w:r>
      <w:proofErr w:type="spellStart"/>
      <w:r w:rsidRPr="003F5735">
        <w:rPr>
          <w:i/>
          <w:highlight w:val="green"/>
        </w:rPr>
        <w:t>dexiosis</w:t>
      </w:r>
      <w:proofErr w:type="spellEnd"/>
      <w:r w:rsidRPr="003F5735">
        <w:rPr>
          <w:i/>
          <w:highlight w:val="green"/>
        </w:rPr>
        <w:t>)</w:t>
      </w:r>
      <w:r w:rsidRPr="003F5735">
        <w:rPr>
          <w:highlight w:val="green"/>
        </w:rPr>
        <w:t xml:space="preserve"> appears in </w:t>
      </w:r>
      <w:proofErr w:type="spellStart"/>
      <w:r w:rsidRPr="003F5735">
        <w:rPr>
          <w:i/>
          <w:highlight w:val="green"/>
        </w:rPr>
        <w:t>stelai</w:t>
      </w:r>
      <w:proofErr w:type="spellEnd"/>
      <w:r w:rsidRPr="003F5735">
        <w:rPr>
          <w:i/>
          <w:highlight w:val="green"/>
        </w:rPr>
        <w:t xml:space="preserve"> </w:t>
      </w:r>
      <w:r w:rsidRPr="003F5735">
        <w:rPr>
          <w:b/>
          <w:highlight w:val="green"/>
        </w:rPr>
        <w:t>4</w:t>
      </w:r>
      <w:r w:rsidRPr="003F5735">
        <w:rPr>
          <w:highlight w:val="green"/>
        </w:rPr>
        <w:t>,</w:t>
      </w:r>
      <w:r w:rsidRPr="003F5735">
        <w:rPr>
          <w:b/>
          <w:highlight w:val="green"/>
        </w:rPr>
        <w:t xml:space="preserve"> 6</w:t>
      </w:r>
      <w:r w:rsidRPr="003F5735">
        <w:rPr>
          <w:highlight w:val="green"/>
        </w:rPr>
        <w:t xml:space="preserve">, </w:t>
      </w:r>
      <w:r w:rsidRPr="003F5735">
        <w:rPr>
          <w:b/>
          <w:highlight w:val="green"/>
        </w:rPr>
        <w:t xml:space="preserve">8 </w:t>
      </w:r>
      <w:r w:rsidRPr="003F5735">
        <w:rPr>
          <w:highlight w:val="green"/>
        </w:rPr>
        <w:t xml:space="preserve">and </w:t>
      </w:r>
      <w:r w:rsidRPr="003F5735">
        <w:rPr>
          <w:b/>
          <w:highlight w:val="green"/>
        </w:rPr>
        <w:t>14</w:t>
      </w:r>
      <w:r w:rsidRPr="003F5735">
        <w:rPr>
          <w:highlight w:val="green"/>
        </w:rPr>
        <w:t>, and possibly denotes the ‘final farewell’ and retirement of the subject from the realm of the living (</w:t>
      </w:r>
      <w:proofErr w:type="spellStart"/>
      <w:r w:rsidRPr="003F5735">
        <w:rPr>
          <w:highlight w:val="green"/>
        </w:rPr>
        <w:t>Mee</w:t>
      </w:r>
      <w:proofErr w:type="spellEnd"/>
      <w:r w:rsidRPr="003F5735">
        <w:rPr>
          <w:highlight w:val="green"/>
        </w:rPr>
        <w:t>, 2011:247).</w:t>
      </w:r>
    </w:p>
    <w:p w:rsidR="001142B0" w:rsidRDefault="00005B13">
      <w:pPr>
        <w:spacing w:before="240" w:line="360" w:lineRule="auto"/>
        <w:jc w:val="both"/>
      </w:pPr>
      <w:r w:rsidRPr="003F5735">
        <w:rPr>
          <w:highlight w:val="green"/>
        </w:rPr>
        <w:t xml:space="preserve">By combining </w:t>
      </w:r>
      <w:proofErr w:type="spellStart"/>
      <w:r w:rsidRPr="003F5735">
        <w:rPr>
          <w:i/>
          <w:highlight w:val="green"/>
        </w:rPr>
        <w:t>dex</w:t>
      </w:r>
      <w:r w:rsidRPr="003F5735">
        <w:rPr>
          <w:i/>
          <w:highlight w:val="green"/>
        </w:rPr>
        <w:t>iosis</w:t>
      </w:r>
      <w:proofErr w:type="spellEnd"/>
      <w:r w:rsidRPr="003F5735">
        <w:rPr>
          <w:i/>
          <w:highlight w:val="green"/>
        </w:rPr>
        <w:t xml:space="preserve"> </w:t>
      </w:r>
      <w:r w:rsidRPr="003F5735">
        <w:rPr>
          <w:highlight w:val="green"/>
        </w:rPr>
        <w:t>and the physical disconnect between figures</w:t>
      </w:r>
      <w:r w:rsidRPr="003F5735">
        <w:rPr>
          <w:i/>
          <w:highlight w:val="green"/>
        </w:rPr>
        <w:t xml:space="preserve">, </w:t>
      </w:r>
      <w:proofErr w:type="spellStart"/>
      <w:r w:rsidRPr="003F5735">
        <w:rPr>
          <w:i/>
          <w:highlight w:val="green"/>
        </w:rPr>
        <w:t>stelai</w:t>
      </w:r>
      <w:proofErr w:type="spellEnd"/>
      <w:r w:rsidRPr="003F5735">
        <w:rPr>
          <w:highlight w:val="green"/>
        </w:rPr>
        <w:t xml:space="preserve"> reflect the perpetuity of the </w:t>
      </w:r>
      <w:r w:rsidRPr="003F5735">
        <w:rPr>
          <w:i/>
          <w:highlight w:val="green"/>
        </w:rPr>
        <w:t xml:space="preserve">oikos </w:t>
      </w:r>
      <w:r w:rsidRPr="003F5735">
        <w:rPr>
          <w:highlight w:val="green"/>
        </w:rPr>
        <w:t xml:space="preserve">in Athenian and Attic society (Pomeroy, 1997:23), death was inherently disruptive to the operation of the </w:t>
      </w:r>
      <w:r w:rsidRPr="003F5735">
        <w:rPr>
          <w:i/>
          <w:highlight w:val="green"/>
        </w:rPr>
        <w:t xml:space="preserve">oikos </w:t>
      </w:r>
      <w:r w:rsidRPr="003F5735">
        <w:rPr>
          <w:highlight w:val="green"/>
        </w:rPr>
        <w:t>(</w:t>
      </w:r>
      <w:proofErr w:type="spellStart"/>
      <w:r w:rsidRPr="003F5735">
        <w:rPr>
          <w:highlight w:val="green"/>
        </w:rPr>
        <w:t>Stears</w:t>
      </w:r>
      <w:proofErr w:type="spellEnd"/>
      <w:r w:rsidRPr="003F5735">
        <w:rPr>
          <w:highlight w:val="green"/>
        </w:rPr>
        <w:t xml:space="preserve">, 1995:128). Indeed, the majority of the report’s </w:t>
      </w:r>
      <w:proofErr w:type="spellStart"/>
      <w:r w:rsidRPr="003F5735">
        <w:rPr>
          <w:i/>
          <w:highlight w:val="green"/>
        </w:rPr>
        <w:t>stelai</w:t>
      </w:r>
      <w:proofErr w:type="spellEnd"/>
      <w:r w:rsidRPr="003F5735">
        <w:rPr>
          <w:i/>
          <w:highlight w:val="green"/>
        </w:rPr>
        <w:t xml:space="preserve"> </w:t>
      </w:r>
      <w:r w:rsidRPr="003F5735">
        <w:rPr>
          <w:highlight w:val="green"/>
        </w:rPr>
        <w:t>depict those who died ‘prematurely’: mothers with infants, hoplites, cavalrymen and unmarried girls (</w:t>
      </w:r>
      <w:proofErr w:type="spellStart"/>
      <w:r w:rsidRPr="003F5735">
        <w:rPr>
          <w:highlight w:val="green"/>
        </w:rPr>
        <w:t>Stears</w:t>
      </w:r>
      <w:proofErr w:type="spellEnd"/>
      <w:r w:rsidRPr="003F5735">
        <w:rPr>
          <w:highlight w:val="green"/>
        </w:rPr>
        <w:t>, 1995:119). A survey of Attic gravestones reveals 34 cases of a father who left behi</w:t>
      </w:r>
      <w:r w:rsidRPr="003F5735">
        <w:rPr>
          <w:highlight w:val="green"/>
        </w:rPr>
        <w:t xml:space="preserve">nd a child or children (Humphreys, 1993:111). By commissioning a </w:t>
      </w:r>
      <w:r w:rsidRPr="003F5735">
        <w:rPr>
          <w:i/>
          <w:highlight w:val="green"/>
        </w:rPr>
        <w:t xml:space="preserve">stele </w:t>
      </w:r>
      <w:r w:rsidRPr="003F5735">
        <w:rPr>
          <w:highlight w:val="green"/>
        </w:rPr>
        <w:t xml:space="preserve">depicting the dead alongside living family members, the dedicator conveys two important messages. They recognise that the </w:t>
      </w:r>
      <w:r w:rsidRPr="003F5735">
        <w:rPr>
          <w:i/>
          <w:highlight w:val="green"/>
        </w:rPr>
        <w:t xml:space="preserve">oikos </w:t>
      </w:r>
      <w:r w:rsidRPr="003F5735">
        <w:rPr>
          <w:highlight w:val="green"/>
        </w:rPr>
        <w:t>had been threatened by an untimely death, but it is stron</w:t>
      </w:r>
      <w:r w:rsidRPr="003F5735">
        <w:rPr>
          <w:highlight w:val="green"/>
        </w:rPr>
        <w:t xml:space="preserve">g enough to survive the family tragedy. The </w:t>
      </w:r>
      <w:r w:rsidRPr="003F5735">
        <w:rPr>
          <w:i/>
          <w:highlight w:val="green"/>
        </w:rPr>
        <w:t xml:space="preserve">oikos </w:t>
      </w:r>
      <w:r w:rsidRPr="003F5735">
        <w:rPr>
          <w:highlight w:val="green"/>
        </w:rPr>
        <w:t xml:space="preserve">was a major expression of Attic identity in the Classical period (Grossman, 2001:3). As a result, the death of a young citizen like </w:t>
      </w:r>
      <w:proofErr w:type="spellStart"/>
      <w:r w:rsidRPr="003F5735">
        <w:rPr>
          <w:highlight w:val="green"/>
        </w:rPr>
        <w:t>Dexileos</w:t>
      </w:r>
      <w:proofErr w:type="spellEnd"/>
      <w:r w:rsidRPr="003F5735">
        <w:rPr>
          <w:highlight w:val="green"/>
        </w:rPr>
        <w:t xml:space="preserve"> in </w:t>
      </w:r>
      <w:r w:rsidRPr="003F5735">
        <w:rPr>
          <w:i/>
          <w:highlight w:val="green"/>
        </w:rPr>
        <w:t xml:space="preserve">stele </w:t>
      </w:r>
      <w:r w:rsidRPr="003F5735">
        <w:rPr>
          <w:b/>
          <w:highlight w:val="green"/>
        </w:rPr>
        <w:t xml:space="preserve">12 </w:t>
      </w:r>
      <w:r w:rsidRPr="003F5735">
        <w:rPr>
          <w:highlight w:val="green"/>
        </w:rPr>
        <w:t>would</w:t>
      </w:r>
      <w:r w:rsidRPr="003F5735">
        <w:rPr>
          <w:b/>
          <w:highlight w:val="green"/>
        </w:rPr>
        <w:t xml:space="preserve"> </w:t>
      </w:r>
      <w:r w:rsidRPr="003F5735">
        <w:rPr>
          <w:highlight w:val="green"/>
        </w:rPr>
        <w:t>have threatened the family unit’s property inhe</w:t>
      </w:r>
      <w:r w:rsidRPr="003F5735">
        <w:rPr>
          <w:highlight w:val="green"/>
        </w:rPr>
        <w:t>ritance and family legacy (</w:t>
      </w:r>
      <w:proofErr w:type="spellStart"/>
      <w:r w:rsidRPr="003F5735">
        <w:rPr>
          <w:highlight w:val="green"/>
        </w:rPr>
        <w:t>Gray</w:t>
      </w:r>
      <w:proofErr w:type="spellEnd"/>
      <w:r w:rsidRPr="003F5735">
        <w:rPr>
          <w:highlight w:val="green"/>
        </w:rPr>
        <w:t>, 2011:62).</w:t>
      </w:r>
    </w:p>
    <w:p w:rsidR="001142B0" w:rsidRDefault="00005B13">
      <w:pPr>
        <w:spacing w:before="240" w:line="360" w:lineRule="auto"/>
        <w:jc w:val="both"/>
        <w:rPr>
          <w:color w:val="FF0000"/>
        </w:rPr>
      </w:pPr>
      <w:r w:rsidRPr="003F5735">
        <w:rPr>
          <w:highlight w:val="green"/>
        </w:rPr>
        <w:t xml:space="preserve">On balance, the theory of surviving family observing the deceased is a possible explanation for family scenes on grave reliefs. The absence of an important figure in the </w:t>
      </w:r>
      <w:r w:rsidRPr="003F5735">
        <w:rPr>
          <w:i/>
          <w:highlight w:val="green"/>
        </w:rPr>
        <w:t>oikos</w:t>
      </w:r>
      <w:r w:rsidRPr="003F5735">
        <w:rPr>
          <w:highlight w:val="green"/>
        </w:rPr>
        <w:t xml:space="preserve"> could be publicly recognised through </w:t>
      </w:r>
      <w:r w:rsidRPr="003F5735">
        <w:rPr>
          <w:highlight w:val="green"/>
        </w:rPr>
        <w:t>signs of either tenderness or a lack thereof.</w:t>
      </w:r>
      <w:r w:rsidRPr="003F5735">
        <w:rPr>
          <w:color w:val="FF0000"/>
          <w:highlight w:val="green"/>
        </w:rPr>
        <w:t xml:space="preserve"> </w:t>
      </w:r>
      <w:r w:rsidRPr="003F5735">
        <w:rPr>
          <w:highlight w:val="green"/>
        </w:rPr>
        <w:t xml:space="preserve">Furthermore, the presence of relatives in funerary scenes represents the survival of the family unit despite the death. In death an individual departed from the household and the </w:t>
      </w:r>
      <w:r w:rsidRPr="003F5735">
        <w:rPr>
          <w:i/>
          <w:highlight w:val="green"/>
        </w:rPr>
        <w:t>oikos</w:t>
      </w:r>
      <w:r w:rsidRPr="003F5735">
        <w:rPr>
          <w:highlight w:val="green"/>
        </w:rPr>
        <w:t>, but the</w:t>
      </w:r>
      <w:r w:rsidRPr="003F5735">
        <w:rPr>
          <w:i/>
          <w:highlight w:val="green"/>
        </w:rPr>
        <w:t xml:space="preserve"> oikos </w:t>
      </w:r>
      <w:r w:rsidRPr="003F5735">
        <w:rPr>
          <w:highlight w:val="green"/>
        </w:rPr>
        <w:t>as an Atti</w:t>
      </w:r>
      <w:r w:rsidRPr="003F5735">
        <w:rPr>
          <w:highlight w:val="green"/>
        </w:rPr>
        <w:t>c ideology lived on (Pomeroy, 1997:23).</w:t>
      </w:r>
    </w:p>
    <w:p w:rsidR="001142B0" w:rsidRDefault="00005B13">
      <w:pPr>
        <w:spacing w:before="240" w:line="360" w:lineRule="auto"/>
        <w:jc w:val="both"/>
      </w:pPr>
      <w:r w:rsidRPr="00D5410A">
        <w:rPr>
          <w:highlight w:val="green"/>
        </w:rPr>
        <w:t>Conversely, Pemberton argues that the farewell theory is incidental, and applied retroactively by modern scholarship (Pemberton, 1989:50). Indeed, the imagery of deceased/survivor scenes is not seen in all grave reli</w:t>
      </w:r>
      <w:r w:rsidRPr="00D5410A">
        <w:rPr>
          <w:highlight w:val="green"/>
        </w:rPr>
        <w:t xml:space="preserve">efs. </w:t>
      </w:r>
      <w:proofErr w:type="spellStart"/>
      <w:r w:rsidRPr="00D5410A">
        <w:rPr>
          <w:i/>
          <w:highlight w:val="green"/>
        </w:rPr>
        <w:t>Stelai</w:t>
      </w:r>
      <w:proofErr w:type="spellEnd"/>
      <w:r w:rsidRPr="00D5410A">
        <w:rPr>
          <w:i/>
          <w:highlight w:val="green"/>
        </w:rPr>
        <w:t xml:space="preserve"> </w:t>
      </w:r>
      <w:r w:rsidRPr="00D5410A">
        <w:rPr>
          <w:b/>
          <w:highlight w:val="green"/>
        </w:rPr>
        <w:t xml:space="preserve">1 </w:t>
      </w:r>
      <w:r w:rsidRPr="00D5410A">
        <w:rPr>
          <w:highlight w:val="green"/>
        </w:rPr>
        <w:t xml:space="preserve">and </w:t>
      </w:r>
      <w:r w:rsidRPr="00D5410A">
        <w:rPr>
          <w:b/>
          <w:highlight w:val="green"/>
        </w:rPr>
        <w:t>13</w:t>
      </w:r>
      <w:r w:rsidRPr="00D5410A">
        <w:rPr>
          <w:highlight w:val="green"/>
        </w:rPr>
        <w:t xml:space="preserve"> are solitary scenes so there is no interaction with other figures. In addition, </w:t>
      </w:r>
      <w:proofErr w:type="spellStart"/>
      <w:r w:rsidRPr="00D5410A">
        <w:rPr>
          <w:i/>
          <w:highlight w:val="green"/>
        </w:rPr>
        <w:t>stelai</w:t>
      </w:r>
      <w:proofErr w:type="spellEnd"/>
      <w:r w:rsidRPr="00D5410A">
        <w:rPr>
          <w:i/>
          <w:highlight w:val="green"/>
        </w:rPr>
        <w:t xml:space="preserve"> </w:t>
      </w:r>
      <w:r w:rsidRPr="00D5410A">
        <w:rPr>
          <w:b/>
          <w:highlight w:val="green"/>
        </w:rPr>
        <w:t xml:space="preserve">2 </w:t>
      </w:r>
      <w:r w:rsidRPr="00D5410A">
        <w:rPr>
          <w:highlight w:val="green"/>
        </w:rPr>
        <w:t xml:space="preserve">and </w:t>
      </w:r>
      <w:r w:rsidRPr="00D5410A">
        <w:rPr>
          <w:b/>
          <w:highlight w:val="green"/>
        </w:rPr>
        <w:t xml:space="preserve">9 </w:t>
      </w:r>
      <w:r w:rsidRPr="00D5410A">
        <w:rPr>
          <w:highlight w:val="green"/>
        </w:rPr>
        <w:t>are damaged, missing heads or basic facial details.</w:t>
      </w:r>
      <w:r w:rsidRPr="00D5410A">
        <w:rPr>
          <w:color w:val="FF0000"/>
          <w:highlight w:val="green"/>
        </w:rPr>
        <w:t xml:space="preserve"> </w:t>
      </w:r>
      <w:proofErr w:type="gramStart"/>
      <w:r w:rsidRPr="00D5410A">
        <w:rPr>
          <w:highlight w:val="green"/>
        </w:rPr>
        <w:t>Therefore</w:t>
      </w:r>
      <w:proofErr w:type="gramEnd"/>
      <w:r w:rsidRPr="00D5410A">
        <w:rPr>
          <w:highlight w:val="green"/>
        </w:rPr>
        <w:t xml:space="preserve"> signs of familial fondness are hard to identify. The indifference of the </w:t>
      </w:r>
      <w:proofErr w:type="spellStart"/>
      <w:r w:rsidRPr="00D5410A">
        <w:rPr>
          <w:highlight w:val="green"/>
        </w:rPr>
        <w:t>Iliss</w:t>
      </w:r>
      <w:r w:rsidRPr="00D5410A">
        <w:rPr>
          <w:highlight w:val="green"/>
        </w:rPr>
        <w:t>os</w:t>
      </w:r>
      <w:proofErr w:type="spellEnd"/>
      <w:r w:rsidRPr="00D5410A">
        <w:rPr>
          <w:highlight w:val="green"/>
        </w:rPr>
        <w:t xml:space="preserve"> </w:t>
      </w:r>
      <w:r w:rsidRPr="00D5410A">
        <w:rPr>
          <w:i/>
          <w:highlight w:val="green"/>
        </w:rPr>
        <w:t xml:space="preserve">stele </w:t>
      </w:r>
      <w:r w:rsidRPr="00D5410A">
        <w:rPr>
          <w:highlight w:val="green"/>
        </w:rPr>
        <w:t>youth was unlikely to have been a motive of the sculptor (Clairmont, 1995:14). 4</w:t>
      </w:r>
      <w:r w:rsidRPr="00D5410A">
        <w:rPr>
          <w:highlight w:val="green"/>
          <w:vertAlign w:val="superscript"/>
        </w:rPr>
        <w:t>th</w:t>
      </w:r>
      <w:r w:rsidRPr="00D5410A">
        <w:rPr>
          <w:highlight w:val="green"/>
        </w:rPr>
        <w:t xml:space="preserve"> century BC funerary sculpture broadly followed to the sculptural style first seen on the Parthenon frieze (Osborne, 1998:197). As such Classical grave reliefs follo</w:t>
      </w:r>
      <w:r w:rsidRPr="00D5410A">
        <w:rPr>
          <w:highlight w:val="green"/>
        </w:rPr>
        <w:t xml:space="preserve">wed the trend of more serene compositions (Wasserman, 1969:195). However, these traits do not explain the expressions of the ‘surviving’ figures. Some basic level </w:t>
      </w:r>
      <w:proofErr w:type="spellStart"/>
      <w:r w:rsidRPr="00D5410A">
        <w:rPr>
          <w:i/>
          <w:highlight w:val="green"/>
        </w:rPr>
        <w:t>stelai</w:t>
      </w:r>
      <w:proofErr w:type="spellEnd"/>
      <w:r w:rsidRPr="00D5410A">
        <w:rPr>
          <w:highlight w:val="green"/>
        </w:rPr>
        <w:t xml:space="preserve"> were not personalised except for an inscription, which further challenges the farewell</w:t>
      </w:r>
      <w:r w:rsidRPr="00D5410A">
        <w:rPr>
          <w:highlight w:val="green"/>
        </w:rPr>
        <w:t xml:space="preserve"> theory (Oliver, 2000:66).</w:t>
      </w:r>
    </w:p>
    <w:p w:rsidR="001142B0" w:rsidRDefault="00005B13">
      <w:pPr>
        <w:spacing w:before="240" w:line="360" w:lineRule="auto"/>
        <w:jc w:val="both"/>
      </w:pPr>
      <w:r w:rsidRPr="00D5410A">
        <w:rPr>
          <w:highlight w:val="green"/>
        </w:rPr>
        <w:lastRenderedPageBreak/>
        <w:t xml:space="preserve">Humphreys suggests an alternative: that group scenes on Attic gravestones show a complete family reunion in the afterlife (Humphreys, 1993:106). </w:t>
      </w:r>
      <w:r w:rsidRPr="00D5410A">
        <w:rPr>
          <w:i/>
          <w:highlight w:val="green"/>
        </w:rPr>
        <w:t xml:space="preserve">Stele </w:t>
      </w:r>
      <w:r w:rsidRPr="00D5410A">
        <w:rPr>
          <w:b/>
          <w:highlight w:val="green"/>
        </w:rPr>
        <w:t xml:space="preserve">7 </w:t>
      </w:r>
      <w:r w:rsidRPr="00D5410A">
        <w:rPr>
          <w:highlight w:val="green"/>
        </w:rPr>
        <w:t>is this catalogue’s sole example which explicitly corroborates this view. De</w:t>
      </w:r>
      <w:r w:rsidRPr="00D5410A">
        <w:rPr>
          <w:highlight w:val="green"/>
        </w:rPr>
        <w:t xml:space="preserve">picting two women inscribed as Demetria and </w:t>
      </w:r>
      <w:proofErr w:type="spellStart"/>
      <w:r w:rsidRPr="00D5410A">
        <w:rPr>
          <w:highlight w:val="green"/>
        </w:rPr>
        <w:t>Pamphile</w:t>
      </w:r>
      <w:proofErr w:type="spellEnd"/>
      <w:r w:rsidRPr="00D5410A">
        <w:rPr>
          <w:highlight w:val="green"/>
        </w:rPr>
        <w:t xml:space="preserve">, </w:t>
      </w:r>
      <w:r w:rsidRPr="00D5410A">
        <w:rPr>
          <w:i/>
          <w:highlight w:val="green"/>
        </w:rPr>
        <w:t xml:space="preserve">stele </w:t>
      </w:r>
      <w:r w:rsidRPr="00D5410A">
        <w:rPr>
          <w:b/>
          <w:highlight w:val="green"/>
        </w:rPr>
        <w:t xml:space="preserve">7 </w:t>
      </w:r>
      <w:r w:rsidRPr="00D5410A">
        <w:rPr>
          <w:highlight w:val="green"/>
        </w:rPr>
        <w:t xml:space="preserve">was excavated from the burial plot of the same two women from the </w:t>
      </w:r>
      <w:proofErr w:type="spellStart"/>
      <w:r w:rsidRPr="00D5410A">
        <w:rPr>
          <w:i/>
          <w:highlight w:val="green"/>
        </w:rPr>
        <w:t>Kerameikos</w:t>
      </w:r>
      <w:proofErr w:type="spellEnd"/>
      <w:r w:rsidRPr="00D5410A">
        <w:rPr>
          <w:i/>
          <w:highlight w:val="green"/>
        </w:rPr>
        <w:t xml:space="preserve"> </w:t>
      </w:r>
      <w:r w:rsidRPr="00D5410A">
        <w:rPr>
          <w:highlight w:val="green"/>
        </w:rPr>
        <w:t>(Richter, 1954:256).</w:t>
      </w:r>
      <w:r w:rsidRPr="00D5410A">
        <w:rPr>
          <w:i/>
          <w:highlight w:val="green"/>
        </w:rPr>
        <w:t xml:space="preserve"> </w:t>
      </w:r>
      <w:r w:rsidRPr="00D5410A">
        <w:rPr>
          <w:highlight w:val="green"/>
        </w:rPr>
        <w:t xml:space="preserve">Recent scholarship largely agrees that </w:t>
      </w:r>
      <w:r w:rsidRPr="00D5410A">
        <w:rPr>
          <w:i/>
          <w:highlight w:val="green"/>
        </w:rPr>
        <w:t xml:space="preserve">stele </w:t>
      </w:r>
      <w:r w:rsidRPr="00D5410A">
        <w:rPr>
          <w:b/>
          <w:highlight w:val="green"/>
        </w:rPr>
        <w:t>7</w:t>
      </w:r>
      <w:r w:rsidRPr="00D5410A">
        <w:rPr>
          <w:highlight w:val="green"/>
        </w:rPr>
        <w:t xml:space="preserve"> was the second monument erected on the plot and w</w:t>
      </w:r>
      <w:r w:rsidRPr="00D5410A">
        <w:rPr>
          <w:highlight w:val="green"/>
        </w:rPr>
        <w:t xml:space="preserve">as constructed after the death of </w:t>
      </w:r>
      <w:proofErr w:type="spellStart"/>
      <w:r w:rsidRPr="00D5410A">
        <w:rPr>
          <w:highlight w:val="green"/>
        </w:rPr>
        <w:t>Pamphile</w:t>
      </w:r>
      <w:proofErr w:type="spellEnd"/>
      <w:r w:rsidRPr="00D5410A">
        <w:rPr>
          <w:highlight w:val="green"/>
        </w:rPr>
        <w:t xml:space="preserve"> (</w:t>
      </w:r>
      <w:proofErr w:type="spellStart"/>
      <w:r w:rsidRPr="00D5410A">
        <w:rPr>
          <w:highlight w:val="green"/>
        </w:rPr>
        <w:t>Closterman</w:t>
      </w:r>
      <w:proofErr w:type="spellEnd"/>
      <w:r w:rsidRPr="00D5410A">
        <w:rPr>
          <w:highlight w:val="green"/>
        </w:rPr>
        <w:t xml:space="preserve">, 2007:636). The original </w:t>
      </w:r>
      <w:r w:rsidRPr="00D5410A">
        <w:rPr>
          <w:i/>
          <w:highlight w:val="green"/>
        </w:rPr>
        <w:t xml:space="preserve">stele </w:t>
      </w:r>
      <w:r w:rsidRPr="00D5410A">
        <w:rPr>
          <w:highlight w:val="green"/>
        </w:rPr>
        <w:t xml:space="preserve">commemorating Demetria remained on the same burial plot as the amended </w:t>
      </w:r>
      <w:r w:rsidRPr="00D5410A">
        <w:rPr>
          <w:i/>
          <w:highlight w:val="green"/>
        </w:rPr>
        <w:t>stele</w:t>
      </w:r>
      <w:r w:rsidRPr="00D5410A">
        <w:rPr>
          <w:highlight w:val="green"/>
        </w:rPr>
        <w:t>, so didn’t serve a purely pragmatic purpose. Humphreys proposes that scenes of family reunion</w:t>
      </w:r>
      <w:r w:rsidRPr="00D5410A">
        <w:rPr>
          <w:highlight w:val="green"/>
        </w:rPr>
        <w:t xml:space="preserve"> are a visual illustration of family-owned burial plots (Humphreys, 1993:2). Burying family members alongside one another in plots that were terraced and walled from the rest of the </w:t>
      </w:r>
      <w:proofErr w:type="spellStart"/>
      <w:r w:rsidRPr="00D5410A">
        <w:rPr>
          <w:i/>
          <w:highlight w:val="green"/>
        </w:rPr>
        <w:t>Kerameikos</w:t>
      </w:r>
      <w:proofErr w:type="spellEnd"/>
      <w:r w:rsidRPr="00D5410A">
        <w:rPr>
          <w:i/>
          <w:highlight w:val="green"/>
        </w:rPr>
        <w:t xml:space="preserve"> </w:t>
      </w:r>
      <w:r w:rsidRPr="00D5410A">
        <w:rPr>
          <w:highlight w:val="green"/>
        </w:rPr>
        <w:t>emphasised familial affection (Boardman, 1995:114). The case of</w:t>
      </w:r>
      <w:r w:rsidRPr="00D5410A">
        <w:rPr>
          <w:highlight w:val="green"/>
        </w:rPr>
        <w:t xml:space="preserve"> Demetria and </w:t>
      </w:r>
      <w:proofErr w:type="spellStart"/>
      <w:r w:rsidRPr="00D5410A">
        <w:rPr>
          <w:highlight w:val="green"/>
        </w:rPr>
        <w:t>Pamphile</w:t>
      </w:r>
      <w:proofErr w:type="spellEnd"/>
      <w:r w:rsidRPr="00D5410A">
        <w:rPr>
          <w:highlight w:val="green"/>
        </w:rPr>
        <w:t xml:space="preserve"> is evidence for the elite of </w:t>
      </w:r>
      <w:proofErr w:type="gramStart"/>
      <w:r w:rsidRPr="00D5410A">
        <w:rPr>
          <w:highlight w:val="green"/>
        </w:rPr>
        <w:t>Athens, but</w:t>
      </w:r>
      <w:proofErr w:type="gramEnd"/>
      <w:r w:rsidRPr="00D5410A">
        <w:rPr>
          <w:highlight w:val="green"/>
        </w:rPr>
        <w:t xml:space="preserve"> is not directly representative of aristocratic ideals in the wider Attic region. A scene cut as deep as the relief of </w:t>
      </w:r>
      <w:r w:rsidRPr="00D5410A">
        <w:rPr>
          <w:i/>
          <w:highlight w:val="green"/>
        </w:rPr>
        <w:t xml:space="preserve">stele </w:t>
      </w:r>
      <w:r w:rsidRPr="00D5410A">
        <w:rPr>
          <w:b/>
          <w:highlight w:val="green"/>
        </w:rPr>
        <w:t>7</w:t>
      </w:r>
      <w:r w:rsidRPr="00D5410A">
        <w:rPr>
          <w:highlight w:val="green"/>
        </w:rPr>
        <w:t xml:space="preserve"> in a family plot was a luxury only attainable by the wealthiest fa</w:t>
      </w:r>
      <w:r w:rsidRPr="00D5410A">
        <w:rPr>
          <w:highlight w:val="green"/>
        </w:rPr>
        <w:t>milies (</w:t>
      </w:r>
      <w:proofErr w:type="spellStart"/>
      <w:r w:rsidRPr="00D5410A">
        <w:rPr>
          <w:highlight w:val="green"/>
        </w:rPr>
        <w:t>Sourvinou</w:t>
      </w:r>
      <w:proofErr w:type="spellEnd"/>
      <w:r w:rsidRPr="00D5410A">
        <w:rPr>
          <w:highlight w:val="green"/>
        </w:rPr>
        <w:t>-Inwood, 1995:124). The depth of many 4</w:t>
      </w:r>
      <w:r w:rsidRPr="00D5410A">
        <w:rPr>
          <w:highlight w:val="green"/>
          <w:vertAlign w:val="superscript"/>
        </w:rPr>
        <w:t>th</w:t>
      </w:r>
      <w:r w:rsidRPr="00D5410A">
        <w:rPr>
          <w:highlight w:val="green"/>
        </w:rPr>
        <w:t xml:space="preserve"> century BC </w:t>
      </w:r>
      <w:proofErr w:type="spellStart"/>
      <w:r w:rsidRPr="00D5410A">
        <w:rPr>
          <w:i/>
          <w:highlight w:val="green"/>
        </w:rPr>
        <w:t>stelai</w:t>
      </w:r>
      <w:proofErr w:type="spellEnd"/>
      <w:r w:rsidRPr="00D5410A">
        <w:rPr>
          <w:i/>
          <w:highlight w:val="green"/>
        </w:rPr>
        <w:t xml:space="preserve"> </w:t>
      </w:r>
      <w:r w:rsidRPr="00D5410A">
        <w:rPr>
          <w:highlight w:val="green"/>
        </w:rPr>
        <w:t>also allows for more artistic compositions and greater variety in busier group scenes (</w:t>
      </w:r>
      <w:proofErr w:type="spellStart"/>
      <w:r w:rsidRPr="00D5410A">
        <w:rPr>
          <w:highlight w:val="green"/>
        </w:rPr>
        <w:t>Neer</w:t>
      </w:r>
      <w:proofErr w:type="spellEnd"/>
      <w:r w:rsidRPr="00D5410A">
        <w:rPr>
          <w:highlight w:val="green"/>
        </w:rPr>
        <w:t xml:space="preserve">, 2010:185). Many </w:t>
      </w:r>
      <w:proofErr w:type="spellStart"/>
      <w:r w:rsidRPr="00D5410A">
        <w:rPr>
          <w:i/>
          <w:highlight w:val="green"/>
        </w:rPr>
        <w:t>peribolos</w:t>
      </w:r>
      <w:proofErr w:type="spellEnd"/>
      <w:r w:rsidRPr="00D5410A">
        <w:rPr>
          <w:i/>
          <w:highlight w:val="green"/>
        </w:rPr>
        <w:t xml:space="preserve"> </w:t>
      </w:r>
      <w:r w:rsidRPr="00D5410A">
        <w:rPr>
          <w:highlight w:val="green"/>
        </w:rPr>
        <w:t>and family tombs at Athenian and Attic cemeteries do not fol</w:t>
      </w:r>
      <w:r w:rsidRPr="00D5410A">
        <w:rPr>
          <w:highlight w:val="green"/>
        </w:rPr>
        <w:t>low suit, implying that similar scenes were not a reunion in the afterlife but an ageless and idealised depiction of the deceased as in life (Wasserman, 1969:194). The reunion theory is less compelling than the ‘farewell’ theory, because the supporting evi</w:t>
      </w:r>
      <w:r w:rsidRPr="00D5410A">
        <w:rPr>
          <w:highlight w:val="green"/>
        </w:rPr>
        <w:t>dence is extremely rare.</w:t>
      </w:r>
    </w:p>
    <w:p w:rsidR="001142B0" w:rsidRDefault="00005B13">
      <w:pPr>
        <w:spacing w:before="240" w:line="360" w:lineRule="auto"/>
        <w:jc w:val="both"/>
      </w:pPr>
      <w:r w:rsidRPr="00D5410A">
        <w:rPr>
          <w:b/>
          <w:sz w:val="24"/>
          <w:szCs w:val="24"/>
          <w:highlight w:val="green"/>
        </w:rPr>
        <w:t xml:space="preserve">The Significance of </w:t>
      </w:r>
      <w:proofErr w:type="spellStart"/>
      <w:r w:rsidRPr="00D5410A">
        <w:rPr>
          <w:b/>
          <w:i/>
          <w:sz w:val="24"/>
          <w:szCs w:val="24"/>
          <w:highlight w:val="green"/>
        </w:rPr>
        <w:t>Dexiosis</w:t>
      </w:r>
      <w:proofErr w:type="spellEnd"/>
    </w:p>
    <w:p w:rsidR="001142B0" w:rsidRPr="00D5410A" w:rsidRDefault="00005B13">
      <w:pPr>
        <w:spacing w:before="240" w:line="360" w:lineRule="auto"/>
        <w:jc w:val="both"/>
        <w:rPr>
          <w:i/>
          <w:highlight w:val="green"/>
        </w:rPr>
      </w:pPr>
      <w:r w:rsidRPr="00D5410A">
        <w:rPr>
          <w:highlight w:val="green"/>
        </w:rPr>
        <w:t>The third theory about Attic perceptions of the afterlife forges a middle ground between the theories of farewells or reunions. The handshake (</w:t>
      </w:r>
      <w:proofErr w:type="spellStart"/>
      <w:r w:rsidRPr="00D5410A">
        <w:rPr>
          <w:i/>
          <w:highlight w:val="green"/>
        </w:rPr>
        <w:t>dexiosis</w:t>
      </w:r>
      <w:proofErr w:type="spellEnd"/>
      <w:r w:rsidRPr="00D5410A">
        <w:rPr>
          <w:i/>
          <w:highlight w:val="green"/>
        </w:rPr>
        <w:t xml:space="preserve">) </w:t>
      </w:r>
      <w:r w:rsidRPr="00D5410A">
        <w:rPr>
          <w:highlight w:val="green"/>
        </w:rPr>
        <w:t>often appears in funerary iconography, and boasts a rich Greek cultural history (</w:t>
      </w:r>
      <w:proofErr w:type="spellStart"/>
      <w:r w:rsidRPr="00D5410A">
        <w:rPr>
          <w:highlight w:val="green"/>
        </w:rPr>
        <w:t>Stupperich</w:t>
      </w:r>
      <w:proofErr w:type="spellEnd"/>
      <w:r w:rsidRPr="00D5410A">
        <w:rPr>
          <w:highlight w:val="green"/>
        </w:rPr>
        <w:t xml:space="preserve">, 1994:96). </w:t>
      </w:r>
      <w:proofErr w:type="spellStart"/>
      <w:r w:rsidRPr="00D5410A">
        <w:rPr>
          <w:i/>
          <w:highlight w:val="green"/>
        </w:rPr>
        <w:t>Dexiosis</w:t>
      </w:r>
      <w:proofErr w:type="spellEnd"/>
      <w:r w:rsidRPr="00D5410A">
        <w:rPr>
          <w:i/>
          <w:highlight w:val="green"/>
        </w:rPr>
        <w:t xml:space="preserve"> </w:t>
      </w:r>
      <w:r w:rsidRPr="00D5410A">
        <w:rPr>
          <w:highlight w:val="green"/>
        </w:rPr>
        <w:t>appears on Attic grave monuments from the 5</w:t>
      </w:r>
      <w:r w:rsidRPr="00D5410A">
        <w:rPr>
          <w:highlight w:val="green"/>
          <w:vertAlign w:val="superscript"/>
        </w:rPr>
        <w:t>th</w:t>
      </w:r>
      <w:r w:rsidRPr="00D5410A">
        <w:rPr>
          <w:highlight w:val="green"/>
        </w:rPr>
        <w:t xml:space="preserve"> century BC resurgence onwards, the clasping of hands symbolising accord between two parties of equ</w:t>
      </w:r>
      <w:r w:rsidRPr="00D5410A">
        <w:rPr>
          <w:highlight w:val="green"/>
        </w:rPr>
        <w:t>al standing, publicly reaching a position of mutual agreement over a decision (Pemberton, 1989:49).</w:t>
      </w:r>
    </w:p>
    <w:p w:rsidR="001142B0" w:rsidRDefault="00005B13">
      <w:pPr>
        <w:spacing w:before="240" w:line="360" w:lineRule="auto"/>
        <w:jc w:val="both"/>
      </w:pPr>
      <w:r w:rsidRPr="00D5410A">
        <w:rPr>
          <w:highlight w:val="green"/>
        </w:rPr>
        <w:t xml:space="preserve">The handshake holds a spiritual significance in burial rites, as a symbol linking the living and the deceased in Attic society (Boardman, 1995:115). From a </w:t>
      </w:r>
      <w:r w:rsidRPr="00D5410A">
        <w:rPr>
          <w:highlight w:val="green"/>
        </w:rPr>
        <w:t xml:space="preserve">stylistic perspective </w:t>
      </w:r>
      <w:proofErr w:type="spellStart"/>
      <w:r w:rsidRPr="00D5410A">
        <w:rPr>
          <w:i/>
          <w:highlight w:val="green"/>
        </w:rPr>
        <w:t>dexiosis</w:t>
      </w:r>
      <w:proofErr w:type="spellEnd"/>
      <w:r w:rsidRPr="00D5410A">
        <w:rPr>
          <w:i/>
          <w:highlight w:val="green"/>
        </w:rPr>
        <w:t xml:space="preserve"> </w:t>
      </w:r>
      <w:r w:rsidRPr="00D5410A">
        <w:rPr>
          <w:highlight w:val="green"/>
        </w:rPr>
        <w:t>demonstrates how the surviving family recognised the private and public roles of deceased during their life, and wished to publicly display their achievements (Grossman, 2007:321). Curiously the gesture is largely absent from</w:t>
      </w:r>
      <w:r w:rsidRPr="00D5410A">
        <w:rPr>
          <w:highlight w:val="green"/>
        </w:rPr>
        <w:t xml:space="preserve"> the archaeological pottery record (Kurtz &amp; Boardman, 1971:138), except for white-ground </w:t>
      </w:r>
      <w:proofErr w:type="spellStart"/>
      <w:r w:rsidRPr="00D5410A">
        <w:rPr>
          <w:i/>
          <w:highlight w:val="green"/>
        </w:rPr>
        <w:t>lekythoi</w:t>
      </w:r>
      <w:proofErr w:type="spellEnd"/>
      <w:r w:rsidRPr="00D5410A">
        <w:rPr>
          <w:highlight w:val="green"/>
        </w:rPr>
        <w:t xml:space="preserve"> from the late 5</w:t>
      </w:r>
      <w:r w:rsidRPr="00D5410A">
        <w:rPr>
          <w:highlight w:val="green"/>
          <w:vertAlign w:val="superscript"/>
        </w:rPr>
        <w:t>th</w:t>
      </w:r>
      <w:r w:rsidRPr="00D5410A">
        <w:rPr>
          <w:highlight w:val="green"/>
        </w:rPr>
        <w:t xml:space="preserve"> century BC that could be mistaken for passing a physical object to </w:t>
      </w:r>
      <w:r w:rsidRPr="00D5410A">
        <w:rPr>
          <w:highlight w:val="green"/>
        </w:rPr>
        <w:lastRenderedPageBreak/>
        <w:t>another</w:t>
      </w:r>
      <w:r w:rsidRPr="00D5410A">
        <w:rPr>
          <w:b/>
          <w:highlight w:val="green"/>
        </w:rPr>
        <w:t>.</w:t>
      </w:r>
      <w:r w:rsidRPr="00D5410A">
        <w:rPr>
          <w:highlight w:val="green"/>
        </w:rPr>
        <w:t xml:space="preserve"> The modern historian can retroactively apply a range of social/g</w:t>
      </w:r>
      <w:r w:rsidRPr="00D5410A">
        <w:rPr>
          <w:highlight w:val="green"/>
        </w:rPr>
        <w:t xml:space="preserve">ender-based connotations to the </w:t>
      </w:r>
      <w:proofErr w:type="spellStart"/>
      <w:r w:rsidRPr="00D5410A">
        <w:rPr>
          <w:i/>
          <w:highlight w:val="green"/>
        </w:rPr>
        <w:t>dexiosis</w:t>
      </w:r>
      <w:proofErr w:type="spellEnd"/>
      <w:r w:rsidRPr="00D5410A">
        <w:rPr>
          <w:i/>
          <w:highlight w:val="green"/>
        </w:rPr>
        <w:t xml:space="preserve"> </w:t>
      </w:r>
      <w:r w:rsidRPr="00D5410A">
        <w:rPr>
          <w:highlight w:val="green"/>
        </w:rPr>
        <w:t>image.</w:t>
      </w:r>
      <w:r>
        <w:t xml:space="preserve"> </w:t>
      </w:r>
    </w:p>
    <w:p w:rsidR="001142B0" w:rsidRDefault="00005B13">
      <w:pPr>
        <w:spacing w:before="240" w:line="360" w:lineRule="auto"/>
        <w:jc w:val="both"/>
      </w:pPr>
      <w:r w:rsidRPr="00CB7A35">
        <w:rPr>
          <w:highlight w:val="green"/>
        </w:rPr>
        <w:t>Overall,</w:t>
      </w:r>
      <w:r w:rsidRPr="00CB7A35">
        <w:rPr>
          <w:b/>
          <w:highlight w:val="green"/>
        </w:rPr>
        <w:t xml:space="preserve"> </w:t>
      </w:r>
      <w:r w:rsidRPr="00CB7A35">
        <w:rPr>
          <w:highlight w:val="green"/>
        </w:rPr>
        <w:t>the iconography of Attic grave monuments is difficult to decipher without reference to contemporary and earlier Greek art. The idea of a reunion scene is only relevant to a minority of grave reliefs</w:t>
      </w:r>
      <w:r w:rsidRPr="00CB7A35">
        <w:rPr>
          <w:highlight w:val="green"/>
        </w:rPr>
        <w:t xml:space="preserve">, and the evidence is circumstantial. Boardman’s theory of survivors (simultaneously complementing the deceased’s position within the </w:t>
      </w:r>
      <w:r w:rsidRPr="00CB7A35">
        <w:rPr>
          <w:i/>
          <w:highlight w:val="green"/>
        </w:rPr>
        <w:t xml:space="preserve">polis </w:t>
      </w:r>
      <w:r w:rsidRPr="00CB7A35">
        <w:rPr>
          <w:highlight w:val="green"/>
        </w:rPr>
        <w:t>while alive and their journey into the afterlife) is also problematic (Boardman, 1995:116). It is an effective illus</w:t>
      </w:r>
      <w:r w:rsidRPr="00CB7A35">
        <w:rPr>
          <w:highlight w:val="green"/>
        </w:rPr>
        <w:t xml:space="preserve">tration of an honourable burial being the reward for being an active member of one’s </w:t>
      </w:r>
      <w:r w:rsidRPr="00CB7A35">
        <w:rPr>
          <w:i/>
          <w:highlight w:val="green"/>
        </w:rPr>
        <w:t xml:space="preserve">oikos </w:t>
      </w:r>
      <w:r w:rsidRPr="00CB7A35">
        <w:rPr>
          <w:highlight w:val="green"/>
        </w:rPr>
        <w:t xml:space="preserve">(Wasserman, 1969:193). Grave reliefs were the perfect means of communicating such sentiments to the wider </w:t>
      </w:r>
      <w:r w:rsidRPr="00CB7A35">
        <w:rPr>
          <w:i/>
          <w:highlight w:val="green"/>
        </w:rPr>
        <w:t>polis</w:t>
      </w:r>
      <w:r w:rsidRPr="00CB7A35">
        <w:rPr>
          <w:highlight w:val="green"/>
        </w:rPr>
        <w:t>, with wealthy families competing to erect the grandes</w:t>
      </w:r>
      <w:r w:rsidRPr="00CB7A35">
        <w:rPr>
          <w:highlight w:val="green"/>
        </w:rPr>
        <w:t>t monument.</w:t>
      </w:r>
    </w:p>
    <w:p w:rsidR="001142B0" w:rsidRDefault="00005B13">
      <w:pPr>
        <w:spacing w:before="240" w:line="360" w:lineRule="auto"/>
        <w:jc w:val="both"/>
      </w:pPr>
      <w:r w:rsidRPr="00CB7A35">
        <w:rPr>
          <w:b/>
          <w:sz w:val="24"/>
          <w:szCs w:val="24"/>
          <w:highlight w:val="green"/>
        </w:rPr>
        <w:t xml:space="preserve">Happy Home, Happy </w:t>
      </w:r>
      <w:r w:rsidRPr="00CB7A35">
        <w:rPr>
          <w:b/>
          <w:i/>
          <w:sz w:val="24"/>
          <w:szCs w:val="24"/>
          <w:highlight w:val="green"/>
        </w:rPr>
        <w:t>Polis</w:t>
      </w:r>
    </w:p>
    <w:p w:rsidR="001142B0" w:rsidRDefault="00005B13">
      <w:pPr>
        <w:spacing w:before="240" w:line="360" w:lineRule="auto"/>
        <w:jc w:val="both"/>
      </w:pPr>
      <w:r w:rsidRPr="00CB7A35">
        <w:rPr>
          <w:highlight w:val="green"/>
        </w:rPr>
        <w:t xml:space="preserve">Funerary monuments in Attic grave precincts celebrate the contribution of a man or woman to the </w:t>
      </w:r>
      <w:r w:rsidRPr="00CB7A35">
        <w:rPr>
          <w:i/>
          <w:highlight w:val="green"/>
        </w:rPr>
        <w:t>oikos</w:t>
      </w:r>
      <w:r w:rsidRPr="00CB7A35">
        <w:rPr>
          <w:highlight w:val="green"/>
        </w:rPr>
        <w:t xml:space="preserve">. Presenting their domestic role in a funerary space within a </w:t>
      </w:r>
      <w:r w:rsidRPr="00CB7A35">
        <w:rPr>
          <w:i/>
          <w:highlight w:val="green"/>
        </w:rPr>
        <w:t xml:space="preserve">polis </w:t>
      </w:r>
      <w:r w:rsidRPr="00CB7A35">
        <w:rPr>
          <w:highlight w:val="green"/>
        </w:rPr>
        <w:t>was an opportunity to convey private achievements t</w:t>
      </w:r>
      <w:r w:rsidRPr="00CB7A35">
        <w:rPr>
          <w:highlight w:val="green"/>
        </w:rPr>
        <w:t xml:space="preserve">o a </w:t>
      </w:r>
      <w:r w:rsidRPr="00CB7A35">
        <w:rPr>
          <w:color w:val="000000"/>
          <w:highlight w:val="green"/>
        </w:rPr>
        <w:t>wider audience (</w:t>
      </w:r>
      <w:r w:rsidRPr="00CB7A35">
        <w:rPr>
          <w:highlight w:val="green"/>
        </w:rPr>
        <w:t xml:space="preserve">Grossman, 2001:3). However, considering the public sphere as a vehicle for solely private commemoration fails to accept that the </w:t>
      </w:r>
      <w:r w:rsidRPr="00CB7A35">
        <w:rPr>
          <w:i/>
          <w:highlight w:val="green"/>
        </w:rPr>
        <w:t xml:space="preserve">oikos </w:t>
      </w:r>
      <w:r w:rsidRPr="00CB7A35">
        <w:rPr>
          <w:highlight w:val="green"/>
        </w:rPr>
        <w:t xml:space="preserve">and </w:t>
      </w:r>
      <w:r w:rsidRPr="00CB7A35">
        <w:rPr>
          <w:i/>
          <w:highlight w:val="green"/>
        </w:rPr>
        <w:t xml:space="preserve">polis </w:t>
      </w:r>
      <w:r w:rsidRPr="00CB7A35">
        <w:rPr>
          <w:highlight w:val="green"/>
        </w:rPr>
        <w:t>as social institutions were inextricably linked (Pomeroy, 1997:17).  In the early 21</w:t>
      </w:r>
      <w:r w:rsidRPr="00CB7A35">
        <w:rPr>
          <w:highlight w:val="green"/>
          <w:vertAlign w:val="superscript"/>
        </w:rPr>
        <w:t>st</w:t>
      </w:r>
      <w:r w:rsidRPr="00CB7A35">
        <w:rPr>
          <w:highlight w:val="green"/>
        </w:rPr>
        <w:t xml:space="preserve"> cent</w:t>
      </w:r>
      <w:r w:rsidRPr="00CB7A35">
        <w:rPr>
          <w:highlight w:val="green"/>
        </w:rPr>
        <w:t>ury prosopography</w:t>
      </w:r>
      <w:r w:rsidRPr="00CB7A35">
        <w:rPr>
          <w:i/>
          <w:highlight w:val="green"/>
        </w:rPr>
        <w:t xml:space="preserve"> </w:t>
      </w:r>
      <w:r w:rsidRPr="00CB7A35">
        <w:rPr>
          <w:highlight w:val="green"/>
        </w:rPr>
        <w:t xml:space="preserve">has seen a </w:t>
      </w:r>
      <w:proofErr w:type="gramStart"/>
      <w:r w:rsidRPr="00CB7A35">
        <w:rPr>
          <w:highlight w:val="green"/>
        </w:rPr>
        <w:t>much needed</w:t>
      </w:r>
      <w:proofErr w:type="gramEnd"/>
      <w:r w:rsidRPr="00CB7A35">
        <w:rPr>
          <w:highlight w:val="green"/>
        </w:rPr>
        <w:t xml:space="preserve"> rise in scholarly interest (</w:t>
      </w:r>
      <w:proofErr w:type="spellStart"/>
      <w:r w:rsidRPr="00CB7A35">
        <w:rPr>
          <w:highlight w:val="green"/>
        </w:rPr>
        <w:t>Stamatopoulou</w:t>
      </w:r>
      <w:proofErr w:type="spellEnd"/>
      <w:r w:rsidRPr="00CB7A35">
        <w:rPr>
          <w:highlight w:val="green"/>
        </w:rPr>
        <w:t xml:space="preserve">, 1999:172), wherein grave </w:t>
      </w:r>
      <w:proofErr w:type="spellStart"/>
      <w:r w:rsidRPr="00CB7A35">
        <w:rPr>
          <w:i/>
          <w:highlight w:val="green"/>
        </w:rPr>
        <w:t>stelai</w:t>
      </w:r>
      <w:proofErr w:type="spellEnd"/>
      <w:r w:rsidRPr="00CB7A35">
        <w:rPr>
          <w:i/>
          <w:highlight w:val="green"/>
        </w:rPr>
        <w:t xml:space="preserve"> </w:t>
      </w:r>
      <w:r w:rsidRPr="00CB7A35">
        <w:rPr>
          <w:highlight w:val="green"/>
        </w:rPr>
        <w:t>are re-evaluated</w:t>
      </w:r>
      <w:r w:rsidRPr="00CB7A35">
        <w:rPr>
          <w:i/>
          <w:highlight w:val="green"/>
        </w:rPr>
        <w:t xml:space="preserve"> </w:t>
      </w:r>
      <w:r w:rsidRPr="00CB7A35">
        <w:rPr>
          <w:highlight w:val="green"/>
        </w:rPr>
        <w:t xml:space="preserve">as evidence for socio-political processes of Attic </w:t>
      </w:r>
      <w:r w:rsidRPr="00CB7A35">
        <w:rPr>
          <w:i/>
          <w:highlight w:val="green"/>
        </w:rPr>
        <w:t>poleis</w:t>
      </w:r>
      <w:r w:rsidRPr="00CB7A35">
        <w:rPr>
          <w:highlight w:val="green"/>
        </w:rPr>
        <w:t>, and a common burial custom (</w:t>
      </w:r>
      <w:proofErr w:type="spellStart"/>
      <w:r w:rsidRPr="00CB7A35">
        <w:rPr>
          <w:highlight w:val="green"/>
        </w:rPr>
        <w:t>Stears</w:t>
      </w:r>
      <w:proofErr w:type="spellEnd"/>
      <w:r w:rsidRPr="00CB7A35">
        <w:rPr>
          <w:highlight w:val="green"/>
        </w:rPr>
        <w:t>, 2000:25). Notably, of this a</w:t>
      </w:r>
      <w:r w:rsidRPr="00CB7A35">
        <w:rPr>
          <w:highlight w:val="green"/>
        </w:rPr>
        <w:t>rticle’s reliefs</w:t>
      </w:r>
      <w:r w:rsidRPr="00CB7A35">
        <w:rPr>
          <w:i/>
          <w:highlight w:val="green"/>
        </w:rPr>
        <w:t xml:space="preserve"> </w:t>
      </w:r>
      <w:r w:rsidRPr="00CB7A35">
        <w:rPr>
          <w:highlight w:val="green"/>
        </w:rPr>
        <w:t xml:space="preserve">that depict exclusive family scenes only four show a harmonious family unit through the previously discussed </w:t>
      </w:r>
      <w:proofErr w:type="spellStart"/>
      <w:r w:rsidRPr="00CB7A35">
        <w:rPr>
          <w:i/>
          <w:highlight w:val="green"/>
        </w:rPr>
        <w:t>dexiosis</w:t>
      </w:r>
      <w:proofErr w:type="spellEnd"/>
      <w:r w:rsidRPr="00CB7A35">
        <w:rPr>
          <w:i/>
          <w:highlight w:val="green"/>
        </w:rPr>
        <w:t xml:space="preserve"> </w:t>
      </w:r>
      <w:r w:rsidRPr="00CB7A35">
        <w:rPr>
          <w:highlight w:val="green"/>
        </w:rPr>
        <w:t xml:space="preserve">motif. The image of an idealised </w:t>
      </w:r>
      <w:r w:rsidRPr="00CB7A35">
        <w:rPr>
          <w:i/>
          <w:highlight w:val="green"/>
        </w:rPr>
        <w:t xml:space="preserve">oikos </w:t>
      </w:r>
      <w:r w:rsidRPr="00CB7A35">
        <w:rPr>
          <w:highlight w:val="green"/>
        </w:rPr>
        <w:t xml:space="preserve">is deliberately used to mirror the prosperity of the </w:t>
      </w:r>
      <w:r w:rsidRPr="00CB7A35">
        <w:rPr>
          <w:i/>
          <w:highlight w:val="green"/>
        </w:rPr>
        <w:t xml:space="preserve">polis </w:t>
      </w:r>
      <w:r w:rsidRPr="00CB7A35">
        <w:rPr>
          <w:highlight w:val="green"/>
        </w:rPr>
        <w:t>(Leader, 1997:699).  Gr</w:t>
      </w:r>
      <w:r w:rsidRPr="00CB7A35">
        <w:rPr>
          <w:highlight w:val="green"/>
        </w:rPr>
        <w:t xml:space="preserve">ave reliefs of mothers hold a particular social significance, potentially as a response to the </w:t>
      </w:r>
      <w:proofErr w:type="spellStart"/>
      <w:r w:rsidRPr="00CB7A35">
        <w:rPr>
          <w:highlight w:val="green"/>
        </w:rPr>
        <w:t>Periklean</w:t>
      </w:r>
      <w:proofErr w:type="spellEnd"/>
      <w:r w:rsidRPr="00CB7A35">
        <w:rPr>
          <w:highlight w:val="green"/>
        </w:rPr>
        <w:t xml:space="preserve"> citizenship legislation of 451/0 BC (</w:t>
      </w:r>
      <w:proofErr w:type="spellStart"/>
      <w:r w:rsidRPr="00CB7A35">
        <w:rPr>
          <w:highlight w:val="green"/>
        </w:rPr>
        <w:t>Closterman</w:t>
      </w:r>
      <w:proofErr w:type="spellEnd"/>
      <w:r w:rsidRPr="00CB7A35">
        <w:rPr>
          <w:highlight w:val="green"/>
        </w:rPr>
        <w:t xml:space="preserve">, 2007:648). The explicit depiction of one’s lineage added a legal dimension to grave </w:t>
      </w:r>
      <w:proofErr w:type="spellStart"/>
      <w:r w:rsidRPr="00CB7A35">
        <w:rPr>
          <w:i/>
          <w:highlight w:val="green"/>
        </w:rPr>
        <w:t>stelai</w:t>
      </w:r>
      <w:proofErr w:type="spellEnd"/>
      <w:r w:rsidRPr="00CB7A35">
        <w:rPr>
          <w:i/>
          <w:highlight w:val="green"/>
        </w:rPr>
        <w:t xml:space="preserve">, </w:t>
      </w:r>
      <w:r w:rsidRPr="00CB7A35">
        <w:rPr>
          <w:highlight w:val="green"/>
        </w:rPr>
        <w:t>subtly pro</w:t>
      </w:r>
      <w:r w:rsidRPr="00CB7A35">
        <w:rPr>
          <w:highlight w:val="green"/>
        </w:rPr>
        <w:t xml:space="preserve">moting the theme of </w:t>
      </w:r>
      <w:proofErr w:type="spellStart"/>
      <w:r w:rsidRPr="00CB7A35">
        <w:rPr>
          <w:i/>
          <w:highlight w:val="green"/>
        </w:rPr>
        <w:t>anchisteia</w:t>
      </w:r>
      <w:proofErr w:type="spellEnd"/>
      <w:r w:rsidRPr="00CB7A35">
        <w:rPr>
          <w:i/>
          <w:highlight w:val="green"/>
        </w:rPr>
        <w:t xml:space="preserve"> </w:t>
      </w:r>
      <w:r w:rsidRPr="00CB7A35">
        <w:rPr>
          <w:highlight w:val="green"/>
        </w:rPr>
        <w:t>in a public space (</w:t>
      </w:r>
      <w:proofErr w:type="spellStart"/>
      <w:r w:rsidRPr="00CB7A35">
        <w:rPr>
          <w:highlight w:val="green"/>
        </w:rPr>
        <w:t>Stears</w:t>
      </w:r>
      <w:proofErr w:type="spellEnd"/>
      <w:r w:rsidRPr="00CB7A35">
        <w:rPr>
          <w:highlight w:val="green"/>
        </w:rPr>
        <w:t>, 1995:114).</w:t>
      </w:r>
    </w:p>
    <w:p w:rsidR="001142B0" w:rsidRPr="00CB7A35" w:rsidRDefault="00005B13">
      <w:pPr>
        <w:spacing w:before="240" w:line="360" w:lineRule="auto"/>
        <w:jc w:val="both"/>
        <w:rPr>
          <w:b/>
          <w:highlight w:val="green"/>
        </w:rPr>
      </w:pPr>
      <w:r w:rsidRPr="00CB7A35">
        <w:rPr>
          <w:highlight w:val="green"/>
        </w:rPr>
        <w:t xml:space="preserve">In the case of </w:t>
      </w:r>
      <w:r w:rsidRPr="00CB7A35">
        <w:rPr>
          <w:i/>
          <w:highlight w:val="green"/>
        </w:rPr>
        <w:t xml:space="preserve">stele </w:t>
      </w:r>
      <w:r w:rsidRPr="00CB7A35">
        <w:rPr>
          <w:b/>
          <w:highlight w:val="green"/>
        </w:rPr>
        <w:t>6</w:t>
      </w:r>
      <w:r w:rsidRPr="00CB7A35">
        <w:rPr>
          <w:highlight w:val="green"/>
        </w:rPr>
        <w:t>, dated tentatively to c.360 BC, an elderly man rests on a chair, clasping hands</w:t>
      </w:r>
      <w:r w:rsidRPr="00CB7A35">
        <w:rPr>
          <w:i/>
          <w:highlight w:val="green"/>
        </w:rPr>
        <w:t xml:space="preserve"> </w:t>
      </w:r>
      <w:r w:rsidRPr="00CB7A35">
        <w:rPr>
          <w:highlight w:val="green"/>
        </w:rPr>
        <w:t xml:space="preserve">with a young woman while a youth </w:t>
      </w:r>
      <w:proofErr w:type="gramStart"/>
      <w:r w:rsidRPr="00CB7A35">
        <w:rPr>
          <w:highlight w:val="green"/>
        </w:rPr>
        <w:t>watches</w:t>
      </w:r>
      <w:proofErr w:type="gramEnd"/>
      <w:r w:rsidRPr="00CB7A35">
        <w:rPr>
          <w:highlight w:val="green"/>
        </w:rPr>
        <w:t xml:space="preserve">. The gesture displays multiple generations </w:t>
      </w:r>
      <w:r w:rsidRPr="00CB7A35">
        <w:rPr>
          <w:highlight w:val="green"/>
        </w:rPr>
        <w:t>of the same family, publicly depicted as virtuous sharing the same family ideology (</w:t>
      </w:r>
      <w:proofErr w:type="spellStart"/>
      <w:r w:rsidRPr="00CB7A35">
        <w:rPr>
          <w:highlight w:val="green"/>
        </w:rPr>
        <w:t>Closterman</w:t>
      </w:r>
      <w:proofErr w:type="spellEnd"/>
      <w:r w:rsidRPr="00CB7A35">
        <w:rPr>
          <w:highlight w:val="green"/>
        </w:rPr>
        <w:t>, 2007:651). Close contact is also shown by the youth who rests his right palm gently upon the elder’s right shoulder, so all three characters are physically conn</w:t>
      </w:r>
      <w:r w:rsidRPr="00CB7A35">
        <w:rPr>
          <w:highlight w:val="green"/>
        </w:rPr>
        <w:t xml:space="preserve">ected. Both standing figures are visibly younger than </w:t>
      </w:r>
      <w:proofErr w:type="spellStart"/>
      <w:r w:rsidRPr="00CB7A35">
        <w:rPr>
          <w:highlight w:val="green"/>
        </w:rPr>
        <w:t>Arkesilas</w:t>
      </w:r>
      <w:proofErr w:type="spellEnd"/>
      <w:r w:rsidRPr="00CB7A35">
        <w:rPr>
          <w:highlight w:val="green"/>
        </w:rPr>
        <w:t xml:space="preserve">, but because Attic women were married in their teenage years mere observation is insufficient in distinguishing whether the woman in </w:t>
      </w:r>
      <w:r w:rsidRPr="00CB7A35">
        <w:rPr>
          <w:i/>
          <w:highlight w:val="green"/>
        </w:rPr>
        <w:t>stele</w:t>
      </w:r>
      <w:r w:rsidRPr="00CB7A35">
        <w:rPr>
          <w:b/>
          <w:i/>
          <w:highlight w:val="green"/>
        </w:rPr>
        <w:t xml:space="preserve"> </w:t>
      </w:r>
      <w:r w:rsidRPr="00CB7A35">
        <w:rPr>
          <w:b/>
          <w:highlight w:val="green"/>
        </w:rPr>
        <w:t xml:space="preserve">6 </w:t>
      </w:r>
      <w:r w:rsidRPr="00CB7A35">
        <w:rPr>
          <w:highlight w:val="green"/>
        </w:rPr>
        <w:t>(</w:t>
      </w:r>
      <w:proofErr w:type="spellStart"/>
      <w:r w:rsidRPr="00CB7A35">
        <w:rPr>
          <w:highlight w:val="green"/>
        </w:rPr>
        <w:t>Eteoklea</w:t>
      </w:r>
      <w:proofErr w:type="spellEnd"/>
      <w:r w:rsidRPr="00CB7A35">
        <w:rPr>
          <w:highlight w:val="green"/>
        </w:rPr>
        <w:t xml:space="preserve">) was his wife or daughter </w:t>
      </w:r>
      <w:r w:rsidRPr="00CB7A35">
        <w:rPr>
          <w:highlight w:val="green"/>
        </w:rPr>
        <w:lastRenderedPageBreak/>
        <w:t>(Clairmont, 199</w:t>
      </w:r>
      <w:r w:rsidRPr="00CB7A35">
        <w:rPr>
          <w:highlight w:val="green"/>
        </w:rPr>
        <w:t>5:26).</w:t>
      </w:r>
      <w:r w:rsidRPr="00CB7A35">
        <w:rPr>
          <w:b/>
          <w:highlight w:val="green"/>
        </w:rPr>
        <w:t xml:space="preserve"> </w:t>
      </w:r>
      <w:r w:rsidRPr="00CB7A35">
        <w:rPr>
          <w:highlight w:val="green"/>
        </w:rPr>
        <w:t xml:space="preserve">Despite this drawback, </w:t>
      </w:r>
      <w:r w:rsidRPr="00CB7A35">
        <w:rPr>
          <w:i/>
          <w:highlight w:val="green"/>
        </w:rPr>
        <w:t xml:space="preserve">stele </w:t>
      </w:r>
      <w:r w:rsidRPr="00CB7A35">
        <w:rPr>
          <w:b/>
          <w:highlight w:val="green"/>
        </w:rPr>
        <w:t xml:space="preserve">6 </w:t>
      </w:r>
      <w:r w:rsidRPr="00CB7A35">
        <w:rPr>
          <w:highlight w:val="green"/>
        </w:rPr>
        <w:t xml:space="preserve">remains an effective example of how the ideology of the family was a factor in the decoration of a funerary monument, arguably more so than proclaiming one’s property (Osborne, 1998:193). Even though </w:t>
      </w:r>
      <w:r w:rsidRPr="00CB7A35">
        <w:rPr>
          <w:i/>
          <w:highlight w:val="green"/>
        </w:rPr>
        <w:t xml:space="preserve">stele </w:t>
      </w:r>
      <w:r w:rsidRPr="00CB7A35">
        <w:rPr>
          <w:b/>
          <w:highlight w:val="green"/>
        </w:rPr>
        <w:t xml:space="preserve">6 </w:t>
      </w:r>
      <w:r w:rsidRPr="00CB7A35">
        <w:rPr>
          <w:highlight w:val="green"/>
        </w:rPr>
        <w:t>lacks an explicit reference to using lineage as a means of securing citizenship, it hints at how the medium could be utilised in such a way (</w:t>
      </w:r>
      <w:proofErr w:type="spellStart"/>
      <w:r w:rsidRPr="00CB7A35">
        <w:rPr>
          <w:highlight w:val="green"/>
        </w:rPr>
        <w:t>Closterman</w:t>
      </w:r>
      <w:proofErr w:type="spellEnd"/>
      <w:r w:rsidRPr="00CB7A35">
        <w:rPr>
          <w:highlight w:val="green"/>
        </w:rPr>
        <w:t>, 2007:648).</w:t>
      </w:r>
    </w:p>
    <w:p w:rsidR="001142B0" w:rsidRDefault="00005B13">
      <w:pPr>
        <w:spacing w:before="240" w:line="360" w:lineRule="auto"/>
        <w:jc w:val="both"/>
      </w:pPr>
      <w:r w:rsidRPr="00CB7A35">
        <w:rPr>
          <w:highlight w:val="green"/>
        </w:rPr>
        <w:t>Grave monuments</w:t>
      </w:r>
      <w:r w:rsidRPr="00CB7A35">
        <w:rPr>
          <w:i/>
          <w:highlight w:val="green"/>
        </w:rPr>
        <w:t xml:space="preserve"> </w:t>
      </w:r>
      <w:r w:rsidRPr="00CB7A35">
        <w:rPr>
          <w:highlight w:val="green"/>
        </w:rPr>
        <w:t>did not explicitly document the legal status of their subjects (</w:t>
      </w:r>
      <w:proofErr w:type="spellStart"/>
      <w:r w:rsidRPr="00CB7A35">
        <w:rPr>
          <w:highlight w:val="green"/>
        </w:rPr>
        <w:t>Closterman</w:t>
      </w:r>
      <w:proofErr w:type="spellEnd"/>
      <w:r w:rsidRPr="00CB7A35">
        <w:rPr>
          <w:highlight w:val="green"/>
        </w:rPr>
        <w:t xml:space="preserve">, </w:t>
      </w:r>
      <w:r w:rsidRPr="00CB7A35">
        <w:rPr>
          <w:highlight w:val="green"/>
        </w:rPr>
        <w:t>2007:651).</w:t>
      </w:r>
      <w:r w:rsidRPr="00CB7A35">
        <w:rPr>
          <w:color w:val="FF0000"/>
          <w:highlight w:val="green"/>
        </w:rPr>
        <w:t xml:space="preserve"> </w:t>
      </w:r>
      <w:r w:rsidRPr="00CB7A35">
        <w:rPr>
          <w:highlight w:val="green"/>
        </w:rPr>
        <w:t xml:space="preserve">Rather, the higher number of mortal women depicted in relief than in other monumental art forms is an intriguing comparison. It implies that grave reliefs were an ideological proclamation of citizenship to the </w:t>
      </w:r>
      <w:r w:rsidRPr="00CB7A35">
        <w:rPr>
          <w:i/>
          <w:highlight w:val="green"/>
        </w:rPr>
        <w:t xml:space="preserve">polis </w:t>
      </w:r>
      <w:r w:rsidRPr="00CB7A35">
        <w:rPr>
          <w:highlight w:val="green"/>
        </w:rPr>
        <w:t>of the deceased. One explanat</w:t>
      </w:r>
      <w:r w:rsidRPr="00CB7A35">
        <w:rPr>
          <w:highlight w:val="green"/>
        </w:rPr>
        <w:t xml:space="preserve">ion is the </w:t>
      </w:r>
      <w:proofErr w:type="spellStart"/>
      <w:r w:rsidRPr="00CB7A35">
        <w:rPr>
          <w:highlight w:val="green"/>
        </w:rPr>
        <w:t>Periklean</w:t>
      </w:r>
      <w:proofErr w:type="spellEnd"/>
      <w:r w:rsidRPr="00CB7A35">
        <w:rPr>
          <w:highlight w:val="green"/>
        </w:rPr>
        <w:t xml:space="preserve"> citizenship law of c.450 BC. The legislation decreed that a mother had to be the daughter of an Athenian citizen for her son to be a legal Athenian citizen, in an attempt to reduce the size of the citizen body (Plutarch </w:t>
      </w:r>
      <w:proofErr w:type="spellStart"/>
      <w:r w:rsidRPr="00CB7A35">
        <w:rPr>
          <w:i/>
          <w:highlight w:val="green"/>
        </w:rPr>
        <w:t>Perikles</w:t>
      </w:r>
      <w:proofErr w:type="spellEnd"/>
      <w:r w:rsidRPr="00CB7A35">
        <w:rPr>
          <w:i/>
          <w:highlight w:val="green"/>
        </w:rPr>
        <w:t xml:space="preserve"> </w:t>
      </w:r>
      <w:r w:rsidRPr="00CB7A35">
        <w:rPr>
          <w:highlight w:val="green"/>
        </w:rPr>
        <w:t>37.3).</w:t>
      </w:r>
      <w:r w:rsidRPr="00CB7A35">
        <w:rPr>
          <w:highlight w:val="green"/>
        </w:rPr>
        <w:t xml:space="preserve"> As a result, proving one’s birth to an Athenian mother was necessary to secure citizenship (</w:t>
      </w:r>
      <w:proofErr w:type="spellStart"/>
      <w:r w:rsidRPr="00CB7A35">
        <w:rPr>
          <w:highlight w:val="green"/>
        </w:rPr>
        <w:t>Isaeus</w:t>
      </w:r>
      <w:proofErr w:type="spellEnd"/>
      <w:r w:rsidRPr="00CB7A35">
        <w:rPr>
          <w:highlight w:val="green"/>
        </w:rPr>
        <w:t xml:space="preserve"> </w:t>
      </w:r>
      <w:r w:rsidRPr="00CB7A35">
        <w:rPr>
          <w:i/>
          <w:highlight w:val="green"/>
        </w:rPr>
        <w:t xml:space="preserve">On the Estate of </w:t>
      </w:r>
      <w:proofErr w:type="spellStart"/>
      <w:r w:rsidRPr="00CB7A35">
        <w:rPr>
          <w:i/>
          <w:highlight w:val="green"/>
        </w:rPr>
        <w:t>Philoctemon</w:t>
      </w:r>
      <w:proofErr w:type="spellEnd"/>
      <w:r w:rsidRPr="00CB7A35">
        <w:rPr>
          <w:i/>
          <w:highlight w:val="green"/>
        </w:rPr>
        <w:t xml:space="preserve"> </w:t>
      </w:r>
      <w:r w:rsidRPr="00CB7A35">
        <w:rPr>
          <w:highlight w:val="green"/>
        </w:rPr>
        <w:t>6.64), and the lineage had to be confirmed across at least two generations (Burton, 2003:24). Citizenship laws also correlate t</w:t>
      </w:r>
      <w:r w:rsidRPr="00CB7A35">
        <w:rPr>
          <w:highlight w:val="green"/>
        </w:rPr>
        <w:t>o the commission of family scenes that depict children or grandchildren of the deceased (Burton, 2003:25).</w:t>
      </w:r>
    </w:p>
    <w:p w:rsidR="001142B0" w:rsidRDefault="00005B13">
      <w:pPr>
        <w:spacing w:before="240" w:line="360" w:lineRule="auto"/>
        <w:jc w:val="both"/>
      </w:pPr>
      <w:r w:rsidRPr="00CB7A35">
        <w:rPr>
          <w:highlight w:val="green"/>
        </w:rPr>
        <w:t xml:space="preserve">The iconography of </w:t>
      </w:r>
      <w:r w:rsidRPr="00CB7A35">
        <w:rPr>
          <w:i/>
          <w:highlight w:val="green"/>
        </w:rPr>
        <w:t xml:space="preserve">stele </w:t>
      </w:r>
      <w:r w:rsidRPr="00CB7A35">
        <w:rPr>
          <w:b/>
          <w:highlight w:val="green"/>
        </w:rPr>
        <w:t xml:space="preserve">8 </w:t>
      </w:r>
      <w:r w:rsidRPr="00CB7A35">
        <w:rPr>
          <w:highlight w:val="green"/>
        </w:rPr>
        <w:t xml:space="preserve">encapsulates a </w:t>
      </w:r>
      <w:r w:rsidRPr="00CB7A35">
        <w:rPr>
          <w:i/>
          <w:highlight w:val="green"/>
        </w:rPr>
        <w:t>stele</w:t>
      </w:r>
      <w:r w:rsidRPr="00CB7A35">
        <w:rPr>
          <w:highlight w:val="green"/>
        </w:rPr>
        <w:t xml:space="preserve">’s aspirational function of closely associating with the </w:t>
      </w:r>
      <w:r w:rsidRPr="00CB7A35">
        <w:rPr>
          <w:i/>
          <w:highlight w:val="green"/>
        </w:rPr>
        <w:t xml:space="preserve">polis </w:t>
      </w:r>
      <w:r w:rsidRPr="00CB7A35">
        <w:rPr>
          <w:highlight w:val="green"/>
        </w:rPr>
        <w:t>(Pomeroy, 1997:126). In particular, a n</w:t>
      </w:r>
      <w:r w:rsidRPr="00CB7A35">
        <w:rPr>
          <w:highlight w:val="green"/>
        </w:rPr>
        <w:t xml:space="preserve">ude infant reaches for his mother, who is shaking hands with a bearded man clad in full military regalia. The servant girl, carrying a </w:t>
      </w:r>
      <w:r w:rsidRPr="00CB7A35">
        <w:rPr>
          <w:i/>
          <w:highlight w:val="green"/>
        </w:rPr>
        <w:t>pyxis</w:t>
      </w:r>
      <w:r w:rsidRPr="00CB7A35">
        <w:rPr>
          <w:highlight w:val="green"/>
        </w:rPr>
        <w:t xml:space="preserve"> akin to </w:t>
      </w:r>
      <w:proofErr w:type="spellStart"/>
      <w:r w:rsidRPr="00CB7A35">
        <w:rPr>
          <w:i/>
          <w:highlight w:val="green"/>
        </w:rPr>
        <w:t>stelai</w:t>
      </w:r>
      <w:proofErr w:type="spellEnd"/>
      <w:r w:rsidRPr="00CB7A35">
        <w:rPr>
          <w:i/>
          <w:highlight w:val="green"/>
        </w:rPr>
        <w:t xml:space="preserve"> </w:t>
      </w:r>
      <w:r w:rsidRPr="00CB7A35">
        <w:rPr>
          <w:b/>
          <w:highlight w:val="green"/>
        </w:rPr>
        <w:t xml:space="preserve">2 </w:t>
      </w:r>
      <w:r w:rsidRPr="00CB7A35">
        <w:rPr>
          <w:highlight w:val="green"/>
        </w:rPr>
        <w:t xml:space="preserve">and </w:t>
      </w:r>
      <w:r w:rsidRPr="00CB7A35">
        <w:rPr>
          <w:b/>
          <w:highlight w:val="green"/>
        </w:rPr>
        <w:t>3</w:t>
      </w:r>
      <w:r w:rsidRPr="00CB7A35">
        <w:rPr>
          <w:highlight w:val="green"/>
        </w:rPr>
        <w:t>, exists as a symbol of the family’s aristocratic status. The foot soldier’s helmet and cuira</w:t>
      </w:r>
      <w:r w:rsidRPr="00CB7A35">
        <w:rPr>
          <w:highlight w:val="green"/>
        </w:rPr>
        <w:t xml:space="preserve">ss were only worn by the hoplite class, closely associating the male figure with the state. Finally, the woman and baby explicitly express the child’s participation in both a private and public setting, a suitable candidate for citizenship by </w:t>
      </w:r>
      <w:proofErr w:type="spellStart"/>
      <w:r w:rsidRPr="00CB7A35">
        <w:rPr>
          <w:highlight w:val="green"/>
        </w:rPr>
        <w:t>Perikles</w:t>
      </w:r>
      <w:proofErr w:type="spellEnd"/>
      <w:r w:rsidRPr="00CB7A35">
        <w:rPr>
          <w:highlight w:val="green"/>
        </w:rPr>
        <w:t>’ reg</w:t>
      </w:r>
      <w:r w:rsidRPr="00CB7A35">
        <w:rPr>
          <w:highlight w:val="green"/>
        </w:rPr>
        <w:t>ulations established in the previous century (Grossman, 2007:312). Overall, the rise of grave monuments portraying family groups inherently forms a stylistic change which features a greater prominence of women</w:t>
      </w:r>
      <w:r w:rsidRPr="00CB7A35">
        <w:rPr>
          <w:color w:val="FF0000"/>
          <w:highlight w:val="green"/>
        </w:rPr>
        <w:t>.</w:t>
      </w:r>
      <w:r w:rsidRPr="00CB7A35">
        <w:rPr>
          <w:highlight w:val="green"/>
        </w:rPr>
        <w:t xml:space="preserve"> The imagery of multiple generations alongside</w:t>
      </w:r>
      <w:r w:rsidRPr="00CB7A35">
        <w:rPr>
          <w:highlight w:val="green"/>
        </w:rPr>
        <w:t xml:space="preserve"> a seated or standing mother presents the family unit as a social institution with legal importance. If the mother is the subject the immediate family is implicitly portrayed as seeking legal security, more so than a social statement on women in society (</w:t>
      </w:r>
      <w:proofErr w:type="spellStart"/>
      <w:r w:rsidRPr="00CB7A35">
        <w:rPr>
          <w:highlight w:val="green"/>
        </w:rPr>
        <w:t>B</w:t>
      </w:r>
      <w:r w:rsidRPr="00CB7A35">
        <w:rPr>
          <w:highlight w:val="green"/>
        </w:rPr>
        <w:t>oegehold</w:t>
      </w:r>
      <w:proofErr w:type="spellEnd"/>
      <w:r w:rsidRPr="00CB7A35">
        <w:rPr>
          <w:highlight w:val="green"/>
        </w:rPr>
        <w:t>, 1994:60).</w:t>
      </w:r>
    </w:p>
    <w:p w:rsidR="001142B0" w:rsidRDefault="00005B13">
      <w:pPr>
        <w:spacing w:before="240" w:line="360" w:lineRule="auto"/>
        <w:jc w:val="both"/>
      </w:pPr>
      <w:r w:rsidRPr="00CB7A35">
        <w:rPr>
          <w:highlight w:val="green"/>
        </w:rPr>
        <w:t>Following the re-emergence of decorated gravestones from the 430’s BC, there was a different approach to their spatial organisation in the funerary space. Namely, the rising popularity of family plots by the end of the 5</w:t>
      </w:r>
      <w:r w:rsidRPr="00CB7A35">
        <w:rPr>
          <w:highlight w:val="green"/>
          <w:vertAlign w:val="superscript"/>
        </w:rPr>
        <w:t>th</w:t>
      </w:r>
      <w:r w:rsidRPr="00CB7A35">
        <w:rPr>
          <w:highlight w:val="green"/>
        </w:rPr>
        <w:t xml:space="preserve"> century could</w:t>
      </w:r>
      <w:r w:rsidRPr="00CB7A35">
        <w:rPr>
          <w:highlight w:val="green"/>
        </w:rPr>
        <w:t xml:space="preserve"> be a direct response to the social legislature of the Athenian </w:t>
      </w:r>
      <w:r w:rsidRPr="00CB7A35">
        <w:rPr>
          <w:i/>
          <w:highlight w:val="green"/>
        </w:rPr>
        <w:t>polis</w:t>
      </w:r>
      <w:r w:rsidRPr="00CB7A35">
        <w:rPr>
          <w:highlight w:val="green"/>
        </w:rPr>
        <w:t xml:space="preserve">. Whether the response was positive or negative has been the subject of strong scholarly debate. By c.425 BC approximately 10% of all Athenian families owned a family plot, including </w:t>
      </w:r>
      <w:proofErr w:type="spellStart"/>
      <w:r w:rsidRPr="00CB7A35">
        <w:rPr>
          <w:i/>
          <w:highlight w:val="green"/>
        </w:rPr>
        <w:t>stel</w:t>
      </w:r>
      <w:r w:rsidRPr="00CB7A35">
        <w:rPr>
          <w:i/>
          <w:highlight w:val="green"/>
        </w:rPr>
        <w:t>ai</w:t>
      </w:r>
      <w:proofErr w:type="spellEnd"/>
      <w:r w:rsidRPr="00CB7A35">
        <w:rPr>
          <w:i/>
          <w:highlight w:val="green"/>
        </w:rPr>
        <w:t xml:space="preserve"> </w:t>
      </w:r>
      <w:r w:rsidRPr="00CB7A35">
        <w:rPr>
          <w:b/>
          <w:highlight w:val="green"/>
        </w:rPr>
        <w:t>3</w:t>
      </w:r>
      <w:r w:rsidRPr="00CB7A35">
        <w:rPr>
          <w:highlight w:val="green"/>
        </w:rPr>
        <w:t xml:space="preserve">, </w:t>
      </w:r>
      <w:r w:rsidRPr="00CB7A35">
        <w:rPr>
          <w:b/>
          <w:highlight w:val="green"/>
        </w:rPr>
        <w:t xml:space="preserve">7 </w:t>
      </w:r>
      <w:r w:rsidRPr="00CB7A35">
        <w:rPr>
          <w:highlight w:val="green"/>
        </w:rPr>
        <w:t xml:space="preserve">and </w:t>
      </w:r>
      <w:r w:rsidRPr="00CB7A35">
        <w:rPr>
          <w:b/>
          <w:highlight w:val="green"/>
        </w:rPr>
        <w:t xml:space="preserve">12 </w:t>
      </w:r>
      <w:r w:rsidRPr="00CB7A35">
        <w:rPr>
          <w:highlight w:val="green"/>
        </w:rPr>
        <w:t>(</w:t>
      </w:r>
      <w:proofErr w:type="spellStart"/>
      <w:r w:rsidRPr="00CB7A35">
        <w:rPr>
          <w:highlight w:val="green"/>
        </w:rPr>
        <w:t>Stears</w:t>
      </w:r>
      <w:proofErr w:type="spellEnd"/>
      <w:r w:rsidRPr="00CB7A35">
        <w:rPr>
          <w:highlight w:val="green"/>
        </w:rPr>
        <w:t xml:space="preserve">, 2000:41). Crucially this doesn’t mean that family members were buried together; </w:t>
      </w:r>
      <w:r w:rsidRPr="00CB7A35">
        <w:rPr>
          <w:highlight w:val="green"/>
        </w:rPr>
        <w:lastRenderedPageBreak/>
        <w:t>only three out of 598 published graves between the 6</w:t>
      </w:r>
      <w:r w:rsidRPr="00CB7A35">
        <w:rPr>
          <w:highlight w:val="green"/>
          <w:vertAlign w:val="superscript"/>
        </w:rPr>
        <w:t>th</w:t>
      </w:r>
      <w:r w:rsidRPr="00CB7A35">
        <w:rPr>
          <w:highlight w:val="green"/>
        </w:rPr>
        <w:t xml:space="preserve"> and 4</w:t>
      </w:r>
      <w:r w:rsidRPr="00CB7A35">
        <w:rPr>
          <w:highlight w:val="green"/>
          <w:vertAlign w:val="superscript"/>
        </w:rPr>
        <w:t>th</w:t>
      </w:r>
      <w:r w:rsidRPr="00CB7A35">
        <w:rPr>
          <w:highlight w:val="green"/>
        </w:rPr>
        <w:t xml:space="preserve"> centuries BC contained relatives buried next to each other (Pomeroy, 1997:124). The </w:t>
      </w:r>
      <w:proofErr w:type="spellStart"/>
      <w:r w:rsidRPr="00CB7A35">
        <w:rPr>
          <w:highlight w:val="green"/>
        </w:rPr>
        <w:t>Heges</w:t>
      </w:r>
      <w:r w:rsidRPr="00CB7A35">
        <w:rPr>
          <w:highlight w:val="green"/>
        </w:rPr>
        <w:t>o</w:t>
      </w:r>
      <w:proofErr w:type="spellEnd"/>
      <w:r w:rsidRPr="00CB7A35">
        <w:rPr>
          <w:highlight w:val="green"/>
        </w:rPr>
        <w:t xml:space="preserve"> and </w:t>
      </w:r>
      <w:proofErr w:type="spellStart"/>
      <w:r w:rsidRPr="00CB7A35">
        <w:rPr>
          <w:highlight w:val="green"/>
        </w:rPr>
        <w:t>Dexileos</w:t>
      </w:r>
      <w:proofErr w:type="spellEnd"/>
      <w:r w:rsidRPr="00CB7A35">
        <w:rPr>
          <w:highlight w:val="green"/>
        </w:rPr>
        <w:t xml:space="preserve"> reliefs still suggest that the trend persisted for decades after it first appeared, because both were erected in the 390’s BC (IG</w:t>
      </w:r>
      <w:r w:rsidRPr="00CB7A35">
        <w:rPr>
          <w:i/>
          <w:highlight w:val="green"/>
        </w:rPr>
        <w:t xml:space="preserve"> ii </w:t>
      </w:r>
      <w:r w:rsidRPr="00CB7A35">
        <w:rPr>
          <w:highlight w:val="green"/>
        </w:rPr>
        <w:t xml:space="preserve">6226-30). The relief of Demetria and </w:t>
      </w:r>
      <w:proofErr w:type="spellStart"/>
      <w:r w:rsidRPr="00CB7A35">
        <w:rPr>
          <w:highlight w:val="green"/>
        </w:rPr>
        <w:t>Pamphile</w:t>
      </w:r>
      <w:proofErr w:type="spellEnd"/>
      <w:r w:rsidRPr="00CB7A35">
        <w:rPr>
          <w:highlight w:val="green"/>
        </w:rPr>
        <w:t xml:space="preserve"> is from c.320 BC and shares a similar context. However, using </w:t>
      </w:r>
      <w:r w:rsidRPr="00CB7A35">
        <w:rPr>
          <w:highlight w:val="green"/>
        </w:rPr>
        <w:t>a single, later relief is too selective an approach to confirm the widespread trend of family grave plots throughout the 4</w:t>
      </w:r>
      <w:r w:rsidRPr="00CB7A35">
        <w:rPr>
          <w:highlight w:val="green"/>
          <w:vertAlign w:val="superscript"/>
        </w:rPr>
        <w:t>th</w:t>
      </w:r>
      <w:r w:rsidRPr="00CB7A35">
        <w:rPr>
          <w:highlight w:val="green"/>
        </w:rPr>
        <w:t xml:space="preserve"> century BC.</w:t>
      </w:r>
      <w:r>
        <w:t xml:space="preserve"> </w:t>
      </w:r>
    </w:p>
    <w:p w:rsidR="001142B0" w:rsidRDefault="00005B13">
      <w:pPr>
        <w:spacing w:before="240" w:line="360" w:lineRule="auto"/>
        <w:jc w:val="both"/>
      </w:pPr>
      <w:r w:rsidRPr="00CB7A35">
        <w:rPr>
          <w:highlight w:val="green"/>
        </w:rPr>
        <w:t xml:space="preserve">The imagery of family scenes and inscriptions exudes </w:t>
      </w:r>
      <w:r w:rsidRPr="00CB7A35">
        <w:rPr>
          <w:i/>
          <w:highlight w:val="green"/>
        </w:rPr>
        <w:t xml:space="preserve">arête </w:t>
      </w:r>
      <w:r w:rsidRPr="00CB7A35">
        <w:rPr>
          <w:highlight w:val="green"/>
        </w:rPr>
        <w:t>– A state of moral virtue and fulfilment, either as an indi</w:t>
      </w:r>
      <w:r w:rsidRPr="00CB7A35">
        <w:rPr>
          <w:highlight w:val="green"/>
        </w:rPr>
        <w:t>vidual or an entire family (</w:t>
      </w:r>
      <w:proofErr w:type="spellStart"/>
      <w:r w:rsidRPr="00CB7A35">
        <w:rPr>
          <w:highlight w:val="green"/>
        </w:rPr>
        <w:t>Sourvinou</w:t>
      </w:r>
      <w:proofErr w:type="spellEnd"/>
      <w:r w:rsidRPr="00CB7A35">
        <w:rPr>
          <w:highlight w:val="green"/>
        </w:rPr>
        <w:t xml:space="preserve">-Inwood, 1995:117). Plato lauds this virtue, stating that a successful Greek </w:t>
      </w:r>
      <w:proofErr w:type="gramStart"/>
      <w:r w:rsidRPr="00CB7A35">
        <w:rPr>
          <w:highlight w:val="green"/>
        </w:rPr>
        <w:t>longed for</w:t>
      </w:r>
      <w:proofErr w:type="gramEnd"/>
      <w:r w:rsidRPr="00CB7A35">
        <w:rPr>
          <w:highlight w:val="green"/>
        </w:rPr>
        <w:t xml:space="preserve"> wealth and honour among peers. A citizen should ‘bury one’s parents well’ and receive the same treatment from their own children (P</w:t>
      </w:r>
      <w:r w:rsidRPr="00CB7A35">
        <w:rPr>
          <w:highlight w:val="green"/>
        </w:rPr>
        <w:t xml:space="preserve">lato </w:t>
      </w:r>
      <w:r w:rsidRPr="00CB7A35">
        <w:rPr>
          <w:i/>
          <w:highlight w:val="green"/>
        </w:rPr>
        <w:t xml:space="preserve">Hippias Major </w:t>
      </w:r>
      <w:r w:rsidRPr="00CB7A35">
        <w:rPr>
          <w:highlight w:val="green"/>
        </w:rPr>
        <w:t xml:space="preserve">291). Plato confirms the centrality of commemorative burial rites in Attic society (Garland, 2001:22), and implies that </w:t>
      </w:r>
      <w:proofErr w:type="spellStart"/>
      <w:r w:rsidRPr="00CB7A35">
        <w:rPr>
          <w:i/>
          <w:highlight w:val="green"/>
        </w:rPr>
        <w:t>agathe</w:t>
      </w:r>
      <w:proofErr w:type="spellEnd"/>
      <w:r w:rsidRPr="00CB7A35">
        <w:rPr>
          <w:i/>
          <w:highlight w:val="green"/>
        </w:rPr>
        <w:t xml:space="preserve"> </w:t>
      </w:r>
      <w:r w:rsidRPr="00CB7A35">
        <w:rPr>
          <w:highlight w:val="green"/>
        </w:rPr>
        <w:t xml:space="preserve">among Attic men was a universal virtue, expected in both the </w:t>
      </w:r>
      <w:r w:rsidRPr="00CB7A35">
        <w:rPr>
          <w:i/>
          <w:highlight w:val="green"/>
        </w:rPr>
        <w:t xml:space="preserve">polis </w:t>
      </w:r>
      <w:r w:rsidRPr="00CB7A35">
        <w:rPr>
          <w:highlight w:val="green"/>
        </w:rPr>
        <w:t xml:space="preserve">and the </w:t>
      </w:r>
      <w:r w:rsidRPr="00CB7A35">
        <w:rPr>
          <w:i/>
          <w:highlight w:val="green"/>
        </w:rPr>
        <w:t xml:space="preserve">oikos </w:t>
      </w:r>
      <w:r w:rsidRPr="00CB7A35">
        <w:rPr>
          <w:highlight w:val="green"/>
        </w:rPr>
        <w:t xml:space="preserve">settings. Grave reliefs were </w:t>
      </w:r>
      <w:r w:rsidRPr="00CB7A35">
        <w:rPr>
          <w:highlight w:val="green"/>
        </w:rPr>
        <w:t xml:space="preserve">therefore microcosms for the complementary nature of the public and private spheres. A citizen’s duty varied, but the principles of modesty and honour were essential (Burton, 2003:32). Such virtues were created and exchanged by both spheres. For this </w:t>
      </w:r>
      <w:proofErr w:type="gramStart"/>
      <w:r w:rsidRPr="00CB7A35">
        <w:rPr>
          <w:highlight w:val="green"/>
        </w:rPr>
        <w:t>reaso</w:t>
      </w:r>
      <w:r w:rsidRPr="00CB7A35">
        <w:rPr>
          <w:highlight w:val="green"/>
        </w:rPr>
        <w:t>n</w:t>
      </w:r>
      <w:proofErr w:type="gramEnd"/>
      <w:r w:rsidRPr="00CB7A35">
        <w:rPr>
          <w:highlight w:val="green"/>
        </w:rPr>
        <w:t xml:space="preserve"> the decoration of a grave relief sought to praise the deceased and their family as members of their </w:t>
      </w:r>
      <w:r w:rsidRPr="00CB7A35">
        <w:rPr>
          <w:i/>
          <w:highlight w:val="green"/>
        </w:rPr>
        <w:t xml:space="preserve">oikos, </w:t>
      </w:r>
      <w:r w:rsidRPr="00CB7A35">
        <w:rPr>
          <w:highlight w:val="green"/>
        </w:rPr>
        <w:t xml:space="preserve">because it promulgated their virtue as citizens of their </w:t>
      </w:r>
      <w:r w:rsidRPr="00CB7A35">
        <w:rPr>
          <w:i/>
          <w:highlight w:val="green"/>
        </w:rPr>
        <w:t xml:space="preserve">polis </w:t>
      </w:r>
      <w:r w:rsidRPr="00CB7A35">
        <w:rPr>
          <w:highlight w:val="green"/>
        </w:rPr>
        <w:t>(Strauss, 1993:41).</w:t>
      </w:r>
    </w:p>
    <w:p w:rsidR="001142B0" w:rsidRDefault="00005B13">
      <w:pPr>
        <w:spacing w:before="240" w:line="360" w:lineRule="auto"/>
        <w:jc w:val="both"/>
      </w:pPr>
      <w:r w:rsidRPr="006F3D7E">
        <w:rPr>
          <w:highlight w:val="green"/>
        </w:rPr>
        <w:t xml:space="preserve">The reliefs of </w:t>
      </w:r>
      <w:proofErr w:type="spellStart"/>
      <w:r w:rsidRPr="006F3D7E">
        <w:rPr>
          <w:highlight w:val="green"/>
        </w:rPr>
        <w:t>Hegeso</w:t>
      </w:r>
      <w:proofErr w:type="spellEnd"/>
      <w:r w:rsidRPr="006F3D7E">
        <w:rPr>
          <w:highlight w:val="green"/>
        </w:rPr>
        <w:t xml:space="preserve">, </w:t>
      </w:r>
      <w:proofErr w:type="spellStart"/>
      <w:r w:rsidRPr="006F3D7E">
        <w:rPr>
          <w:highlight w:val="green"/>
        </w:rPr>
        <w:t>Dexileos</w:t>
      </w:r>
      <w:proofErr w:type="spellEnd"/>
      <w:r w:rsidRPr="006F3D7E">
        <w:rPr>
          <w:highlight w:val="green"/>
        </w:rPr>
        <w:t xml:space="preserve">, and Demetria and </w:t>
      </w:r>
      <w:proofErr w:type="spellStart"/>
      <w:r w:rsidRPr="006F3D7E">
        <w:rPr>
          <w:highlight w:val="green"/>
        </w:rPr>
        <w:t>Pamphile</w:t>
      </w:r>
      <w:proofErr w:type="spellEnd"/>
      <w:r w:rsidRPr="006F3D7E">
        <w:rPr>
          <w:highlight w:val="green"/>
        </w:rPr>
        <w:t xml:space="preserve"> are e</w:t>
      </w:r>
      <w:r w:rsidRPr="006F3D7E">
        <w:rPr>
          <w:highlight w:val="green"/>
        </w:rPr>
        <w:t>xceptionally decorated reliefs, and among the largest in size of the report catalogue. The higher cost of deeper and more elaborate reliefs indicates that the trend may have seen greater prominence among elite Athenian families (</w:t>
      </w:r>
      <w:proofErr w:type="spellStart"/>
      <w:r w:rsidRPr="006F3D7E">
        <w:rPr>
          <w:highlight w:val="green"/>
        </w:rPr>
        <w:t>Sourvinou</w:t>
      </w:r>
      <w:proofErr w:type="spellEnd"/>
      <w:r w:rsidRPr="006F3D7E">
        <w:rPr>
          <w:highlight w:val="green"/>
        </w:rPr>
        <w:t>-Inwood, 1995:54).</w:t>
      </w:r>
      <w:r w:rsidRPr="006F3D7E">
        <w:rPr>
          <w:highlight w:val="green"/>
        </w:rPr>
        <w:t xml:space="preserve"> Nearby Attic sites like </w:t>
      </w:r>
      <w:proofErr w:type="spellStart"/>
      <w:r w:rsidRPr="006F3D7E">
        <w:rPr>
          <w:highlight w:val="green"/>
        </w:rPr>
        <w:t>Menidi</w:t>
      </w:r>
      <w:proofErr w:type="spellEnd"/>
      <w:r w:rsidRPr="006F3D7E">
        <w:rPr>
          <w:highlight w:val="green"/>
        </w:rPr>
        <w:t xml:space="preserve"> and </w:t>
      </w:r>
      <w:proofErr w:type="spellStart"/>
      <w:r w:rsidRPr="006F3D7E">
        <w:rPr>
          <w:highlight w:val="green"/>
        </w:rPr>
        <w:t>Chalandri</w:t>
      </w:r>
      <w:proofErr w:type="spellEnd"/>
      <w:r w:rsidRPr="006F3D7E">
        <w:rPr>
          <w:highlight w:val="green"/>
        </w:rPr>
        <w:t xml:space="preserve"> are less comprehensively published, making it difficult to compare the cases from Athens to their Attic contemporaries.</w:t>
      </w:r>
      <w:r w:rsidRPr="006F3D7E">
        <w:rPr>
          <w:b/>
          <w:highlight w:val="green"/>
        </w:rPr>
        <w:t xml:space="preserve"> </w:t>
      </w:r>
      <w:r w:rsidRPr="006F3D7E">
        <w:rPr>
          <w:highlight w:val="green"/>
        </w:rPr>
        <w:t xml:space="preserve">Individual finds like </w:t>
      </w:r>
      <w:r w:rsidRPr="006F3D7E">
        <w:rPr>
          <w:i/>
          <w:highlight w:val="green"/>
        </w:rPr>
        <w:t xml:space="preserve">stele </w:t>
      </w:r>
      <w:r w:rsidRPr="006F3D7E">
        <w:rPr>
          <w:b/>
          <w:highlight w:val="green"/>
        </w:rPr>
        <w:t>11</w:t>
      </w:r>
      <w:r w:rsidRPr="006F3D7E">
        <w:rPr>
          <w:b/>
          <w:color w:val="FF0000"/>
          <w:highlight w:val="green"/>
        </w:rPr>
        <w:t xml:space="preserve"> </w:t>
      </w:r>
      <w:r w:rsidRPr="006F3D7E">
        <w:rPr>
          <w:highlight w:val="green"/>
        </w:rPr>
        <w:t xml:space="preserve">(Found in the </w:t>
      </w:r>
      <w:proofErr w:type="spellStart"/>
      <w:r w:rsidRPr="006F3D7E">
        <w:rPr>
          <w:highlight w:val="green"/>
        </w:rPr>
        <w:t>Ilissos</w:t>
      </w:r>
      <w:proofErr w:type="spellEnd"/>
      <w:r w:rsidRPr="006F3D7E">
        <w:rPr>
          <w:highlight w:val="green"/>
        </w:rPr>
        <w:t xml:space="preserve"> river in 1874) are less</w:t>
      </w:r>
      <w:r w:rsidRPr="006F3D7E">
        <w:rPr>
          <w:b/>
          <w:highlight w:val="green"/>
        </w:rPr>
        <w:t xml:space="preserve"> </w:t>
      </w:r>
      <w:r w:rsidRPr="006F3D7E">
        <w:rPr>
          <w:highlight w:val="green"/>
        </w:rPr>
        <w:t>compatible wi</w:t>
      </w:r>
      <w:r w:rsidRPr="006F3D7E">
        <w:rPr>
          <w:highlight w:val="green"/>
        </w:rPr>
        <w:t>th a broader line of investigation (</w:t>
      </w:r>
      <w:r w:rsidRPr="006F3D7E">
        <w:rPr>
          <w:color w:val="000000"/>
          <w:highlight w:val="green"/>
        </w:rPr>
        <w:t>Frederiksen &amp; Smith, 2011:218)</w:t>
      </w:r>
      <w:r w:rsidRPr="006F3D7E">
        <w:rPr>
          <w:highlight w:val="green"/>
        </w:rPr>
        <w:t xml:space="preserve">. </w:t>
      </w:r>
      <w:proofErr w:type="spellStart"/>
      <w:r w:rsidRPr="006F3D7E">
        <w:rPr>
          <w:highlight w:val="green"/>
        </w:rPr>
        <w:t>Sourvinou</w:t>
      </w:r>
      <w:proofErr w:type="spellEnd"/>
      <w:r w:rsidRPr="006F3D7E">
        <w:rPr>
          <w:highlight w:val="green"/>
        </w:rPr>
        <w:t xml:space="preserve">-Inwood reinforces the idea of subtle aristocratic changes occurring gradually in Classical grave reliefs, but this is not necessarily representative of other Attic cities or </w:t>
      </w:r>
      <w:r w:rsidRPr="006F3D7E">
        <w:rPr>
          <w:i/>
          <w:highlight w:val="green"/>
        </w:rPr>
        <w:t>pole</w:t>
      </w:r>
      <w:r w:rsidRPr="006F3D7E">
        <w:rPr>
          <w:i/>
          <w:highlight w:val="green"/>
        </w:rPr>
        <w:t xml:space="preserve">is </w:t>
      </w:r>
      <w:r w:rsidRPr="006F3D7E">
        <w:rPr>
          <w:highlight w:val="green"/>
        </w:rPr>
        <w:t>(</w:t>
      </w:r>
      <w:proofErr w:type="spellStart"/>
      <w:r w:rsidRPr="006F3D7E">
        <w:rPr>
          <w:highlight w:val="green"/>
        </w:rPr>
        <w:t>Sourvinou</w:t>
      </w:r>
      <w:proofErr w:type="spellEnd"/>
      <w:r w:rsidRPr="006F3D7E">
        <w:rPr>
          <w:highlight w:val="green"/>
        </w:rPr>
        <w:t>-Inwood, 1995:416).</w:t>
      </w:r>
    </w:p>
    <w:p w:rsidR="001142B0" w:rsidRDefault="00005B13">
      <w:pPr>
        <w:spacing w:before="240" w:line="360" w:lineRule="auto"/>
        <w:jc w:val="both"/>
      </w:pPr>
      <w:r w:rsidRPr="006F3D7E">
        <w:rPr>
          <w:highlight w:val="green"/>
        </w:rPr>
        <w:t xml:space="preserve">On the contrary, </w:t>
      </w:r>
      <w:proofErr w:type="spellStart"/>
      <w:r w:rsidRPr="006F3D7E">
        <w:rPr>
          <w:i/>
          <w:highlight w:val="green"/>
        </w:rPr>
        <w:t>stelai</w:t>
      </w:r>
      <w:proofErr w:type="spellEnd"/>
      <w:r w:rsidRPr="006F3D7E">
        <w:rPr>
          <w:i/>
          <w:highlight w:val="green"/>
        </w:rPr>
        <w:t xml:space="preserve"> </w:t>
      </w:r>
      <w:r w:rsidRPr="006F3D7E">
        <w:rPr>
          <w:b/>
          <w:highlight w:val="green"/>
        </w:rPr>
        <w:t>9</w:t>
      </w:r>
      <w:r w:rsidRPr="006F3D7E">
        <w:rPr>
          <w:b/>
          <w:color w:val="FF0000"/>
          <w:highlight w:val="green"/>
        </w:rPr>
        <w:t xml:space="preserve"> </w:t>
      </w:r>
      <w:r w:rsidRPr="006F3D7E">
        <w:rPr>
          <w:highlight w:val="green"/>
        </w:rPr>
        <w:t xml:space="preserve">and </w:t>
      </w:r>
      <w:r w:rsidRPr="006F3D7E">
        <w:rPr>
          <w:b/>
          <w:highlight w:val="green"/>
        </w:rPr>
        <w:t>10</w:t>
      </w:r>
      <w:r w:rsidRPr="006F3D7E">
        <w:rPr>
          <w:b/>
          <w:color w:val="FF0000"/>
          <w:highlight w:val="green"/>
        </w:rPr>
        <w:t xml:space="preserve"> </w:t>
      </w:r>
      <w:r w:rsidRPr="006F3D7E">
        <w:rPr>
          <w:highlight w:val="green"/>
        </w:rPr>
        <w:t>from the early-to-mid 4</w:t>
      </w:r>
      <w:r w:rsidRPr="006F3D7E">
        <w:rPr>
          <w:highlight w:val="green"/>
          <w:vertAlign w:val="superscript"/>
        </w:rPr>
        <w:t>th</w:t>
      </w:r>
      <w:r w:rsidRPr="006F3D7E">
        <w:rPr>
          <w:highlight w:val="green"/>
        </w:rPr>
        <w:t xml:space="preserve"> century BC Piraeus</w:t>
      </w:r>
      <w:r w:rsidRPr="006F3D7E">
        <w:rPr>
          <w:b/>
          <w:highlight w:val="green"/>
        </w:rPr>
        <w:t xml:space="preserve"> </w:t>
      </w:r>
      <w:r w:rsidRPr="006F3D7E">
        <w:rPr>
          <w:highlight w:val="green"/>
        </w:rPr>
        <w:t>– displaying a banquet scene and a possible hunt scene respectively – account for the range and complexity of funerary iconography. Both scenes may record the deceased’s preference for feasts or hunting while he was still alive, or contain subtle religious</w:t>
      </w:r>
      <w:r w:rsidRPr="006F3D7E">
        <w:rPr>
          <w:highlight w:val="green"/>
        </w:rPr>
        <w:t xml:space="preserve"> connotations (</w:t>
      </w:r>
      <w:proofErr w:type="spellStart"/>
      <w:r w:rsidRPr="006F3D7E">
        <w:rPr>
          <w:highlight w:val="green"/>
        </w:rPr>
        <w:t>Stamatapoulou</w:t>
      </w:r>
      <w:proofErr w:type="spellEnd"/>
      <w:r w:rsidRPr="006F3D7E">
        <w:rPr>
          <w:highlight w:val="green"/>
        </w:rPr>
        <w:t xml:space="preserve">, 1999:187). In the case of </w:t>
      </w:r>
      <w:r w:rsidRPr="006F3D7E">
        <w:rPr>
          <w:i/>
          <w:highlight w:val="green"/>
        </w:rPr>
        <w:t>stele</w:t>
      </w:r>
      <w:r w:rsidRPr="006F3D7E">
        <w:rPr>
          <w:b/>
          <w:i/>
          <w:highlight w:val="green"/>
        </w:rPr>
        <w:t xml:space="preserve"> </w:t>
      </w:r>
      <w:r w:rsidRPr="006F3D7E">
        <w:rPr>
          <w:b/>
          <w:highlight w:val="green"/>
        </w:rPr>
        <w:t>9</w:t>
      </w:r>
      <w:r w:rsidRPr="006F3D7E">
        <w:rPr>
          <w:highlight w:val="green"/>
        </w:rPr>
        <w:t>, the reclining man immediately draws a parallel to the symposium (</w:t>
      </w:r>
      <w:proofErr w:type="spellStart"/>
      <w:r w:rsidRPr="006F3D7E">
        <w:rPr>
          <w:highlight w:val="green"/>
        </w:rPr>
        <w:t>Stamatapoulou</w:t>
      </w:r>
      <w:proofErr w:type="spellEnd"/>
      <w:r w:rsidRPr="006F3D7E">
        <w:rPr>
          <w:highlight w:val="green"/>
        </w:rPr>
        <w:t>, 1999:186). His languid posture and attendant to the left of the scene reveal a higher social status, achievable</w:t>
      </w:r>
      <w:r w:rsidRPr="006F3D7E">
        <w:rPr>
          <w:highlight w:val="green"/>
        </w:rPr>
        <w:t xml:space="preserve"> by his nobility and personal wealth. Such examples remind the historian that grave monuments formed </w:t>
      </w:r>
      <w:r w:rsidRPr="006F3D7E">
        <w:rPr>
          <w:highlight w:val="green"/>
        </w:rPr>
        <w:lastRenderedPageBreak/>
        <w:t>part of a commercial market with differing social and religious significance for each client (Stewart, 1990:175). There are broad stylistic or ritual trend</w:t>
      </w:r>
      <w:r w:rsidRPr="006F3D7E">
        <w:rPr>
          <w:highlight w:val="green"/>
        </w:rPr>
        <w:t>s like the rise in family burial plots (Camp, 2001:164). Sculptors and buyers did not have to conform to contemporary trends, and as such earlier motifs continued alongside innovative designs.</w:t>
      </w:r>
      <w:r>
        <w:t xml:space="preserve"> </w:t>
      </w:r>
    </w:p>
    <w:p w:rsidR="001142B0" w:rsidRDefault="00005B13">
      <w:pPr>
        <w:spacing w:before="240" w:line="360" w:lineRule="auto"/>
      </w:pPr>
      <w:r w:rsidRPr="006F3D7E">
        <w:rPr>
          <w:b/>
          <w:sz w:val="24"/>
          <w:szCs w:val="24"/>
          <w:highlight w:val="green"/>
        </w:rPr>
        <w:t>Career as the Height of Life – Military and Athletic Depiction</w:t>
      </w:r>
      <w:r w:rsidRPr="006F3D7E">
        <w:rPr>
          <w:b/>
          <w:sz w:val="24"/>
          <w:szCs w:val="24"/>
          <w:highlight w:val="green"/>
        </w:rPr>
        <w:t>s of Men</w:t>
      </w:r>
    </w:p>
    <w:p w:rsidR="001142B0" w:rsidRPr="006F3D7E" w:rsidRDefault="00005B13">
      <w:pPr>
        <w:spacing w:before="240" w:line="360" w:lineRule="auto"/>
        <w:jc w:val="both"/>
        <w:rPr>
          <w:highlight w:val="green"/>
        </w:rPr>
      </w:pPr>
      <w:r w:rsidRPr="006F3D7E">
        <w:rPr>
          <w:highlight w:val="green"/>
        </w:rPr>
        <w:t>The deceased are depicted on gravestones either in the afterlife or as if they were still alive (Boardman, 1995:115). Women are usually shown performing household tasks or inspecting personal jewellery on grave reliefs (</w:t>
      </w:r>
      <w:r w:rsidRPr="006F3D7E">
        <w:rPr>
          <w:b/>
          <w:highlight w:val="green"/>
        </w:rPr>
        <w:t>1</w:t>
      </w:r>
      <w:r w:rsidRPr="006F3D7E">
        <w:rPr>
          <w:highlight w:val="green"/>
        </w:rPr>
        <w:t>,</w:t>
      </w:r>
      <w:r w:rsidRPr="006F3D7E">
        <w:rPr>
          <w:b/>
          <w:highlight w:val="green"/>
        </w:rPr>
        <w:t xml:space="preserve"> 2</w:t>
      </w:r>
      <w:r w:rsidRPr="006F3D7E">
        <w:rPr>
          <w:highlight w:val="green"/>
        </w:rPr>
        <w:t>,</w:t>
      </w:r>
      <w:r w:rsidRPr="006F3D7E">
        <w:rPr>
          <w:b/>
          <w:highlight w:val="green"/>
        </w:rPr>
        <w:t xml:space="preserve"> 3</w:t>
      </w:r>
      <w:r w:rsidRPr="006F3D7E">
        <w:rPr>
          <w:highlight w:val="green"/>
        </w:rPr>
        <w:t xml:space="preserve">, </w:t>
      </w:r>
      <w:r w:rsidRPr="006F3D7E">
        <w:rPr>
          <w:b/>
          <w:highlight w:val="green"/>
        </w:rPr>
        <w:t>5</w:t>
      </w:r>
      <w:r w:rsidRPr="006F3D7E">
        <w:rPr>
          <w:highlight w:val="green"/>
        </w:rPr>
        <w:t xml:space="preserve"> and </w:t>
      </w:r>
      <w:r w:rsidRPr="006F3D7E">
        <w:rPr>
          <w:b/>
          <w:highlight w:val="green"/>
        </w:rPr>
        <w:t>8</w:t>
      </w:r>
      <w:r w:rsidRPr="006F3D7E">
        <w:rPr>
          <w:highlight w:val="green"/>
        </w:rPr>
        <w:t>); their ro</w:t>
      </w:r>
      <w:r w:rsidRPr="006F3D7E">
        <w:rPr>
          <w:highlight w:val="green"/>
        </w:rPr>
        <w:t xml:space="preserve">le within the </w:t>
      </w:r>
      <w:r w:rsidRPr="006F3D7E">
        <w:rPr>
          <w:i/>
          <w:highlight w:val="green"/>
        </w:rPr>
        <w:t xml:space="preserve">oikos </w:t>
      </w:r>
      <w:r w:rsidRPr="006F3D7E">
        <w:rPr>
          <w:highlight w:val="green"/>
        </w:rPr>
        <w:t>(Burton, 2003:20</w:t>
      </w:r>
      <w:r w:rsidRPr="006F3D7E">
        <w:rPr>
          <w:highlight w:val="green"/>
        </w:rPr>
        <w:tab/>
        <w:t>). The reliefs show them at their most beautiful, wealthy or dutiful to their family (</w:t>
      </w:r>
      <w:proofErr w:type="spellStart"/>
      <w:r w:rsidRPr="006F3D7E">
        <w:rPr>
          <w:highlight w:val="green"/>
        </w:rPr>
        <w:t>Sourvinou</w:t>
      </w:r>
      <w:proofErr w:type="spellEnd"/>
      <w:r w:rsidRPr="006F3D7E">
        <w:rPr>
          <w:highlight w:val="green"/>
        </w:rPr>
        <w:t xml:space="preserve">-Inwood, 1995:117). On the other </w:t>
      </w:r>
      <w:proofErr w:type="gramStart"/>
      <w:r w:rsidRPr="006F3D7E">
        <w:rPr>
          <w:highlight w:val="green"/>
        </w:rPr>
        <w:t>hand</w:t>
      </w:r>
      <w:proofErr w:type="gramEnd"/>
      <w:r w:rsidRPr="006F3D7E">
        <w:rPr>
          <w:highlight w:val="green"/>
        </w:rPr>
        <w:t xml:space="preserve"> male figures were depicted at the peak of their civic careers for Athens or the wider </w:t>
      </w:r>
      <w:r w:rsidRPr="006F3D7E">
        <w:rPr>
          <w:highlight w:val="green"/>
        </w:rPr>
        <w:t xml:space="preserve">Attic region. Men are shown participating in athletics, warfare, trade or politics – all taking place in the public eye (Burton, 2003:21). Such roles allowed the state to </w:t>
      </w:r>
      <w:proofErr w:type="gramStart"/>
      <w:r w:rsidRPr="006F3D7E">
        <w:rPr>
          <w:highlight w:val="green"/>
        </w:rPr>
        <w:t>function, and</w:t>
      </w:r>
      <w:proofErr w:type="gramEnd"/>
      <w:r w:rsidRPr="006F3D7E">
        <w:rPr>
          <w:highlight w:val="green"/>
        </w:rPr>
        <w:t xml:space="preserve"> helped to achieve and consolidate the security and prosperity of the st</w:t>
      </w:r>
      <w:r w:rsidRPr="006F3D7E">
        <w:rPr>
          <w:highlight w:val="green"/>
        </w:rPr>
        <w:t xml:space="preserve">ate (Burton, 2003:27). Fullerton maintains that the grave </w:t>
      </w:r>
      <w:r w:rsidRPr="006F3D7E">
        <w:rPr>
          <w:i/>
          <w:highlight w:val="green"/>
        </w:rPr>
        <w:t xml:space="preserve">stele </w:t>
      </w:r>
      <w:r w:rsidRPr="006F3D7E">
        <w:rPr>
          <w:highlight w:val="green"/>
        </w:rPr>
        <w:t>was a primarily personal rather than political monument (Fullerton, 2016:542). However, the overt imagery of costumes or nudity shows that political or public motivations are also a significan</w:t>
      </w:r>
      <w:r w:rsidRPr="006F3D7E">
        <w:rPr>
          <w:highlight w:val="green"/>
        </w:rPr>
        <w:t>t factor.</w:t>
      </w:r>
    </w:p>
    <w:p w:rsidR="001142B0" w:rsidRDefault="00005B13">
      <w:pPr>
        <w:spacing w:before="240" w:line="360" w:lineRule="auto"/>
        <w:jc w:val="both"/>
      </w:pPr>
      <w:r w:rsidRPr="006F3D7E">
        <w:rPr>
          <w:highlight w:val="green"/>
        </w:rPr>
        <w:t xml:space="preserve">In 404/3 BC Athens lost the Peloponnesian War against the Lacedaemonians. An almost </w:t>
      </w:r>
      <w:proofErr w:type="gramStart"/>
      <w:r w:rsidRPr="006F3D7E">
        <w:rPr>
          <w:highlight w:val="green"/>
        </w:rPr>
        <w:t>30 year old</w:t>
      </w:r>
      <w:proofErr w:type="gramEnd"/>
      <w:r w:rsidRPr="006F3D7E">
        <w:rPr>
          <w:highlight w:val="green"/>
        </w:rPr>
        <w:t xml:space="preserve"> conflict ended with a year of Athens being ruled by the 30 tyrants, before restoring the democratic system of government (Xenophon </w:t>
      </w:r>
      <w:r w:rsidRPr="006F3D7E">
        <w:rPr>
          <w:i/>
          <w:highlight w:val="green"/>
        </w:rPr>
        <w:t xml:space="preserve">Hellenica </w:t>
      </w:r>
      <w:r w:rsidRPr="006F3D7E">
        <w:rPr>
          <w:highlight w:val="green"/>
        </w:rPr>
        <w:t>2.4.1). T</w:t>
      </w:r>
      <w:r w:rsidRPr="006F3D7E">
        <w:rPr>
          <w:highlight w:val="green"/>
        </w:rPr>
        <w:t>he final quarter of the 5</w:t>
      </w:r>
      <w:r w:rsidRPr="006F3D7E">
        <w:rPr>
          <w:highlight w:val="green"/>
          <w:vertAlign w:val="superscript"/>
        </w:rPr>
        <w:t>th</w:t>
      </w:r>
      <w:r w:rsidRPr="006F3D7E">
        <w:rPr>
          <w:highlight w:val="green"/>
        </w:rPr>
        <w:t xml:space="preserve"> century BC had seen the destruction of Attic farmland by Spartan troops in the 420’s BC (Thucydides 2.18-23), the failure of the Piraeus as a supreme naval hub for the Athenian empire, and conflicts against Corinth in 394/3 BC w</w:t>
      </w:r>
      <w:r w:rsidRPr="006F3D7E">
        <w:rPr>
          <w:highlight w:val="green"/>
        </w:rPr>
        <w:t xml:space="preserve">hich are noted on </w:t>
      </w:r>
      <w:r w:rsidRPr="006F3D7E">
        <w:rPr>
          <w:i/>
          <w:highlight w:val="green"/>
        </w:rPr>
        <w:t xml:space="preserve">stele </w:t>
      </w:r>
      <w:r w:rsidRPr="006F3D7E">
        <w:rPr>
          <w:b/>
          <w:highlight w:val="green"/>
        </w:rPr>
        <w:t>12</w:t>
      </w:r>
      <w:r w:rsidRPr="006F3D7E">
        <w:rPr>
          <w:highlight w:val="green"/>
        </w:rPr>
        <w:t xml:space="preserve">. Grave reliefs – unlike state burials – were an opportunity to recognise the contribution of an individual to his city. Funerary </w:t>
      </w:r>
      <w:proofErr w:type="spellStart"/>
      <w:r w:rsidRPr="006F3D7E">
        <w:rPr>
          <w:i/>
          <w:highlight w:val="green"/>
        </w:rPr>
        <w:t>stelai</w:t>
      </w:r>
      <w:proofErr w:type="spellEnd"/>
      <w:r w:rsidRPr="006F3D7E">
        <w:rPr>
          <w:i/>
          <w:highlight w:val="green"/>
        </w:rPr>
        <w:t xml:space="preserve"> </w:t>
      </w:r>
      <w:r w:rsidRPr="006F3D7E">
        <w:rPr>
          <w:highlight w:val="green"/>
        </w:rPr>
        <w:t xml:space="preserve">could show that Attic society perceived the idealised citizen to be a man willing to die for </w:t>
      </w:r>
      <w:r w:rsidRPr="006F3D7E">
        <w:rPr>
          <w:highlight w:val="green"/>
        </w:rPr>
        <w:t xml:space="preserve">the protection of his </w:t>
      </w:r>
      <w:r w:rsidRPr="006F3D7E">
        <w:rPr>
          <w:i/>
          <w:highlight w:val="green"/>
        </w:rPr>
        <w:t>polis</w:t>
      </w:r>
      <w:r w:rsidRPr="006F3D7E">
        <w:rPr>
          <w:highlight w:val="green"/>
        </w:rPr>
        <w:t>.</w:t>
      </w:r>
    </w:p>
    <w:p w:rsidR="001142B0" w:rsidRDefault="00005B13">
      <w:pPr>
        <w:spacing w:before="240" w:line="360" w:lineRule="auto"/>
        <w:jc w:val="both"/>
      </w:pPr>
      <w:r w:rsidRPr="006F3D7E">
        <w:rPr>
          <w:highlight w:val="green"/>
        </w:rPr>
        <w:t xml:space="preserve">One explanation for nude male figures on grave reliefs is that they were athletes, or hunters in some scenes. </w:t>
      </w:r>
      <w:r w:rsidRPr="006F3D7E">
        <w:rPr>
          <w:i/>
          <w:highlight w:val="green"/>
        </w:rPr>
        <w:t xml:space="preserve">Stele </w:t>
      </w:r>
      <w:r w:rsidRPr="006F3D7E">
        <w:rPr>
          <w:b/>
          <w:highlight w:val="green"/>
        </w:rPr>
        <w:t xml:space="preserve">10 </w:t>
      </w:r>
      <w:r w:rsidRPr="006F3D7E">
        <w:rPr>
          <w:highlight w:val="green"/>
        </w:rPr>
        <w:t xml:space="preserve">is an example of the </w:t>
      </w:r>
      <w:proofErr w:type="gramStart"/>
      <w:r w:rsidRPr="006F3D7E">
        <w:rPr>
          <w:highlight w:val="green"/>
        </w:rPr>
        <w:t>latter, and</w:t>
      </w:r>
      <w:proofErr w:type="gramEnd"/>
      <w:r w:rsidRPr="006F3D7E">
        <w:rPr>
          <w:highlight w:val="green"/>
        </w:rPr>
        <w:t xml:space="preserve"> displays </w:t>
      </w:r>
      <w:proofErr w:type="spellStart"/>
      <w:r w:rsidRPr="006F3D7E">
        <w:rPr>
          <w:highlight w:val="green"/>
        </w:rPr>
        <w:t>Telesias</w:t>
      </w:r>
      <w:proofErr w:type="spellEnd"/>
      <w:r w:rsidRPr="006F3D7E">
        <w:rPr>
          <w:highlight w:val="green"/>
        </w:rPr>
        <w:t xml:space="preserve"> in the nude resting his weight onto one hip. Nudity in sc</w:t>
      </w:r>
      <w:r w:rsidRPr="006F3D7E">
        <w:rPr>
          <w:highlight w:val="green"/>
        </w:rPr>
        <w:t xml:space="preserve">ulpture was not an invention of the Classical period – the majority of Greek archaic </w:t>
      </w:r>
      <w:proofErr w:type="spellStart"/>
      <w:r w:rsidRPr="006F3D7E">
        <w:rPr>
          <w:i/>
          <w:highlight w:val="green"/>
        </w:rPr>
        <w:t>kouroi</w:t>
      </w:r>
      <w:proofErr w:type="spellEnd"/>
      <w:r w:rsidRPr="006F3D7E">
        <w:rPr>
          <w:i/>
          <w:highlight w:val="green"/>
        </w:rPr>
        <w:t xml:space="preserve"> </w:t>
      </w:r>
      <w:r w:rsidRPr="006F3D7E">
        <w:rPr>
          <w:highlight w:val="green"/>
        </w:rPr>
        <w:t xml:space="preserve">were naked, drawing the viewer’s eye to the subject’s defined musculature as the ideal image for an athletic youth (Boardman, 1995:115). Hallett posits that nudity </w:t>
      </w:r>
      <w:r w:rsidRPr="006F3D7E">
        <w:rPr>
          <w:highlight w:val="green"/>
        </w:rPr>
        <w:t xml:space="preserve">would have been the “uniform” of the gymnasium, the term itself deriving from </w:t>
      </w:r>
      <w:proofErr w:type="spellStart"/>
      <w:r w:rsidRPr="006F3D7E">
        <w:rPr>
          <w:i/>
          <w:highlight w:val="green"/>
        </w:rPr>
        <w:t>gymnos</w:t>
      </w:r>
      <w:proofErr w:type="spellEnd"/>
      <w:r w:rsidRPr="006F3D7E">
        <w:rPr>
          <w:highlight w:val="green"/>
        </w:rPr>
        <w:t xml:space="preserve"> – ’naked’ (Hallett, 2005:22). The suggested formal approach renders the image of the nude beardless youth both idealised and widely recognisable to the contemporary Attic </w:t>
      </w:r>
      <w:r w:rsidRPr="006F3D7E">
        <w:rPr>
          <w:highlight w:val="green"/>
        </w:rPr>
        <w:t xml:space="preserve">viewer. The same can be said for </w:t>
      </w:r>
      <w:r w:rsidRPr="006F3D7E">
        <w:rPr>
          <w:i/>
          <w:highlight w:val="green"/>
        </w:rPr>
        <w:t xml:space="preserve">stele </w:t>
      </w:r>
      <w:r w:rsidRPr="006F3D7E">
        <w:rPr>
          <w:b/>
          <w:highlight w:val="green"/>
        </w:rPr>
        <w:t>11</w:t>
      </w:r>
      <w:r w:rsidRPr="006F3D7E">
        <w:rPr>
          <w:highlight w:val="green"/>
        </w:rPr>
        <w:t>,</w:t>
      </w:r>
      <w:r w:rsidRPr="006F3D7E">
        <w:rPr>
          <w:b/>
          <w:highlight w:val="green"/>
        </w:rPr>
        <w:t xml:space="preserve"> </w:t>
      </w:r>
      <w:r w:rsidRPr="006F3D7E">
        <w:rPr>
          <w:highlight w:val="green"/>
        </w:rPr>
        <w:t xml:space="preserve">where the </w:t>
      </w:r>
      <w:r w:rsidRPr="006F3D7E">
        <w:rPr>
          <w:highlight w:val="green"/>
        </w:rPr>
        <w:lastRenderedPageBreak/>
        <w:t>deceased is imagined in peak physical fitness and an idealised representation that was attainable by male athletes and soldiers (</w:t>
      </w:r>
      <w:proofErr w:type="spellStart"/>
      <w:r w:rsidRPr="006F3D7E">
        <w:rPr>
          <w:highlight w:val="green"/>
        </w:rPr>
        <w:t>Stupperich</w:t>
      </w:r>
      <w:proofErr w:type="spellEnd"/>
      <w:r w:rsidRPr="006F3D7E">
        <w:rPr>
          <w:highlight w:val="green"/>
        </w:rPr>
        <w:t xml:space="preserve">, 1994:94). The fine details of the naked body on </w:t>
      </w:r>
      <w:r w:rsidRPr="006F3D7E">
        <w:rPr>
          <w:i/>
          <w:highlight w:val="green"/>
        </w:rPr>
        <w:t xml:space="preserve">stele </w:t>
      </w:r>
      <w:r w:rsidRPr="006F3D7E">
        <w:rPr>
          <w:b/>
          <w:highlight w:val="green"/>
        </w:rPr>
        <w:t xml:space="preserve">11 </w:t>
      </w:r>
      <w:r w:rsidRPr="006F3D7E">
        <w:rPr>
          <w:highlight w:val="green"/>
        </w:rPr>
        <w:t>allow</w:t>
      </w:r>
      <w:r w:rsidRPr="006F3D7E">
        <w:rPr>
          <w:highlight w:val="green"/>
        </w:rPr>
        <w:t>ed for a more nuanced pose: frozen on the cusp of movement, twisting his torso to his right (Osborne, 1998:200).</w:t>
      </w:r>
    </w:p>
    <w:p w:rsidR="001142B0" w:rsidRDefault="00005B13">
      <w:pPr>
        <w:spacing w:before="240" w:line="360" w:lineRule="auto"/>
        <w:jc w:val="both"/>
      </w:pPr>
      <w:r w:rsidRPr="00C82D03">
        <w:rPr>
          <w:highlight w:val="green"/>
        </w:rPr>
        <w:t xml:space="preserve">The style is reminiscent of variations of the </w:t>
      </w:r>
      <w:proofErr w:type="spellStart"/>
      <w:r w:rsidRPr="00C82D03">
        <w:rPr>
          <w:highlight w:val="green"/>
        </w:rPr>
        <w:t>Polykleitan</w:t>
      </w:r>
      <w:proofErr w:type="spellEnd"/>
      <w:r w:rsidRPr="00C82D03">
        <w:rPr>
          <w:highlight w:val="green"/>
        </w:rPr>
        <w:t xml:space="preserve"> walking motif, creating the impression of vitality that has been captured or cut shor</w:t>
      </w:r>
      <w:r w:rsidRPr="00C82D03">
        <w:rPr>
          <w:highlight w:val="green"/>
        </w:rPr>
        <w:t xml:space="preserve">t before reaching their maximum potential (Childs, 1998:163). Such a trait has featured on earlier </w:t>
      </w:r>
      <w:proofErr w:type="spellStart"/>
      <w:r w:rsidRPr="00C82D03">
        <w:rPr>
          <w:highlight w:val="green"/>
        </w:rPr>
        <w:t>s</w:t>
      </w:r>
      <w:r w:rsidRPr="00C82D03">
        <w:rPr>
          <w:i/>
          <w:highlight w:val="green"/>
        </w:rPr>
        <w:t>telai</w:t>
      </w:r>
      <w:proofErr w:type="spellEnd"/>
      <w:r w:rsidRPr="00C82D03">
        <w:rPr>
          <w:i/>
          <w:highlight w:val="green"/>
        </w:rPr>
        <w:t xml:space="preserve"> </w:t>
      </w:r>
      <w:r w:rsidRPr="00C82D03">
        <w:rPr>
          <w:highlight w:val="green"/>
        </w:rPr>
        <w:t xml:space="preserve">including the marker of </w:t>
      </w:r>
      <w:proofErr w:type="spellStart"/>
      <w:r w:rsidRPr="00C82D03">
        <w:rPr>
          <w:highlight w:val="green"/>
        </w:rPr>
        <w:t>Chairodemos</w:t>
      </w:r>
      <w:proofErr w:type="spellEnd"/>
      <w:r w:rsidRPr="00C82D03">
        <w:rPr>
          <w:highlight w:val="green"/>
        </w:rPr>
        <w:t xml:space="preserve"> and </w:t>
      </w:r>
      <w:proofErr w:type="spellStart"/>
      <w:r w:rsidRPr="00C82D03">
        <w:rPr>
          <w:highlight w:val="green"/>
        </w:rPr>
        <w:t>Lykeas</w:t>
      </w:r>
      <w:proofErr w:type="spellEnd"/>
      <w:r w:rsidRPr="00C82D03">
        <w:rPr>
          <w:highlight w:val="green"/>
        </w:rPr>
        <w:t xml:space="preserve"> (Childs, 1998:162). Youthful energy and a strong physique exaggerate the subject’s physical </w:t>
      </w:r>
      <w:proofErr w:type="gramStart"/>
      <w:r w:rsidRPr="00C82D03">
        <w:rPr>
          <w:highlight w:val="green"/>
        </w:rPr>
        <w:t>prowess, bu</w:t>
      </w:r>
      <w:r w:rsidRPr="00C82D03">
        <w:rPr>
          <w:highlight w:val="green"/>
        </w:rPr>
        <w:t>t</w:t>
      </w:r>
      <w:proofErr w:type="gramEnd"/>
      <w:r w:rsidRPr="00C82D03">
        <w:rPr>
          <w:highlight w:val="green"/>
        </w:rPr>
        <w:t xml:space="preserve"> can also highlight the tragic circumstances of the subject’s departure. Grave monuments</w:t>
      </w:r>
      <w:r w:rsidRPr="00C82D03">
        <w:rPr>
          <w:i/>
          <w:highlight w:val="green"/>
        </w:rPr>
        <w:t xml:space="preserve"> </w:t>
      </w:r>
      <w:r w:rsidRPr="00C82D03">
        <w:rPr>
          <w:highlight w:val="green"/>
        </w:rPr>
        <w:t>dedicated to youths were paid for by their father or wider family, and publicly express sorrow at this subversion of the natural order, as described by Plato (Wasserm</w:t>
      </w:r>
      <w:r w:rsidRPr="00C82D03">
        <w:rPr>
          <w:highlight w:val="green"/>
        </w:rPr>
        <w:t xml:space="preserve">an, 1969:195). </w:t>
      </w:r>
      <w:r w:rsidRPr="00C82D03">
        <w:rPr>
          <w:i/>
          <w:highlight w:val="green"/>
        </w:rPr>
        <w:t xml:space="preserve">Stele </w:t>
      </w:r>
      <w:r w:rsidRPr="00C82D03">
        <w:rPr>
          <w:b/>
          <w:highlight w:val="green"/>
        </w:rPr>
        <w:t xml:space="preserve">11 </w:t>
      </w:r>
      <w:r w:rsidRPr="00C82D03">
        <w:rPr>
          <w:highlight w:val="green"/>
        </w:rPr>
        <w:t>evokes grief through its explicit dichotomy between figures; the heavily-draped elder contrasts the youth’s nude image (Boardman, 1995:116). The relief on</w:t>
      </w:r>
      <w:r w:rsidRPr="00C82D03">
        <w:rPr>
          <w:i/>
          <w:highlight w:val="green"/>
        </w:rPr>
        <w:t xml:space="preserve"> </w:t>
      </w:r>
      <w:r w:rsidRPr="00C82D03">
        <w:rPr>
          <w:b/>
          <w:highlight w:val="green"/>
        </w:rPr>
        <w:t xml:space="preserve">12 </w:t>
      </w:r>
      <w:r w:rsidRPr="00C82D03">
        <w:rPr>
          <w:highlight w:val="green"/>
        </w:rPr>
        <w:t xml:space="preserve">is an exception because </w:t>
      </w:r>
      <w:proofErr w:type="spellStart"/>
      <w:r w:rsidRPr="00C82D03">
        <w:rPr>
          <w:highlight w:val="green"/>
        </w:rPr>
        <w:t>Dexileos</w:t>
      </w:r>
      <w:proofErr w:type="spellEnd"/>
      <w:r w:rsidRPr="00C82D03">
        <w:rPr>
          <w:highlight w:val="green"/>
        </w:rPr>
        <w:t xml:space="preserve"> is fully armoured while his victim in nak</w:t>
      </w:r>
      <w:r w:rsidRPr="00C82D03">
        <w:rPr>
          <w:highlight w:val="green"/>
        </w:rPr>
        <w:t xml:space="preserve">ed. For the most part the sculpting of naked men had the effect of </w:t>
      </w:r>
      <w:proofErr w:type="spellStart"/>
      <w:r w:rsidRPr="00C82D03">
        <w:rPr>
          <w:highlight w:val="green"/>
        </w:rPr>
        <w:t>heroising</w:t>
      </w:r>
      <w:proofErr w:type="spellEnd"/>
      <w:r w:rsidRPr="00C82D03">
        <w:rPr>
          <w:highlight w:val="green"/>
        </w:rPr>
        <w:t xml:space="preserve"> their mortal involvement in the </w:t>
      </w:r>
      <w:r w:rsidRPr="00C82D03">
        <w:rPr>
          <w:i/>
          <w:highlight w:val="green"/>
        </w:rPr>
        <w:t>polis</w:t>
      </w:r>
      <w:r w:rsidRPr="00C82D03">
        <w:rPr>
          <w:highlight w:val="green"/>
        </w:rPr>
        <w:t>.</w:t>
      </w:r>
      <w:r>
        <w:t xml:space="preserve"> </w:t>
      </w:r>
    </w:p>
    <w:p w:rsidR="001142B0" w:rsidRPr="00C82D03" w:rsidRDefault="00005B13">
      <w:pPr>
        <w:spacing w:before="240" w:line="360" w:lineRule="auto"/>
        <w:jc w:val="both"/>
        <w:rPr>
          <w:highlight w:val="green"/>
        </w:rPr>
      </w:pPr>
      <w:r w:rsidRPr="00C82D03">
        <w:rPr>
          <w:highlight w:val="green"/>
        </w:rPr>
        <w:t xml:space="preserve">The </w:t>
      </w:r>
      <w:r w:rsidRPr="00C82D03">
        <w:rPr>
          <w:i/>
          <w:highlight w:val="green"/>
        </w:rPr>
        <w:t xml:space="preserve">stele </w:t>
      </w:r>
      <w:r w:rsidRPr="00C82D03">
        <w:rPr>
          <w:highlight w:val="green"/>
        </w:rPr>
        <w:t xml:space="preserve">of </w:t>
      </w:r>
      <w:proofErr w:type="spellStart"/>
      <w:r w:rsidRPr="00C82D03">
        <w:rPr>
          <w:highlight w:val="green"/>
        </w:rPr>
        <w:t>Demokleides</w:t>
      </w:r>
      <w:proofErr w:type="spellEnd"/>
      <w:r w:rsidRPr="00C82D03">
        <w:rPr>
          <w:highlight w:val="green"/>
        </w:rPr>
        <w:t xml:space="preserve"> (</w:t>
      </w:r>
      <w:r w:rsidRPr="00C82D03">
        <w:rPr>
          <w:b/>
          <w:highlight w:val="green"/>
        </w:rPr>
        <w:t>13</w:t>
      </w:r>
      <w:r w:rsidRPr="00C82D03">
        <w:rPr>
          <w:highlight w:val="green"/>
        </w:rPr>
        <w:t>) from the Piraeus deserves further evaluation as a depiction of military service, due to its naval iconography</w:t>
      </w:r>
      <w:r w:rsidRPr="00C82D03">
        <w:rPr>
          <w:highlight w:val="green"/>
        </w:rPr>
        <w:t>. A rower sits beside his armour on the prow of his ship, the details of which are tantalisingly fragmentary. Crucially,</w:t>
      </w:r>
      <w:r w:rsidRPr="00C82D03">
        <w:rPr>
          <w:i/>
          <w:highlight w:val="green"/>
        </w:rPr>
        <w:t xml:space="preserve"> </w:t>
      </w:r>
      <w:r w:rsidRPr="00C82D03">
        <w:rPr>
          <w:highlight w:val="green"/>
        </w:rPr>
        <w:t xml:space="preserve">the </w:t>
      </w:r>
      <w:proofErr w:type="spellStart"/>
      <w:r w:rsidRPr="00C82D03">
        <w:rPr>
          <w:highlight w:val="green"/>
        </w:rPr>
        <w:t>Demokleides</w:t>
      </w:r>
      <w:proofErr w:type="spellEnd"/>
      <w:r w:rsidRPr="00C82D03">
        <w:rPr>
          <w:highlight w:val="green"/>
        </w:rPr>
        <w:t xml:space="preserve"> </w:t>
      </w:r>
      <w:proofErr w:type="spellStart"/>
      <w:r w:rsidRPr="00C82D03">
        <w:rPr>
          <w:i/>
          <w:highlight w:val="green"/>
        </w:rPr>
        <w:t>stele</w:t>
      </w:r>
      <w:proofErr w:type="spellEnd"/>
      <w:r w:rsidRPr="00C82D03">
        <w:rPr>
          <w:highlight w:val="green"/>
        </w:rPr>
        <w:t xml:space="preserve"> is the only known Attic grave monument from the Classical period to feature a rower or a naval vessel. Out of the hundreds of excavated grave monuments, images of the hoplites and cavalrymen were far more common (</w:t>
      </w:r>
      <w:proofErr w:type="spellStart"/>
      <w:r w:rsidRPr="00C82D03">
        <w:rPr>
          <w:highlight w:val="green"/>
        </w:rPr>
        <w:t>Stupperich</w:t>
      </w:r>
      <w:proofErr w:type="spellEnd"/>
      <w:r w:rsidRPr="00C82D03">
        <w:rPr>
          <w:highlight w:val="green"/>
        </w:rPr>
        <w:t>, 1994:97). This comparison is e</w:t>
      </w:r>
      <w:r w:rsidRPr="00C82D03">
        <w:rPr>
          <w:highlight w:val="green"/>
        </w:rPr>
        <w:t>vident in both state burials and private dedications (</w:t>
      </w:r>
      <w:proofErr w:type="spellStart"/>
      <w:r w:rsidRPr="00C82D03">
        <w:rPr>
          <w:highlight w:val="green"/>
        </w:rPr>
        <w:t>Stupperich</w:t>
      </w:r>
      <w:proofErr w:type="spellEnd"/>
      <w:r w:rsidRPr="00C82D03">
        <w:rPr>
          <w:highlight w:val="green"/>
        </w:rPr>
        <w:t>, 1994:97). Thucydides maintains that rowers were historically the driving force behind the Athenian empire in the early 5</w:t>
      </w:r>
      <w:r w:rsidRPr="00C82D03">
        <w:rPr>
          <w:highlight w:val="green"/>
          <w:vertAlign w:val="superscript"/>
        </w:rPr>
        <w:t>th</w:t>
      </w:r>
      <w:r w:rsidRPr="00C82D03">
        <w:rPr>
          <w:highlight w:val="green"/>
        </w:rPr>
        <w:t xml:space="preserve"> century BC, implying a shift during the classical period. Indeed, t</w:t>
      </w:r>
      <w:r w:rsidRPr="00C82D03">
        <w:rPr>
          <w:highlight w:val="green"/>
        </w:rPr>
        <w:t xml:space="preserve">he scarcity of grave reliefs depicting rowers may be a sign of a declining reliance on the navy, in the eyes of the </w:t>
      </w:r>
      <w:r w:rsidRPr="00C82D03">
        <w:rPr>
          <w:i/>
          <w:highlight w:val="green"/>
        </w:rPr>
        <w:t xml:space="preserve">polis </w:t>
      </w:r>
      <w:r w:rsidRPr="00C82D03">
        <w:rPr>
          <w:highlight w:val="green"/>
        </w:rPr>
        <w:t xml:space="preserve">(Thucydides 1.93). </w:t>
      </w:r>
    </w:p>
    <w:p w:rsidR="001142B0" w:rsidRDefault="00005B13">
      <w:pPr>
        <w:spacing w:before="240" w:line="360" w:lineRule="auto"/>
        <w:jc w:val="both"/>
      </w:pPr>
      <w:r w:rsidRPr="00C82D03">
        <w:rPr>
          <w:highlight w:val="green"/>
        </w:rPr>
        <w:t xml:space="preserve">In funerary sculpture, the rarity of naval imagery could hold a social significance in addition to its explicitly </w:t>
      </w:r>
      <w:r w:rsidRPr="00C82D03">
        <w:rPr>
          <w:highlight w:val="green"/>
        </w:rPr>
        <w:t xml:space="preserve">martial message. </w:t>
      </w:r>
      <w:proofErr w:type="spellStart"/>
      <w:r w:rsidRPr="00C82D03">
        <w:rPr>
          <w:highlight w:val="green"/>
        </w:rPr>
        <w:t>Dexileos</w:t>
      </w:r>
      <w:proofErr w:type="spellEnd"/>
      <w:r w:rsidRPr="00C82D03">
        <w:rPr>
          <w:highlight w:val="green"/>
        </w:rPr>
        <w:t>’ inscription (</w:t>
      </w:r>
      <w:r w:rsidRPr="00C82D03">
        <w:rPr>
          <w:b/>
          <w:highlight w:val="green"/>
        </w:rPr>
        <w:t>12</w:t>
      </w:r>
      <w:r w:rsidRPr="00C82D03">
        <w:rPr>
          <w:highlight w:val="green"/>
        </w:rPr>
        <w:t xml:space="preserve">) commemorates the valour of the shock cavalry at Athens. </w:t>
      </w:r>
      <w:proofErr w:type="spellStart"/>
      <w:r w:rsidRPr="00C82D03">
        <w:rPr>
          <w:highlight w:val="green"/>
        </w:rPr>
        <w:t>Dexileos</w:t>
      </w:r>
      <w:proofErr w:type="spellEnd"/>
      <w:r w:rsidRPr="00C82D03">
        <w:rPr>
          <w:highlight w:val="green"/>
        </w:rPr>
        <w:t xml:space="preserve">’ elite role against Corinth was worthy of special mention, among the ‘five riders’ on the frontline. On the other hand, </w:t>
      </w:r>
      <w:proofErr w:type="spellStart"/>
      <w:r w:rsidRPr="00C82D03">
        <w:rPr>
          <w:highlight w:val="green"/>
        </w:rPr>
        <w:t>Demokleides</w:t>
      </w:r>
      <w:proofErr w:type="spellEnd"/>
      <w:r w:rsidRPr="00C82D03">
        <w:rPr>
          <w:highlight w:val="green"/>
        </w:rPr>
        <w:t>’ inscription st</w:t>
      </w:r>
      <w:r w:rsidRPr="00C82D03">
        <w:rPr>
          <w:highlight w:val="green"/>
        </w:rPr>
        <w:t>ates that he was lost at sea in c.394 BC (Wasserman, 1969:197). It mourns his tragic loss instead of singling out his actions as a heroic Athenian warrior. When considered in conjunction with the iconography and subjects of state burials in Athens and Atti</w:t>
      </w:r>
      <w:r w:rsidRPr="00C82D03">
        <w:rPr>
          <w:highlight w:val="green"/>
        </w:rPr>
        <w:t xml:space="preserve">ca, the conclusion is twofold. Firstly, hoplites seem to be prioritised by the Attic </w:t>
      </w:r>
      <w:r w:rsidRPr="00C82D03">
        <w:rPr>
          <w:i/>
          <w:highlight w:val="green"/>
        </w:rPr>
        <w:t>polis</w:t>
      </w:r>
      <w:r w:rsidRPr="00C82D03">
        <w:rPr>
          <w:highlight w:val="green"/>
        </w:rPr>
        <w:t xml:space="preserve"> through state commissioned grave monuments. Secondly, the families of hoplites and </w:t>
      </w:r>
      <w:r w:rsidRPr="00C82D03">
        <w:rPr>
          <w:highlight w:val="green"/>
        </w:rPr>
        <w:lastRenderedPageBreak/>
        <w:t>cavalrymen were of a higher class than the families of rowers, hence the more elab</w:t>
      </w:r>
      <w:r w:rsidRPr="00C82D03">
        <w:rPr>
          <w:highlight w:val="green"/>
        </w:rPr>
        <w:t>orate and plentiful reliefs on record (</w:t>
      </w:r>
      <w:proofErr w:type="spellStart"/>
      <w:r w:rsidRPr="00C82D03">
        <w:rPr>
          <w:highlight w:val="green"/>
        </w:rPr>
        <w:t>Stupperich</w:t>
      </w:r>
      <w:proofErr w:type="spellEnd"/>
      <w:r w:rsidRPr="00C82D03">
        <w:rPr>
          <w:highlight w:val="green"/>
        </w:rPr>
        <w:t>, 1994:97). Despite some minor iconographic differences, it is clear that military and athletic participation was idealised in funerary relief sculpture. For Athenian and Attic men, their public careers were</w:t>
      </w:r>
      <w:r w:rsidRPr="00C82D03">
        <w:rPr>
          <w:highlight w:val="green"/>
        </w:rPr>
        <w:t xml:space="preserve"> the most important contribution to the </w:t>
      </w:r>
      <w:proofErr w:type="gramStart"/>
      <w:r w:rsidRPr="00C82D03">
        <w:rPr>
          <w:i/>
          <w:highlight w:val="green"/>
        </w:rPr>
        <w:t>polis</w:t>
      </w:r>
      <w:r w:rsidRPr="00C82D03">
        <w:rPr>
          <w:highlight w:val="green"/>
        </w:rPr>
        <w:t>, and</w:t>
      </w:r>
      <w:proofErr w:type="gramEnd"/>
      <w:r w:rsidRPr="00C82D03">
        <w:rPr>
          <w:highlight w:val="green"/>
        </w:rPr>
        <w:t xml:space="preserve"> was capitalised upon in death.</w:t>
      </w:r>
    </w:p>
    <w:p w:rsidR="001142B0" w:rsidRDefault="00005B13">
      <w:pPr>
        <w:spacing w:before="240" w:line="360" w:lineRule="auto"/>
      </w:pPr>
      <w:r w:rsidRPr="00C82D03">
        <w:rPr>
          <w:b/>
          <w:sz w:val="24"/>
          <w:szCs w:val="24"/>
          <w:highlight w:val="green"/>
        </w:rPr>
        <w:t>Concluding Remarks</w:t>
      </w:r>
    </w:p>
    <w:p w:rsidR="001142B0" w:rsidRPr="00EE310D" w:rsidRDefault="00005B13">
      <w:pPr>
        <w:spacing w:before="240" w:line="360" w:lineRule="auto"/>
        <w:jc w:val="both"/>
        <w:rPr>
          <w:highlight w:val="green"/>
        </w:rPr>
      </w:pPr>
      <w:r w:rsidRPr="00EE310D">
        <w:rPr>
          <w:highlight w:val="green"/>
        </w:rPr>
        <w:t xml:space="preserve">Attic grave reliefs of the Classical period are valuable social </w:t>
      </w:r>
      <w:proofErr w:type="gramStart"/>
      <w:r w:rsidRPr="00EE310D">
        <w:rPr>
          <w:highlight w:val="green"/>
        </w:rPr>
        <w:t>documents, but</w:t>
      </w:r>
      <w:proofErr w:type="gramEnd"/>
      <w:r w:rsidRPr="00EE310D">
        <w:rPr>
          <w:highlight w:val="green"/>
        </w:rPr>
        <w:t xml:space="preserve"> are not without significant drawbacks. They contribute to our comprehension of the role of the individual and the family, acting paradoxically as private memorials on public dis</w:t>
      </w:r>
      <w:r w:rsidRPr="00EE310D">
        <w:rPr>
          <w:highlight w:val="green"/>
        </w:rPr>
        <w:t>play. Unfortunately, it is often a complicated and problematic process to identify the deceased in each scene. This greatly limits our understanding of the intentions and beliefs of the individuals who commissioned a funerary monument. Contemporary and lat</w:t>
      </w:r>
      <w:r w:rsidRPr="00EE310D">
        <w:rPr>
          <w:highlight w:val="green"/>
        </w:rPr>
        <w:t xml:space="preserve">er literature from Thucydides, </w:t>
      </w:r>
      <w:proofErr w:type="spellStart"/>
      <w:r w:rsidRPr="00EE310D">
        <w:rPr>
          <w:highlight w:val="green"/>
        </w:rPr>
        <w:t>Diodorus</w:t>
      </w:r>
      <w:proofErr w:type="spellEnd"/>
      <w:r w:rsidRPr="00EE310D">
        <w:rPr>
          <w:highlight w:val="green"/>
        </w:rPr>
        <w:t xml:space="preserve"> Siculus and Plutarch help to contextualise some of the social themes conveyed on grave reliefs, such as the desire to enforce male hegemony and the spiritual importance of family unity and </w:t>
      </w:r>
      <w:proofErr w:type="spellStart"/>
      <w:r w:rsidRPr="00EE310D">
        <w:rPr>
          <w:i/>
          <w:highlight w:val="green"/>
        </w:rPr>
        <w:t>dexiosis</w:t>
      </w:r>
      <w:proofErr w:type="spellEnd"/>
      <w:r w:rsidRPr="00EE310D">
        <w:rPr>
          <w:highlight w:val="green"/>
        </w:rPr>
        <w:t>. The grave monumen</w:t>
      </w:r>
      <w:r w:rsidRPr="00EE310D">
        <w:rPr>
          <w:highlight w:val="green"/>
        </w:rPr>
        <w:t>t</w:t>
      </w:r>
      <w:r w:rsidRPr="00EE310D">
        <w:rPr>
          <w:i/>
          <w:highlight w:val="green"/>
        </w:rPr>
        <w:t xml:space="preserve"> </w:t>
      </w:r>
      <w:proofErr w:type="spellStart"/>
      <w:r w:rsidRPr="00EE310D">
        <w:rPr>
          <w:highlight w:val="green"/>
        </w:rPr>
        <w:t>heroised</w:t>
      </w:r>
      <w:proofErr w:type="spellEnd"/>
      <w:r w:rsidRPr="00EE310D">
        <w:rPr>
          <w:highlight w:val="green"/>
        </w:rPr>
        <w:t xml:space="preserve"> the dead as a praiseworthy citizen who ranked his duty to the </w:t>
      </w:r>
      <w:r w:rsidRPr="00EE310D">
        <w:rPr>
          <w:i/>
          <w:highlight w:val="green"/>
        </w:rPr>
        <w:t xml:space="preserve">polis </w:t>
      </w:r>
      <w:r w:rsidRPr="00EE310D">
        <w:rPr>
          <w:highlight w:val="green"/>
        </w:rPr>
        <w:t>above all else. The rarity of naval scenes could also highlight a shift from Athens as a naval power (since its defeat in 404 BC) to a greater focus on its land armies.</w:t>
      </w:r>
    </w:p>
    <w:p w:rsidR="001142B0" w:rsidRPr="00EE310D" w:rsidRDefault="00005B13">
      <w:pPr>
        <w:spacing w:before="240" w:line="360" w:lineRule="auto"/>
        <w:jc w:val="both"/>
        <w:rPr>
          <w:highlight w:val="green"/>
        </w:rPr>
      </w:pPr>
      <w:r w:rsidRPr="00EE310D">
        <w:rPr>
          <w:highlight w:val="green"/>
        </w:rPr>
        <w:t>There ar</w:t>
      </w:r>
      <w:r w:rsidRPr="00EE310D">
        <w:rPr>
          <w:highlight w:val="green"/>
        </w:rPr>
        <w:t xml:space="preserve">e inherent problems when dating individual grave reliefs, because any attempts are set against a chronology which is based almost entirely on relative dates. With the exception of inscriptions recording the archon years of the subject’s death (namely </w:t>
      </w:r>
      <w:r w:rsidRPr="00EE310D">
        <w:rPr>
          <w:i/>
          <w:highlight w:val="green"/>
        </w:rPr>
        <w:t>stele</w:t>
      </w:r>
      <w:r w:rsidRPr="00EE310D">
        <w:rPr>
          <w:b/>
          <w:i/>
          <w:highlight w:val="green"/>
        </w:rPr>
        <w:t xml:space="preserve"> </w:t>
      </w:r>
      <w:r w:rsidRPr="00EE310D">
        <w:rPr>
          <w:b/>
          <w:highlight w:val="green"/>
        </w:rPr>
        <w:t>12</w:t>
      </w:r>
      <w:r w:rsidRPr="00EE310D">
        <w:rPr>
          <w:highlight w:val="green"/>
        </w:rPr>
        <w:t xml:space="preserve">), a stylistic interpretation can only pinpoint broad trends in the classical style. As a </w:t>
      </w:r>
      <w:proofErr w:type="gramStart"/>
      <w:r w:rsidRPr="00EE310D">
        <w:rPr>
          <w:highlight w:val="green"/>
        </w:rPr>
        <w:t>result</w:t>
      </w:r>
      <w:proofErr w:type="gramEnd"/>
      <w:r w:rsidRPr="00EE310D">
        <w:rPr>
          <w:highlight w:val="green"/>
        </w:rPr>
        <w:t xml:space="preserve"> it would be ill-advised to assign a particular relief to a specific event, unless it was known to have had a lasting effect on the Attic region. For example</w:t>
      </w:r>
      <w:r w:rsidRPr="00EE310D">
        <w:rPr>
          <w:highlight w:val="green"/>
        </w:rPr>
        <w:t xml:space="preserve">, the citizenship laws of 451/0 BC arguably inspired the newfound prominence of Athenian women and the position of the mother in the family after the re-emergence of grave reliefs, in an attempt to secure the family estate. The 317 BC funerary legislation </w:t>
      </w:r>
      <w:r w:rsidRPr="00EE310D">
        <w:rPr>
          <w:highlight w:val="green"/>
        </w:rPr>
        <w:t>of Demetrios abruptly ended the decorative bombast of later grave monuments. The law acknowledged how competition among the social elite was originally curbed in the late 6</w:t>
      </w:r>
      <w:r w:rsidRPr="00EE310D">
        <w:rPr>
          <w:highlight w:val="green"/>
          <w:vertAlign w:val="superscript"/>
        </w:rPr>
        <w:t>th</w:t>
      </w:r>
      <w:r w:rsidRPr="00EE310D">
        <w:rPr>
          <w:highlight w:val="green"/>
        </w:rPr>
        <w:t xml:space="preserve"> or early 5</w:t>
      </w:r>
      <w:r w:rsidRPr="00EE310D">
        <w:rPr>
          <w:highlight w:val="green"/>
          <w:vertAlign w:val="superscript"/>
        </w:rPr>
        <w:t>th</w:t>
      </w:r>
      <w:r w:rsidRPr="00EE310D">
        <w:rPr>
          <w:highlight w:val="green"/>
        </w:rPr>
        <w:t xml:space="preserve"> century </w:t>
      </w:r>
      <w:proofErr w:type="gramStart"/>
      <w:r w:rsidRPr="00EE310D">
        <w:rPr>
          <w:highlight w:val="green"/>
        </w:rPr>
        <w:t>BC, but</w:t>
      </w:r>
      <w:proofErr w:type="gramEnd"/>
      <w:r w:rsidRPr="00EE310D">
        <w:rPr>
          <w:highlight w:val="green"/>
        </w:rPr>
        <w:t xml:space="preserve"> had returned to Attic funerary practices in the 430’</w:t>
      </w:r>
      <w:r w:rsidRPr="00EE310D">
        <w:rPr>
          <w:highlight w:val="green"/>
        </w:rPr>
        <w:t xml:space="preserve">s BC. The concept had firmly ingrained itself in later grave reliefs, which partly explains the popularity of funerary monuments as a medium for self-promotion. Dedicators accentuated the deceased’s career in the </w:t>
      </w:r>
      <w:r w:rsidRPr="00EE310D">
        <w:rPr>
          <w:i/>
          <w:highlight w:val="green"/>
        </w:rPr>
        <w:t>polis</w:t>
      </w:r>
      <w:r w:rsidRPr="00EE310D">
        <w:rPr>
          <w:highlight w:val="green"/>
        </w:rPr>
        <w:t>, either publicly or implicitly throug</w:t>
      </w:r>
      <w:r w:rsidRPr="00EE310D">
        <w:rPr>
          <w:highlight w:val="green"/>
        </w:rPr>
        <w:t xml:space="preserve">h the running of the </w:t>
      </w:r>
      <w:r w:rsidRPr="00EE310D">
        <w:rPr>
          <w:i/>
          <w:highlight w:val="green"/>
        </w:rPr>
        <w:t>oikos</w:t>
      </w:r>
      <w:r w:rsidRPr="00EE310D">
        <w:rPr>
          <w:highlight w:val="green"/>
        </w:rPr>
        <w:t xml:space="preserve">. When considered in tandem with the </w:t>
      </w:r>
      <w:proofErr w:type="gramStart"/>
      <w:r w:rsidRPr="00EE310D">
        <w:rPr>
          <w:highlight w:val="green"/>
        </w:rPr>
        <w:t>sometimes blatant</w:t>
      </w:r>
      <w:proofErr w:type="gramEnd"/>
      <w:r w:rsidRPr="00EE310D">
        <w:rPr>
          <w:highlight w:val="green"/>
        </w:rPr>
        <w:t xml:space="preserve"> attempts to maximise visibility in grave precincts, the public praise they sought to generate would contribute to the family manifesto. </w:t>
      </w:r>
    </w:p>
    <w:p w:rsidR="001142B0" w:rsidRDefault="00005B13">
      <w:pPr>
        <w:spacing w:before="240" w:line="360" w:lineRule="auto"/>
        <w:jc w:val="both"/>
      </w:pPr>
      <w:bookmarkStart w:id="0" w:name="_gjdgxs" w:colFirst="0" w:colLast="0"/>
      <w:bookmarkEnd w:id="0"/>
      <w:r w:rsidRPr="00EE310D">
        <w:rPr>
          <w:highlight w:val="green"/>
        </w:rPr>
        <w:lastRenderedPageBreak/>
        <w:t xml:space="preserve">The </w:t>
      </w:r>
      <w:r w:rsidRPr="00EE310D">
        <w:rPr>
          <w:i/>
          <w:highlight w:val="green"/>
        </w:rPr>
        <w:t xml:space="preserve">oikos </w:t>
      </w:r>
      <w:r w:rsidRPr="00EE310D">
        <w:rPr>
          <w:highlight w:val="green"/>
        </w:rPr>
        <w:t>cannot be ignored on funerar</w:t>
      </w:r>
      <w:r w:rsidRPr="00EE310D">
        <w:rPr>
          <w:highlight w:val="green"/>
        </w:rPr>
        <w:t xml:space="preserve">y scenes, because prosperity in the individual household was considered a crucial underlying factor in the long-term success of the </w:t>
      </w:r>
      <w:r w:rsidRPr="00EE310D">
        <w:rPr>
          <w:i/>
          <w:highlight w:val="green"/>
        </w:rPr>
        <w:t>polis</w:t>
      </w:r>
      <w:r w:rsidRPr="00EE310D">
        <w:rPr>
          <w:highlight w:val="green"/>
        </w:rPr>
        <w:t xml:space="preserve">. Indeed, the ultimate focus of attic grave reliefs was directed firmly towards the </w:t>
      </w:r>
      <w:r w:rsidRPr="00EE310D">
        <w:rPr>
          <w:i/>
          <w:highlight w:val="green"/>
        </w:rPr>
        <w:t>polis</w:t>
      </w:r>
      <w:r w:rsidRPr="00EE310D">
        <w:rPr>
          <w:highlight w:val="green"/>
        </w:rPr>
        <w:t>. The legacy of the deceased i</w:t>
      </w:r>
      <w:r w:rsidRPr="00EE310D">
        <w:rPr>
          <w:highlight w:val="green"/>
        </w:rPr>
        <w:t>ndividual, the benefits of a family dedicated relief, and the consolidation of social status are all achieved through Attic grave monuments.</w:t>
      </w:r>
      <w:bookmarkStart w:id="1" w:name="_GoBack"/>
      <w:bookmarkEnd w:id="1"/>
    </w:p>
    <w:sectPr w:rsidR="001142B0">
      <w:footerReference w:type="default" r:id="rId8"/>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B13" w:rsidRDefault="00005B13">
      <w:pPr>
        <w:spacing w:after="0" w:line="240" w:lineRule="auto"/>
      </w:pPr>
      <w:r>
        <w:separator/>
      </w:r>
    </w:p>
  </w:endnote>
  <w:endnote w:type="continuationSeparator" w:id="0">
    <w:p w:rsidR="00005B13" w:rsidRDefault="0000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B0" w:rsidRDefault="00005B1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470D43">
      <w:rPr>
        <w:color w:val="000000"/>
      </w:rPr>
      <w:fldChar w:fldCharType="separate"/>
    </w:r>
    <w:r w:rsidR="00470D43">
      <w:rPr>
        <w:noProof/>
        <w:color w:val="000000"/>
      </w:rPr>
      <w:t>2</w:t>
    </w:r>
    <w:r>
      <w:rPr>
        <w:color w:val="000000"/>
      </w:rPr>
      <w:fldChar w:fldCharType="end"/>
    </w:r>
  </w:p>
  <w:p w:rsidR="001142B0" w:rsidRDefault="001142B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B13" w:rsidRDefault="00005B13">
      <w:pPr>
        <w:spacing w:after="0" w:line="240" w:lineRule="auto"/>
      </w:pPr>
      <w:r>
        <w:separator/>
      </w:r>
    </w:p>
  </w:footnote>
  <w:footnote w:type="continuationSeparator" w:id="0">
    <w:p w:rsidR="00005B13" w:rsidRDefault="00005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16052"/>
    <w:multiLevelType w:val="multilevel"/>
    <w:tmpl w:val="FFF2A7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42B0"/>
    <w:rsid w:val="00005B13"/>
    <w:rsid w:val="001142B0"/>
    <w:rsid w:val="003F5735"/>
    <w:rsid w:val="00470D43"/>
    <w:rsid w:val="006F3D7E"/>
    <w:rsid w:val="009F653C"/>
    <w:rsid w:val="00AC74B0"/>
    <w:rsid w:val="00B972EC"/>
    <w:rsid w:val="00C82D03"/>
    <w:rsid w:val="00CB7A35"/>
    <w:rsid w:val="00D5410A"/>
    <w:rsid w:val="00EE310D"/>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7479369-3D79-5348-9648-DDA6EF62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seph.robson@lmh.ox.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5814</Words>
  <Characters>33142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Devin Ward</cp:lastModifiedBy>
  <cp:revision>2</cp:revision>
  <dcterms:created xsi:type="dcterms:W3CDTF">2018-07-16T11:00:00Z</dcterms:created>
  <dcterms:modified xsi:type="dcterms:W3CDTF">2018-07-16T15:41:00Z</dcterms:modified>
</cp:coreProperties>
</file>