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91B86" w14:textId="77777777" w:rsidR="00AF0739" w:rsidRPr="003C10D2" w:rsidRDefault="00E73D7C">
      <w:pPr>
        <w:rPr>
          <w:rFonts w:ascii="Times New Roman" w:hAnsi="Times New Roman" w:cs="Times New Roman"/>
        </w:rPr>
      </w:pPr>
      <w:r w:rsidRPr="003C10D2">
        <w:rPr>
          <w:rFonts w:ascii="Times New Roman" w:hAnsi="Times New Roman" w:cs="Times New Roman"/>
        </w:rPr>
        <w:t>Martha Wetzel</w:t>
      </w:r>
    </w:p>
    <w:p w14:paraId="4EA1DD4A" w14:textId="77777777" w:rsidR="00E73D7C" w:rsidRPr="003C10D2" w:rsidRDefault="00E73D7C">
      <w:pPr>
        <w:rPr>
          <w:rFonts w:ascii="Times New Roman" w:hAnsi="Times New Roman" w:cs="Times New Roman"/>
        </w:rPr>
      </w:pPr>
      <w:r w:rsidRPr="003C10D2">
        <w:rPr>
          <w:rFonts w:ascii="Times New Roman" w:hAnsi="Times New Roman" w:cs="Times New Roman"/>
        </w:rPr>
        <w:t>ECON 771</w:t>
      </w:r>
    </w:p>
    <w:p w14:paraId="32B3323B" w14:textId="77777777" w:rsidR="00E73D7C" w:rsidRPr="003C10D2" w:rsidRDefault="00E73D7C">
      <w:pPr>
        <w:rPr>
          <w:rFonts w:ascii="Times New Roman" w:hAnsi="Times New Roman" w:cs="Times New Roman"/>
        </w:rPr>
      </w:pPr>
      <w:r w:rsidRPr="003C10D2">
        <w:rPr>
          <w:rFonts w:ascii="Times New Roman" w:hAnsi="Times New Roman" w:cs="Times New Roman"/>
        </w:rPr>
        <w:t>Assignment 2</w:t>
      </w:r>
    </w:p>
    <w:p w14:paraId="1F9ACCD0" w14:textId="77777777" w:rsidR="00E73D7C" w:rsidRPr="003C10D2" w:rsidRDefault="00E73D7C">
      <w:pPr>
        <w:rPr>
          <w:rFonts w:ascii="Times New Roman" w:hAnsi="Times New Roman" w:cs="Times New Roman"/>
        </w:rPr>
      </w:pPr>
    </w:p>
    <w:p w14:paraId="10B01711" w14:textId="3E9261D8" w:rsidR="00E73D7C" w:rsidRPr="003C10D2" w:rsidRDefault="003C10D2" w:rsidP="00E73D7C">
      <w:pPr>
        <w:pStyle w:val="ListParagraph"/>
        <w:numPr>
          <w:ilvl w:val="0"/>
          <w:numId w:val="1"/>
        </w:numPr>
        <w:rPr>
          <w:rFonts w:ascii="Times New Roman" w:hAnsi="Times New Roman" w:cs="Times New Roman"/>
        </w:rPr>
      </w:pPr>
      <w:r>
        <w:rPr>
          <w:rFonts w:ascii="Times New Roman" w:hAnsi="Times New Roman" w:cs="Times New Roman"/>
        </w:rPr>
        <w:t>The table</w:t>
      </w:r>
      <w:r w:rsidR="003A05A3" w:rsidRPr="003C10D2">
        <w:rPr>
          <w:rFonts w:ascii="Times New Roman" w:hAnsi="Times New Roman" w:cs="Times New Roman"/>
        </w:rPr>
        <w:t xml:space="preserve"> below describes physician-level Medicare spending, services, and patients over the years 2012-2017. The median number of Medicare beneficiaries seen by a physician in a year was 515. Amount allowed, services, and beneficiaries were all heavily skewed. </w:t>
      </w:r>
    </w:p>
    <w:tbl>
      <w:tblPr>
        <w:tblW w:w="0" w:type="auto"/>
        <w:jc w:val="center"/>
        <w:tblLayout w:type="fixed"/>
        <w:tblCellMar>
          <w:left w:w="0" w:type="dxa"/>
          <w:right w:w="0" w:type="dxa"/>
        </w:tblCellMar>
        <w:tblLook w:val="0000" w:firstRow="0" w:lastRow="0" w:firstColumn="0" w:lastColumn="0" w:noHBand="0" w:noVBand="0"/>
      </w:tblPr>
      <w:tblGrid>
        <w:gridCol w:w="2304"/>
        <w:gridCol w:w="837"/>
        <w:gridCol w:w="1013"/>
        <w:gridCol w:w="1036"/>
        <w:gridCol w:w="12"/>
        <w:gridCol w:w="1048"/>
        <w:gridCol w:w="1092"/>
      </w:tblGrid>
      <w:tr w:rsidR="003A05A3" w:rsidRPr="003C10D2" w14:paraId="55571CF2" w14:textId="77777777" w:rsidTr="005A1C46">
        <w:trPr>
          <w:cantSplit/>
          <w:tblHeader/>
          <w:jc w:val="center"/>
        </w:trPr>
        <w:tc>
          <w:tcPr>
            <w:tcW w:w="2304" w:type="dxa"/>
            <w:tcBorders>
              <w:top w:val="single" w:sz="4" w:space="0" w:color="000000"/>
              <w:left w:val="nil"/>
              <w:bottom w:val="single" w:sz="23" w:space="0" w:color="000000"/>
              <w:right w:val="nil"/>
            </w:tcBorders>
            <w:shd w:val="clear" w:color="auto" w:fill="FFFFFF"/>
            <w:tcMar>
              <w:left w:w="58" w:type="dxa"/>
              <w:right w:w="58" w:type="dxa"/>
            </w:tcMar>
            <w:vAlign w:val="center"/>
          </w:tcPr>
          <w:p w14:paraId="4E718FF0"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bookmarkStart w:id="0" w:name="IDX"/>
            <w:bookmarkEnd w:id="0"/>
            <w:r w:rsidRPr="003C10D2">
              <w:rPr>
                <w:rFonts w:ascii="Times New Roman" w:eastAsiaTheme="minorEastAsia" w:hAnsi="Times New Roman" w:cs="Times New Roman"/>
                <w:b/>
                <w:bCs/>
                <w:color w:val="000000"/>
                <w:sz w:val="20"/>
                <w:szCs w:val="20"/>
              </w:rPr>
              <w:t>Variable</w:t>
            </w:r>
          </w:p>
        </w:tc>
        <w:tc>
          <w:tcPr>
            <w:tcW w:w="837" w:type="dxa"/>
            <w:tcBorders>
              <w:top w:val="single" w:sz="4" w:space="0" w:color="000000"/>
              <w:left w:val="nil"/>
              <w:bottom w:val="single" w:sz="23" w:space="0" w:color="000000"/>
              <w:right w:val="nil"/>
            </w:tcBorders>
            <w:shd w:val="clear" w:color="auto" w:fill="FFFFFF"/>
            <w:tcMar>
              <w:left w:w="58" w:type="dxa"/>
              <w:right w:w="58" w:type="dxa"/>
            </w:tcMar>
            <w:vAlign w:val="center"/>
          </w:tcPr>
          <w:p w14:paraId="75ABBCD5"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3C10D2">
              <w:rPr>
                <w:rFonts w:ascii="Times New Roman" w:eastAsiaTheme="minorEastAsia" w:hAnsi="Times New Roman" w:cs="Times New Roman"/>
                <w:b/>
                <w:bCs/>
                <w:color w:val="000000"/>
                <w:sz w:val="20"/>
                <w:szCs w:val="20"/>
              </w:rPr>
              <w:t>Mean</w:t>
            </w:r>
          </w:p>
        </w:tc>
        <w:tc>
          <w:tcPr>
            <w:tcW w:w="1013" w:type="dxa"/>
            <w:tcBorders>
              <w:top w:val="single" w:sz="4" w:space="0" w:color="000000"/>
              <w:left w:val="nil"/>
              <w:bottom w:val="single" w:sz="23" w:space="0" w:color="000000"/>
              <w:right w:val="nil"/>
            </w:tcBorders>
            <w:shd w:val="clear" w:color="auto" w:fill="FFFFFF"/>
            <w:tcMar>
              <w:left w:w="58" w:type="dxa"/>
              <w:right w:w="58" w:type="dxa"/>
            </w:tcMar>
            <w:vAlign w:val="center"/>
          </w:tcPr>
          <w:p w14:paraId="58781EA1"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3C10D2">
              <w:rPr>
                <w:rFonts w:ascii="Times New Roman" w:eastAsiaTheme="minorEastAsia" w:hAnsi="Times New Roman" w:cs="Times New Roman"/>
                <w:b/>
                <w:bCs/>
                <w:color w:val="000000"/>
                <w:sz w:val="20"/>
                <w:szCs w:val="20"/>
              </w:rPr>
              <w:t>Standard Deviation</w:t>
            </w:r>
          </w:p>
        </w:tc>
        <w:tc>
          <w:tcPr>
            <w:tcW w:w="1048" w:type="dxa"/>
            <w:gridSpan w:val="2"/>
            <w:tcBorders>
              <w:top w:val="single" w:sz="4" w:space="0" w:color="000000"/>
              <w:left w:val="nil"/>
              <w:bottom w:val="single" w:sz="23" w:space="0" w:color="000000"/>
              <w:right w:val="nil"/>
            </w:tcBorders>
            <w:shd w:val="clear" w:color="auto" w:fill="FFFFFF"/>
            <w:tcMar>
              <w:left w:w="58" w:type="dxa"/>
              <w:right w:w="58" w:type="dxa"/>
            </w:tcMar>
            <w:vAlign w:val="center"/>
          </w:tcPr>
          <w:p w14:paraId="133BEC05"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3C10D2">
              <w:rPr>
                <w:rFonts w:ascii="Times New Roman" w:eastAsiaTheme="minorEastAsia" w:hAnsi="Times New Roman" w:cs="Times New Roman"/>
                <w:b/>
                <w:bCs/>
                <w:color w:val="000000"/>
                <w:sz w:val="20"/>
                <w:szCs w:val="20"/>
              </w:rPr>
              <w:t>Minimum</w:t>
            </w:r>
          </w:p>
        </w:tc>
        <w:tc>
          <w:tcPr>
            <w:tcW w:w="1048" w:type="dxa"/>
            <w:tcBorders>
              <w:top w:val="single" w:sz="4" w:space="0" w:color="000000"/>
              <w:left w:val="nil"/>
              <w:bottom w:val="single" w:sz="23" w:space="0" w:color="000000"/>
              <w:right w:val="nil"/>
            </w:tcBorders>
            <w:shd w:val="clear" w:color="auto" w:fill="FFFFFF"/>
            <w:tcMar>
              <w:left w:w="58" w:type="dxa"/>
              <w:right w:w="58" w:type="dxa"/>
            </w:tcMar>
            <w:vAlign w:val="center"/>
          </w:tcPr>
          <w:p w14:paraId="7CDA3402"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3C10D2">
              <w:rPr>
                <w:rFonts w:ascii="Times New Roman" w:eastAsiaTheme="minorEastAsia" w:hAnsi="Times New Roman" w:cs="Times New Roman"/>
                <w:b/>
                <w:bCs/>
                <w:color w:val="000000"/>
                <w:sz w:val="20"/>
                <w:szCs w:val="20"/>
              </w:rPr>
              <w:t>50th Percentile (Median)</w:t>
            </w:r>
          </w:p>
        </w:tc>
        <w:tc>
          <w:tcPr>
            <w:tcW w:w="1092" w:type="dxa"/>
            <w:tcBorders>
              <w:top w:val="single" w:sz="4" w:space="0" w:color="000000"/>
              <w:left w:val="nil"/>
              <w:bottom w:val="single" w:sz="23" w:space="0" w:color="000000"/>
              <w:right w:val="nil"/>
            </w:tcBorders>
            <w:shd w:val="clear" w:color="auto" w:fill="FFFFFF"/>
            <w:tcMar>
              <w:left w:w="58" w:type="dxa"/>
              <w:right w:w="58" w:type="dxa"/>
            </w:tcMar>
            <w:vAlign w:val="center"/>
          </w:tcPr>
          <w:p w14:paraId="5A0A39C5"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3C10D2">
              <w:rPr>
                <w:rFonts w:ascii="Times New Roman" w:eastAsiaTheme="minorEastAsia" w:hAnsi="Times New Roman" w:cs="Times New Roman"/>
                <w:b/>
                <w:bCs/>
                <w:color w:val="000000"/>
                <w:sz w:val="20"/>
                <w:szCs w:val="20"/>
              </w:rPr>
              <w:t>Maximum</w:t>
            </w:r>
          </w:p>
        </w:tc>
      </w:tr>
      <w:tr w:rsidR="003A05A3" w:rsidRPr="003C10D2" w14:paraId="08F49395" w14:textId="77777777" w:rsidTr="005A1C46">
        <w:trPr>
          <w:cantSplit/>
          <w:jc w:val="center"/>
        </w:trPr>
        <w:tc>
          <w:tcPr>
            <w:tcW w:w="2304" w:type="dxa"/>
            <w:tcBorders>
              <w:top w:val="nil"/>
              <w:left w:val="nil"/>
              <w:bottom w:val="nil"/>
              <w:right w:val="nil"/>
            </w:tcBorders>
            <w:shd w:val="clear" w:color="auto" w:fill="FFFFFF"/>
            <w:tcMar>
              <w:left w:w="58" w:type="dxa"/>
              <w:right w:w="58" w:type="dxa"/>
            </w:tcMar>
          </w:tcPr>
          <w:p w14:paraId="09FE5CB7" w14:textId="77777777" w:rsidR="003A05A3" w:rsidRPr="003C10D2" w:rsidRDefault="003A05A3" w:rsidP="003A05A3">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Total Amt Allowed</w:t>
            </w:r>
          </w:p>
        </w:tc>
        <w:tc>
          <w:tcPr>
            <w:tcW w:w="837" w:type="dxa"/>
            <w:tcBorders>
              <w:top w:val="nil"/>
              <w:left w:val="nil"/>
              <w:bottom w:val="nil"/>
              <w:right w:val="nil"/>
            </w:tcBorders>
            <w:shd w:val="clear" w:color="auto" w:fill="FFFFFF"/>
            <w:tcMar>
              <w:left w:w="58" w:type="dxa"/>
              <w:right w:w="58" w:type="dxa"/>
            </w:tcMar>
          </w:tcPr>
          <w:p w14:paraId="7E378210" w14:textId="77777777" w:rsidR="003A05A3" w:rsidRPr="003C10D2" w:rsidRDefault="003A05A3" w:rsidP="003A05A3">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136,570</w:t>
            </w:r>
          </w:p>
        </w:tc>
        <w:tc>
          <w:tcPr>
            <w:tcW w:w="1013" w:type="dxa"/>
            <w:tcBorders>
              <w:top w:val="nil"/>
              <w:left w:val="nil"/>
              <w:bottom w:val="nil"/>
              <w:right w:val="nil"/>
            </w:tcBorders>
            <w:shd w:val="clear" w:color="auto" w:fill="FFFFFF"/>
            <w:tcMar>
              <w:left w:w="58" w:type="dxa"/>
              <w:right w:w="58" w:type="dxa"/>
            </w:tcMar>
          </w:tcPr>
          <w:p w14:paraId="328598BF" w14:textId="77777777" w:rsidR="003A05A3" w:rsidRPr="003C10D2" w:rsidRDefault="003A05A3" w:rsidP="003A05A3">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278,311</w:t>
            </w:r>
          </w:p>
        </w:tc>
        <w:tc>
          <w:tcPr>
            <w:tcW w:w="1048" w:type="dxa"/>
            <w:gridSpan w:val="2"/>
            <w:tcBorders>
              <w:top w:val="nil"/>
              <w:left w:val="nil"/>
              <w:bottom w:val="nil"/>
              <w:right w:val="nil"/>
            </w:tcBorders>
            <w:shd w:val="clear" w:color="auto" w:fill="FFFFFF"/>
            <w:tcMar>
              <w:left w:w="58" w:type="dxa"/>
              <w:right w:w="58" w:type="dxa"/>
            </w:tcMar>
          </w:tcPr>
          <w:p w14:paraId="4A41B7D2" w14:textId="77777777" w:rsidR="003A05A3" w:rsidRPr="003C10D2" w:rsidRDefault="003A05A3" w:rsidP="003A05A3">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1</w:t>
            </w:r>
          </w:p>
        </w:tc>
        <w:tc>
          <w:tcPr>
            <w:tcW w:w="1048" w:type="dxa"/>
            <w:tcBorders>
              <w:top w:val="nil"/>
              <w:left w:val="nil"/>
              <w:bottom w:val="nil"/>
              <w:right w:val="nil"/>
            </w:tcBorders>
            <w:shd w:val="clear" w:color="auto" w:fill="FFFFFF"/>
            <w:tcMar>
              <w:left w:w="58" w:type="dxa"/>
              <w:right w:w="58" w:type="dxa"/>
            </w:tcMar>
          </w:tcPr>
          <w:p w14:paraId="5635C45C" w14:textId="77777777" w:rsidR="003A05A3" w:rsidRPr="003C10D2" w:rsidRDefault="003A05A3" w:rsidP="003A05A3">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67,153</w:t>
            </w:r>
          </w:p>
        </w:tc>
        <w:tc>
          <w:tcPr>
            <w:tcW w:w="1092" w:type="dxa"/>
            <w:tcBorders>
              <w:top w:val="nil"/>
              <w:left w:val="nil"/>
              <w:bottom w:val="nil"/>
              <w:right w:val="nil"/>
            </w:tcBorders>
            <w:shd w:val="clear" w:color="auto" w:fill="FFFFFF"/>
            <w:tcMar>
              <w:left w:w="58" w:type="dxa"/>
              <w:right w:w="58" w:type="dxa"/>
            </w:tcMar>
          </w:tcPr>
          <w:p w14:paraId="67BAEBCA" w14:textId="77777777" w:rsidR="003A05A3" w:rsidRPr="003C10D2" w:rsidRDefault="003A05A3" w:rsidP="003A05A3">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26,288,558</w:t>
            </w:r>
          </w:p>
        </w:tc>
      </w:tr>
      <w:tr w:rsidR="003A05A3" w:rsidRPr="003C10D2" w14:paraId="5A31F25E" w14:textId="77777777" w:rsidTr="005A1C46">
        <w:trPr>
          <w:cantSplit/>
          <w:jc w:val="center"/>
        </w:trPr>
        <w:tc>
          <w:tcPr>
            <w:tcW w:w="2304" w:type="dxa"/>
            <w:tcBorders>
              <w:top w:val="nil"/>
              <w:left w:val="nil"/>
              <w:bottom w:val="nil"/>
              <w:right w:val="nil"/>
            </w:tcBorders>
            <w:shd w:val="clear" w:color="auto" w:fill="FFFFFF"/>
            <w:tcMar>
              <w:left w:w="58" w:type="dxa"/>
              <w:right w:w="58" w:type="dxa"/>
            </w:tcMar>
          </w:tcPr>
          <w:p w14:paraId="29CE5D86" w14:textId="77777777" w:rsidR="003A05A3" w:rsidRPr="003C10D2" w:rsidRDefault="003A05A3" w:rsidP="003A05A3">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Number of Services</w:t>
            </w:r>
          </w:p>
        </w:tc>
        <w:tc>
          <w:tcPr>
            <w:tcW w:w="837" w:type="dxa"/>
            <w:tcBorders>
              <w:top w:val="nil"/>
              <w:left w:val="nil"/>
              <w:bottom w:val="nil"/>
              <w:right w:val="nil"/>
            </w:tcBorders>
            <w:shd w:val="clear" w:color="auto" w:fill="FFFFFF"/>
            <w:tcMar>
              <w:left w:w="58" w:type="dxa"/>
              <w:right w:w="58" w:type="dxa"/>
            </w:tcMar>
          </w:tcPr>
          <w:p w14:paraId="6CE69F77"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2,676</w:t>
            </w:r>
          </w:p>
        </w:tc>
        <w:tc>
          <w:tcPr>
            <w:tcW w:w="1013" w:type="dxa"/>
            <w:tcBorders>
              <w:top w:val="nil"/>
              <w:left w:val="nil"/>
              <w:bottom w:val="nil"/>
              <w:right w:val="nil"/>
            </w:tcBorders>
            <w:shd w:val="clear" w:color="auto" w:fill="FFFFFF"/>
            <w:tcMar>
              <w:left w:w="58" w:type="dxa"/>
              <w:right w:w="58" w:type="dxa"/>
            </w:tcMar>
          </w:tcPr>
          <w:p w14:paraId="66808480"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12,863</w:t>
            </w:r>
          </w:p>
        </w:tc>
        <w:tc>
          <w:tcPr>
            <w:tcW w:w="1048" w:type="dxa"/>
            <w:gridSpan w:val="2"/>
            <w:tcBorders>
              <w:top w:val="nil"/>
              <w:left w:val="nil"/>
              <w:bottom w:val="nil"/>
              <w:right w:val="nil"/>
            </w:tcBorders>
            <w:shd w:val="clear" w:color="auto" w:fill="FFFFFF"/>
            <w:tcMar>
              <w:left w:w="58" w:type="dxa"/>
              <w:right w:w="58" w:type="dxa"/>
            </w:tcMar>
          </w:tcPr>
          <w:p w14:paraId="6B680E78"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4</w:t>
            </w:r>
          </w:p>
        </w:tc>
        <w:tc>
          <w:tcPr>
            <w:tcW w:w="1048" w:type="dxa"/>
            <w:tcBorders>
              <w:top w:val="nil"/>
              <w:left w:val="nil"/>
              <w:bottom w:val="nil"/>
              <w:right w:val="nil"/>
            </w:tcBorders>
            <w:shd w:val="clear" w:color="auto" w:fill="FFFFFF"/>
            <w:tcMar>
              <w:left w:w="58" w:type="dxa"/>
              <w:right w:w="58" w:type="dxa"/>
            </w:tcMar>
          </w:tcPr>
          <w:p w14:paraId="120007FC"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786</w:t>
            </w:r>
          </w:p>
        </w:tc>
        <w:tc>
          <w:tcPr>
            <w:tcW w:w="1092" w:type="dxa"/>
            <w:tcBorders>
              <w:top w:val="nil"/>
              <w:left w:val="nil"/>
              <w:bottom w:val="nil"/>
              <w:right w:val="nil"/>
            </w:tcBorders>
            <w:shd w:val="clear" w:color="auto" w:fill="FFFFFF"/>
            <w:tcMar>
              <w:left w:w="58" w:type="dxa"/>
              <w:right w:w="58" w:type="dxa"/>
            </w:tcMar>
          </w:tcPr>
          <w:p w14:paraId="263F01BA" w14:textId="77777777" w:rsidR="003A05A3" w:rsidRPr="003C10D2" w:rsidRDefault="003A05A3" w:rsidP="003A05A3">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5,750,425</w:t>
            </w:r>
          </w:p>
        </w:tc>
      </w:tr>
      <w:tr w:rsidR="003A05A3" w:rsidRPr="003C10D2" w14:paraId="0E8F56CB" w14:textId="77777777" w:rsidTr="005A1C46">
        <w:trPr>
          <w:cantSplit/>
          <w:jc w:val="center"/>
        </w:trPr>
        <w:tc>
          <w:tcPr>
            <w:tcW w:w="2304" w:type="dxa"/>
            <w:tcBorders>
              <w:top w:val="nil"/>
              <w:left w:val="nil"/>
              <w:bottom w:val="single" w:sz="4" w:space="0" w:color="000000"/>
              <w:right w:val="nil"/>
            </w:tcBorders>
            <w:shd w:val="clear" w:color="auto" w:fill="FFFFFF"/>
            <w:tcMar>
              <w:left w:w="58" w:type="dxa"/>
              <w:right w:w="58" w:type="dxa"/>
            </w:tcMar>
          </w:tcPr>
          <w:p w14:paraId="492BEA06" w14:textId="77777777" w:rsidR="003A05A3" w:rsidRPr="003C10D2" w:rsidRDefault="003A05A3" w:rsidP="003A05A3">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Number of Medicare Beneficiaries</w:t>
            </w:r>
          </w:p>
        </w:tc>
        <w:tc>
          <w:tcPr>
            <w:tcW w:w="837" w:type="dxa"/>
            <w:tcBorders>
              <w:top w:val="nil"/>
              <w:left w:val="nil"/>
              <w:bottom w:val="single" w:sz="4" w:space="0" w:color="000000"/>
              <w:right w:val="nil"/>
            </w:tcBorders>
            <w:shd w:val="clear" w:color="auto" w:fill="FFFFFF"/>
            <w:tcMar>
              <w:left w:w="58" w:type="dxa"/>
              <w:right w:w="58" w:type="dxa"/>
            </w:tcMar>
          </w:tcPr>
          <w:p w14:paraId="34BDB4E8" w14:textId="77777777" w:rsidR="003A05A3" w:rsidRPr="003C10D2" w:rsidRDefault="003A05A3" w:rsidP="003A05A3">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1,014</w:t>
            </w:r>
          </w:p>
        </w:tc>
        <w:tc>
          <w:tcPr>
            <w:tcW w:w="1013" w:type="dxa"/>
            <w:tcBorders>
              <w:top w:val="nil"/>
              <w:left w:val="nil"/>
              <w:bottom w:val="single" w:sz="4" w:space="0" w:color="000000"/>
              <w:right w:val="nil"/>
            </w:tcBorders>
            <w:shd w:val="clear" w:color="auto" w:fill="FFFFFF"/>
            <w:tcMar>
              <w:left w:w="58" w:type="dxa"/>
              <w:right w:w="58" w:type="dxa"/>
            </w:tcMar>
          </w:tcPr>
          <w:p w14:paraId="6CD2021E" w14:textId="77777777" w:rsidR="003A05A3" w:rsidRPr="003C10D2" w:rsidRDefault="003A05A3" w:rsidP="003A05A3">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1,933</w:t>
            </w:r>
          </w:p>
        </w:tc>
        <w:tc>
          <w:tcPr>
            <w:tcW w:w="1048" w:type="dxa"/>
            <w:gridSpan w:val="2"/>
            <w:tcBorders>
              <w:top w:val="nil"/>
              <w:left w:val="nil"/>
              <w:bottom w:val="single" w:sz="4" w:space="0" w:color="000000"/>
              <w:right w:val="nil"/>
            </w:tcBorders>
            <w:shd w:val="clear" w:color="auto" w:fill="FFFFFF"/>
            <w:tcMar>
              <w:left w:w="58" w:type="dxa"/>
              <w:right w:w="58" w:type="dxa"/>
            </w:tcMar>
          </w:tcPr>
          <w:p w14:paraId="4FA830EF" w14:textId="77777777" w:rsidR="003A05A3" w:rsidRPr="003C10D2" w:rsidRDefault="003A05A3" w:rsidP="003A05A3">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11</w:t>
            </w:r>
          </w:p>
        </w:tc>
        <w:tc>
          <w:tcPr>
            <w:tcW w:w="1048" w:type="dxa"/>
            <w:tcBorders>
              <w:top w:val="nil"/>
              <w:left w:val="nil"/>
              <w:bottom w:val="single" w:sz="4" w:space="0" w:color="000000"/>
              <w:right w:val="nil"/>
            </w:tcBorders>
            <w:shd w:val="clear" w:color="auto" w:fill="FFFFFF"/>
            <w:tcMar>
              <w:left w:w="58" w:type="dxa"/>
              <w:right w:w="58" w:type="dxa"/>
            </w:tcMar>
          </w:tcPr>
          <w:p w14:paraId="026A1A5E" w14:textId="77777777" w:rsidR="003A05A3" w:rsidRPr="003C10D2" w:rsidRDefault="003A05A3" w:rsidP="003A05A3">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515</w:t>
            </w:r>
          </w:p>
        </w:tc>
        <w:tc>
          <w:tcPr>
            <w:tcW w:w="1092" w:type="dxa"/>
            <w:tcBorders>
              <w:top w:val="nil"/>
              <w:left w:val="nil"/>
              <w:bottom w:val="single" w:sz="4" w:space="0" w:color="000000"/>
              <w:right w:val="nil"/>
            </w:tcBorders>
            <w:shd w:val="clear" w:color="auto" w:fill="FFFFFF"/>
            <w:tcMar>
              <w:left w:w="58" w:type="dxa"/>
              <w:right w:w="58" w:type="dxa"/>
            </w:tcMar>
          </w:tcPr>
          <w:p w14:paraId="3B823DF3" w14:textId="77777777" w:rsidR="003A05A3" w:rsidRPr="003C10D2" w:rsidRDefault="003A05A3" w:rsidP="003A05A3">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724,700</w:t>
            </w:r>
          </w:p>
        </w:tc>
      </w:tr>
      <w:tr w:rsidR="003A05A3" w:rsidRPr="003C10D2" w14:paraId="4CDD944F" w14:textId="77777777" w:rsidTr="005A1C46">
        <w:tblPrEx>
          <w:jc w:val="left"/>
        </w:tblPrEx>
        <w:trPr>
          <w:gridAfter w:val="3"/>
          <w:wAfter w:w="2152" w:type="dxa"/>
          <w:cantSplit/>
        </w:trPr>
        <w:tc>
          <w:tcPr>
            <w:tcW w:w="5190" w:type="dxa"/>
            <w:gridSpan w:val="4"/>
            <w:tcBorders>
              <w:top w:val="nil"/>
              <w:left w:val="nil"/>
              <w:bottom w:val="nil"/>
              <w:right w:val="nil"/>
            </w:tcBorders>
            <w:shd w:val="clear" w:color="auto" w:fill="FFFFFF"/>
          </w:tcPr>
          <w:p w14:paraId="2C01671D" w14:textId="77777777" w:rsidR="003A05A3" w:rsidRPr="003C10D2" w:rsidRDefault="003A05A3" w:rsidP="003A05A3">
            <w:pPr>
              <w:autoSpaceDE w:val="0"/>
              <w:autoSpaceDN w:val="0"/>
              <w:adjustRightInd w:val="0"/>
              <w:spacing w:after="0" w:line="240" w:lineRule="auto"/>
              <w:rPr>
                <w:rFonts w:ascii="Times New Roman" w:eastAsiaTheme="minorEastAsia" w:hAnsi="Times New Roman" w:cs="Times New Roman"/>
                <w:color w:val="000000"/>
                <w:sz w:val="20"/>
                <w:szCs w:val="20"/>
              </w:rPr>
            </w:pPr>
            <w:r w:rsidRPr="003C10D2">
              <w:rPr>
                <w:rFonts w:ascii="Times New Roman" w:eastAsiaTheme="minorEastAsia" w:hAnsi="Times New Roman" w:cs="Times New Roman"/>
                <w:color w:val="000000"/>
                <w:sz w:val="20"/>
                <w:szCs w:val="20"/>
              </w:rPr>
              <w:t>Summary statistics based on 3,012,951 physician-years.</w:t>
            </w:r>
          </w:p>
        </w:tc>
      </w:tr>
    </w:tbl>
    <w:p w14:paraId="6B8F6D31" w14:textId="77777777" w:rsidR="003A05A3" w:rsidRPr="003C10D2" w:rsidRDefault="003A05A3" w:rsidP="003A05A3">
      <w:pPr>
        <w:rPr>
          <w:rFonts w:ascii="Times New Roman" w:hAnsi="Times New Roman" w:cs="Times New Roman"/>
        </w:rPr>
      </w:pPr>
    </w:p>
    <w:p w14:paraId="785CF07A" w14:textId="62DC6127" w:rsidR="004408B9" w:rsidRPr="003C10D2" w:rsidRDefault="003C10D2" w:rsidP="003A7365">
      <w:pPr>
        <w:pStyle w:val="ListParagraph"/>
        <w:numPr>
          <w:ilvl w:val="0"/>
          <w:numId w:val="1"/>
        </w:numPr>
        <w:rPr>
          <w:rFonts w:ascii="Times New Roman" w:hAnsi="Times New Roman" w:cs="Times New Roman"/>
        </w:rPr>
      </w:pPr>
      <w:r>
        <w:rPr>
          <w:rFonts w:ascii="Times New Roman" w:hAnsi="Times New Roman" w:cs="Times New Roman"/>
        </w:rPr>
        <w:t>The figure below</w:t>
      </w:r>
      <w:r w:rsidR="003A7365" w:rsidRPr="003C10D2">
        <w:rPr>
          <w:rFonts w:ascii="Times New Roman" w:hAnsi="Times New Roman" w:cs="Times New Roman"/>
        </w:rPr>
        <w:t xml:space="preserve"> shows the mean number of services per physician per year, grouped by integration status. The integrated physicians have lower service counts than the non-integrated physicians.</w:t>
      </w:r>
    </w:p>
    <w:p w14:paraId="10E15BD2" w14:textId="06E74042" w:rsidR="003A7365" w:rsidRPr="003C10D2" w:rsidRDefault="003A7365" w:rsidP="003A7365">
      <w:pPr>
        <w:jc w:val="center"/>
        <w:rPr>
          <w:rFonts w:ascii="Times New Roman" w:hAnsi="Times New Roman" w:cs="Times New Roman"/>
        </w:rPr>
      </w:pPr>
      <w:r w:rsidRPr="003C10D2">
        <w:rPr>
          <w:rFonts w:ascii="Times New Roman" w:hAnsi="Times New Roman" w:cs="Times New Roman"/>
          <w:noProof/>
        </w:rPr>
        <w:drawing>
          <wp:inline distT="0" distB="0" distL="0" distR="0" wp14:anchorId="7098C53E" wp14:editId="0CED919A">
            <wp:extent cx="3524250" cy="29076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7089" cy="2926539"/>
                    </a:xfrm>
                    <a:prstGeom prst="rect">
                      <a:avLst/>
                    </a:prstGeom>
                  </pic:spPr>
                </pic:pic>
              </a:graphicData>
            </a:graphic>
          </wp:inline>
        </w:drawing>
      </w:r>
    </w:p>
    <w:p w14:paraId="3738522C" w14:textId="3A48184B" w:rsidR="003A7365" w:rsidRPr="003C10D2" w:rsidRDefault="003A2592" w:rsidP="00EA3394">
      <w:pPr>
        <w:pStyle w:val="ListParagraph"/>
        <w:numPr>
          <w:ilvl w:val="0"/>
          <w:numId w:val="1"/>
        </w:numPr>
        <w:rPr>
          <w:rFonts w:ascii="Times New Roman" w:hAnsi="Times New Roman" w:cs="Times New Roman"/>
        </w:rPr>
      </w:pPr>
      <w:r w:rsidRPr="003C10D2">
        <w:rPr>
          <w:rFonts w:ascii="Times New Roman" w:hAnsi="Times New Roman" w:cs="Times New Roman"/>
        </w:rPr>
        <w:t xml:space="preserve">The table below summarizes the results from an OLS regression </w:t>
      </w:r>
      <w:r w:rsidR="00EA3394" w:rsidRPr="003C10D2">
        <w:rPr>
          <w:rFonts w:ascii="Times New Roman" w:hAnsi="Times New Roman" w:cs="Times New Roman"/>
        </w:rPr>
        <w:t xml:space="preserve">of logged services on integration status. This shows </w:t>
      </w:r>
      <w:r w:rsidR="00045B1C" w:rsidRPr="003C10D2">
        <w:rPr>
          <w:rFonts w:ascii="Times New Roman" w:hAnsi="Times New Roman" w:cs="Times New Roman"/>
        </w:rPr>
        <w:t xml:space="preserve">that integration is associated with a </w:t>
      </w:r>
      <w:r w:rsidR="00563160" w:rsidRPr="003C10D2">
        <w:rPr>
          <w:rFonts w:ascii="Times New Roman" w:hAnsi="Times New Roman" w:cs="Times New Roman"/>
        </w:rPr>
        <w:t>33% decrease in services provided.</w:t>
      </w:r>
    </w:p>
    <w:tbl>
      <w:tblPr>
        <w:tblStyle w:val="Table"/>
        <w:tblW w:w="0" w:type="auto"/>
        <w:jc w:val="center"/>
        <w:tblInd w:w="0" w:type="dxa"/>
        <w:tblLayout w:type="fixed"/>
        <w:tblLook w:val="0420" w:firstRow="1" w:lastRow="0" w:firstColumn="0" w:lastColumn="0" w:noHBand="0" w:noVBand="1"/>
      </w:tblPr>
      <w:tblGrid>
        <w:gridCol w:w="1890"/>
        <w:gridCol w:w="1890"/>
      </w:tblGrid>
      <w:tr w:rsidR="00745B4A" w:rsidRPr="00745B4A" w14:paraId="6807A0A9" w14:textId="77777777" w:rsidTr="00563160">
        <w:trPr>
          <w:cnfStyle w:val="100000000000" w:firstRow="1" w:lastRow="0" w:firstColumn="0" w:lastColumn="0" w:oddVBand="0" w:evenVBand="0" w:oddHBand="0" w:evenHBand="0" w:firstRowFirstColumn="0" w:firstRowLastColumn="0" w:lastRowFirstColumn="0" w:lastRowLastColumn="0"/>
          <w:cantSplit/>
          <w:tblHeader/>
          <w:jc w:val="center"/>
        </w:trPr>
        <w:tc>
          <w:tcPr>
            <w:tcW w:w="189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B839367" w14:textId="78CA1B6B" w:rsidR="00745B4A" w:rsidRPr="00745B4A" w:rsidRDefault="00EC2536" w:rsidP="00745B4A">
            <w:pPr>
              <w:keepNext/>
              <w:spacing w:before="100" w:after="100"/>
              <w:ind w:left="100" w:right="100"/>
              <w:rPr>
                <w:rFonts w:ascii="Times New Roman" w:hAnsi="Times New Roman"/>
                <w:b/>
                <w:sz w:val="20"/>
              </w:rPr>
            </w:pPr>
            <w:r w:rsidRPr="00EC2536">
              <w:rPr>
                <w:rFonts w:ascii="Times New Roman" w:hAnsi="Times New Roman"/>
                <w:b/>
                <w:sz w:val="20"/>
              </w:rPr>
              <w:lastRenderedPageBreak/>
              <w:t>Variable</w:t>
            </w:r>
          </w:p>
        </w:tc>
        <w:tc>
          <w:tcPr>
            <w:tcW w:w="189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1BAD845" w14:textId="08830673" w:rsidR="00745B4A" w:rsidRPr="00745B4A" w:rsidRDefault="00563160" w:rsidP="00563160">
            <w:pPr>
              <w:keepNext/>
              <w:spacing w:before="100" w:after="100"/>
              <w:ind w:left="100" w:right="100"/>
              <w:jc w:val="center"/>
              <w:rPr>
                <w:rFonts w:ascii="Times New Roman" w:hAnsi="Times New Roman"/>
                <w:sz w:val="20"/>
              </w:rPr>
            </w:pPr>
            <w:r w:rsidRPr="003C10D2">
              <w:rPr>
                <w:rFonts w:ascii="Times New Roman" w:eastAsia="Arial" w:hAnsi="Times New Roman"/>
                <w:b/>
                <w:color w:val="000000"/>
                <w:sz w:val="20"/>
              </w:rPr>
              <w:t>OLS</w:t>
            </w:r>
          </w:p>
        </w:tc>
      </w:tr>
      <w:tr w:rsidR="00745B4A" w:rsidRPr="00745B4A" w14:paraId="06B651D5" w14:textId="77777777" w:rsidTr="00563160">
        <w:trPr>
          <w:cantSplit/>
          <w:jc w:val="center"/>
        </w:trPr>
        <w:tc>
          <w:tcPr>
            <w:tcW w:w="189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07AB6C2F" w14:textId="77777777" w:rsidR="00745B4A" w:rsidRPr="00745B4A" w:rsidRDefault="00745B4A" w:rsidP="00745B4A">
            <w:pPr>
              <w:keepNext/>
              <w:spacing w:before="100" w:after="100"/>
              <w:ind w:left="100" w:right="100"/>
              <w:rPr>
                <w:rFonts w:ascii="Times New Roman" w:hAnsi="Times New Roman"/>
                <w:sz w:val="20"/>
              </w:rPr>
            </w:pPr>
            <w:r w:rsidRPr="00745B4A">
              <w:rPr>
                <w:rFonts w:ascii="Times New Roman" w:eastAsia="Arial" w:hAnsi="Times New Roman"/>
                <w:color w:val="000000"/>
                <w:sz w:val="20"/>
              </w:rPr>
              <w:t>Integration</w:t>
            </w:r>
          </w:p>
        </w:tc>
        <w:tc>
          <w:tcPr>
            <w:tcW w:w="189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5661F30E" w14:textId="77777777" w:rsidR="00745B4A" w:rsidRPr="00745B4A" w:rsidRDefault="00745B4A" w:rsidP="00563160">
            <w:pPr>
              <w:keepNext/>
              <w:spacing w:before="100" w:after="100"/>
              <w:ind w:left="100" w:right="100"/>
              <w:jc w:val="center"/>
              <w:rPr>
                <w:rFonts w:ascii="Times New Roman" w:hAnsi="Times New Roman"/>
                <w:sz w:val="20"/>
              </w:rPr>
            </w:pPr>
            <w:r w:rsidRPr="00745B4A">
              <w:rPr>
                <w:rFonts w:ascii="Times New Roman" w:eastAsia="Arial" w:hAnsi="Times New Roman"/>
                <w:color w:val="000000"/>
                <w:sz w:val="20"/>
              </w:rPr>
              <w:t>0.67</w:t>
            </w:r>
          </w:p>
        </w:tc>
      </w:tr>
      <w:tr w:rsidR="00745B4A" w:rsidRPr="00745B4A" w14:paraId="4B6C75E9" w14:textId="77777777" w:rsidTr="00563160">
        <w:trPr>
          <w:cantSplit/>
          <w:jc w:val="center"/>
        </w:trPr>
        <w:tc>
          <w:tcPr>
            <w:tcW w:w="1890" w:type="dxa"/>
            <w:tcBorders>
              <w:top w:val="nil"/>
              <w:left w:val="nil"/>
              <w:bottom w:val="nil"/>
              <w:right w:val="nil"/>
            </w:tcBorders>
            <w:shd w:val="clear" w:color="auto" w:fill="FFFFFF"/>
            <w:tcMar>
              <w:top w:w="0" w:type="dxa"/>
              <w:left w:w="0" w:type="dxa"/>
              <w:bottom w:w="0" w:type="dxa"/>
              <w:right w:w="0" w:type="dxa"/>
            </w:tcMar>
            <w:vAlign w:val="center"/>
          </w:tcPr>
          <w:p w14:paraId="1B6E0184" w14:textId="77777777" w:rsidR="00745B4A" w:rsidRPr="00745B4A" w:rsidRDefault="00745B4A" w:rsidP="00745B4A">
            <w:pPr>
              <w:keepNext/>
              <w:spacing w:before="100" w:after="100"/>
              <w:ind w:left="100" w:right="100"/>
              <w:rPr>
                <w:rFonts w:ascii="Times New Roman" w:hAnsi="Times New Roman"/>
                <w:sz w:val="20"/>
              </w:rPr>
            </w:pPr>
          </w:p>
        </w:tc>
        <w:tc>
          <w:tcPr>
            <w:tcW w:w="1890" w:type="dxa"/>
            <w:tcBorders>
              <w:top w:val="nil"/>
              <w:left w:val="nil"/>
              <w:bottom w:val="nil"/>
              <w:right w:val="nil"/>
            </w:tcBorders>
            <w:shd w:val="clear" w:color="auto" w:fill="FFFFFF"/>
            <w:tcMar>
              <w:top w:w="0" w:type="dxa"/>
              <w:left w:w="0" w:type="dxa"/>
              <w:bottom w:w="0" w:type="dxa"/>
              <w:right w:w="0" w:type="dxa"/>
            </w:tcMar>
            <w:vAlign w:val="center"/>
            <w:hideMark/>
          </w:tcPr>
          <w:p w14:paraId="663CF413" w14:textId="77777777" w:rsidR="00745B4A" w:rsidRPr="00745B4A" w:rsidRDefault="00745B4A" w:rsidP="00563160">
            <w:pPr>
              <w:keepNext/>
              <w:spacing w:before="100" w:after="100"/>
              <w:ind w:left="100" w:right="100"/>
              <w:jc w:val="center"/>
              <w:rPr>
                <w:rFonts w:ascii="Times New Roman" w:hAnsi="Times New Roman"/>
                <w:sz w:val="20"/>
              </w:rPr>
            </w:pPr>
            <w:r w:rsidRPr="00745B4A">
              <w:rPr>
                <w:rFonts w:ascii="Times New Roman" w:eastAsia="Arial" w:hAnsi="Times New Roman"/>
                <w:color w:val="000000"/>
                <w:sz w:val="20"/>
              </w:rPr>
              <w:t>[0.66, 0.68]</w:t>
            </w:r>
          </w:p>
        </w:tc>
      </w:tr>
      <w:tr w:rsidR="00745B4A" w:rsidRPr="00745B4A" w14:paraId="35ABB1AA" w14:textId="77777777" w:rsidTr="00563160">
        <w:trPr>
          <w:cantSplit/>
          <w:jc w:val="center"/>
        </w:trPr>
        <w:tc>
          <w:tcPr>
            <w:tcW w:w="1890" w:type="dxa"/>
            <w:tcBorders>
              <w:top w:val="nil"/>
              <w:left w:val="nil"/>
              <w:bottom w:val="nil"/>
              <w:right w:val="nil"/>
            </w:tcBorders>
            <w:shd w:val="clear" w:color="auto" w:fill="FFFFFF"/>
            <w:tcMar>
              <w:top w:w="0" w:type="dxa"/>
              <w:left w:w="0" w:type="dxa"/>
              <w:bottom w:w="0" w:type="dxa"/>
              <w:right w:w="0" w:type="dxa"/>
            </w:tcMar>
            <w:vAlign w:val="center"/>
            <w:hideMark/>
          </w:tcPr>
          <w:p w14:paraId="1AF452E6" w14:textId="77777777" w:rsidR="00745B4A" w:rsidRPr="00745B4A" w:rsidRDefault="00745B4A" w:rsidP="00745B4A">
            <w:pPr>
              <w:keepNext/>
              <w:spacing w:before="100" w:after="100"/>
              <w:ind w:left="100" w:right="100"/>
              <w:rPr>
                <w:rFonts w:ascii="Times New Roman" w:hAnsi="Times New Roman"/>
                <w:sz w:val="20"/>
              </w:rPr>
            </w:pPr>
            <w:r w:rsidRPr="00745B4A">
              <w:rPr>
                <w:rFonts w:ascii="Times New Roman" w:eastAsia="Arial" w:hAnsi="Times New Roman"/>
                <w:color w:val="000000"/>
                <w:sz w:val="20"/>
              </w:rPr>
              <w:t>Age</w:t>
            </w:r>
          </w:p>
        </w:tc>
        <w:tc>
          <w:tcPr>
            <w:tcW w:w="1890" w:type="dxa"/>
            <w:tcBorders>
              <w:top w:val="nil"/>
              <w:left w:val="nil"/>
              <w:bottom w:val="nil"/>
              <w:right w:val="nil"/>
            </w:tcBorders>
            <w:shd w:val="clear" w:color="auto" w:fill="FFFFFF"/>
            <w:tcMar>
              <w:top w:w="0" w:type="dxa"/>
              <w:left w:w="0" w:type="dxa"/>
              <w:bottom w:w="0" w:type="dxa"/>
              <w:right w:w="0" w:type="dxa"/>
            </w:tcMar>
            <w:vAlign w:val="center"/>
            <w:hideMark/>
          </w:tcPr>
          <w:p w14:paraId="2A1D0092" w14:textId="77777777" w:rsidR="00745B4A" w:rsidRPr="00745B4A" w:rsidRDefault="00745B4A" w:rsidP="00563160">
            <w:pPr>
              <w:keepNext/>
              <w:spacing w:before="100" w:after="100"/>
              <w:ind w:left="100" w:right="100"/>
              <w:jc w:val="center"/>
              <w:rPr>
                <w:rFonts w:ascii="Times New Roman" w:hAnsi="Times New Roman"/>
                <w:sz w:val="20"/>
              </w:rPr>
            </w:pPr>
            <w:r w:rsidRPr="00745B4A">
              <w:rPr>
                <w:rFonts w:ascii="Times New Roman" w:eastAsia="Arial" w:hAnsi="Times New Roman"/>
                <w:color w:val="000000"/>
                <w:sz w:val="20"/>
              </w:rPr>
              <w:t>0.91</w:t>
            </w:r>
          </w:p>
        </w:tc>
      </w:tr>
      <w:tr w:rsidR="00745B4A" w:rsidRPr="00745B4A" w14:paraId="0A50210F" w14:textId="77777777" w:rsidTr="00563160">
        <w:trPr>
          <w:cantSplit/>
          <w:jc w:val="center"/>
        </w:trPr>
        <w:tc>
          <w:tcPr>
            <w:tcW w:w="1890" w:type="dxa"/>
            <w:tcBorders>
              <w:top w:val="nil"/>
              <w:left w:val="nil"/>
              <w:bottom w:val="nil"/>
              <w:right w:val="nil"/>
            </w:tcBorders>
            <w:shd w:val="clear" w:color="auto" w:fill="FFFFFF"/>
            <w:tcMar>
              <w:top w:w="0" w:type="dxa"/>
              <w:left w:w="0" w:type="dxa"/>
              <w:bottom w:w="0" w:type="dxa"/>
              <w:right w:w="0" w:type="dxa"/>
            </w:tcMar>
            <w:vAlign w:val="center"/>
          </w:tcPr>
          <w:p w14:paraId="16CB8B52" w14:textId="77777777" w:rsidR="00745B4A" w:rsidRPr="00745B4A" w:rsidRDefault="00745B4A" w:rsidP="00745B4A">
            <w:pPr>
              <w:keepNext/>
              <w:spacing w:before="100" w:after="100"/>
              <w:ind w:left="100" w:right="100"/>
              <w:rPr>
                <w:rFonts w:ascii="Times New Roman" w:hAnsi="Times New Roman"/>
                <w:sz w:val="20"/>
              </w:rPr>
            </w:pPr>
          </w:p>
        </w:tc>
        <w:tc>
          <w:tcPr>
            <w:tcW w:w="1890" w:type="dxa"/>
            <w:tcBorders>
              <w:top w:val="nil"/>
              <w:left w:val="nil"/>
              <w:bottom w:val="nil"/>
              <w:right w:val="nil"/>
            </w:tcBorders>
            <w:shd w:val="clear" w:color="auto" w:fill="FFFFFF"/>
            <w:tcMar>
              <w:top w:w="0" w:type="dxa"/>
              <w:left w:w="0" w:type="dxa"/>
              <w:bottom w:w="0" w:type="dxa"/>
              <w:right w:w="0" w:type="dxa"/>
            </w:tcMar>
            <w:vAlign w:val="center"/>
            <w:hideMark/>
          </w:tcPr>
          <w:p w14:paraId="19AC83FC" w14:textId="77777777" w:rsidR="00745B4A" w:rsidRPr="00745B4A" w:rsidRDefault="00745B4A" w:rsidP="00563160">
            <w:pPr>
              <w:keepNext/>
              <w:spacing w:before="100" w:after="100"/>
              <w:ind w:left="100" w:right="100"/>
              <w:jc w:val="center"/>
              <w:rPr>
                <w:rFonts w:ascii="Times New Roman" w:hAnsi="Times New Roman"/>
                <w:sz w:val="20"/>
              </w:rPr>
            </w:pPr>
            <w:r w:rsidRPr="00745B4A">
              <w:rPr>
                <w:rFonts w:ascii="Times New Roman" w:eastAsia="Arial" w:hAnsi="Times New Roman"/>
                <w:color w:val="000000"/>
                <w:sz w:val="20"/>
              </w:rPr>
              <w:t>[0.73, 1.15]</w:t>
            </w:r>
          </w:p>
        </w:tc>
      </w:tr>
      <w:tr w:rsidR="00745B4A" w:rsidRPr="00745B4A" w14:paraId="315BC539" w14:textId="77777777" w:rsidTr="00563160">
        <w:trPr>
          <w:cantSplit/>
          <w:jc w:val="center"/>
        </w:trPr>
        <w:tc>
          <w:tcPr>
            <w:tcW w:w="1890" w:type="dxa"/>
            <w:tcBorders>
              <w:top w:val="nil"/>
              <w:left w:val="nil"/>
              <w:bottom w:val="nil"/>
              <w:right w:val="nil"/>
            </w:tcBorders>
            <w:shd w:val="clear" w:color="auto" w:fill="FFFFFF"/>
            <w:tcMar>
              <w:top w:w="0" w:type="dxa"/>
              <w:left w:w="0" w:type="dxa"/>
              <w:bottom w:w="0" w:type="dxa"/>
              <w:right w:w="0" w:type="dxa"/>
            </w:tcMar>
            <w:vAlign w:val="center"/>
            <w:hideMark/>
          </w:tcPr>
          <w:p w14:paraId="3F10ED01" w14:textId="77777777" w:rsidR="00745B4A" w:rsidRPr="00745B4A" w:rsidRDefault="00745B4A" w:rsidP="00745B4A">
            <w:pPr>
              <w:keepNext/>
              <w:spacing w:before="100" w:after="100"/>
              <w:ind w:left="100" w:right="100"/>
              <w:rPr>
                <w:rFonts w:ascii="Times New Roman" w:hAnsi="Times New Roman"/>
                <w:sz w:val="20"/>
              </w:rPr>
            </w:pPr>
            <w:proofErr w:type="spellStart"/>
            <w:r w:rsidRPr="00745B4A">
              <w:rPr>
                <w:rFonts w:ascii="Times New Roman" w:eastAsia="Arial" w:hAnsi="Times New Roman"/>
                <w:color w:val="000000"/>
                <w:sz w:val="20"/>
              </w:rPr>
              <w:t>Num.Obs</w:t>
            </w:r>
            <w:proofErr w:type="spellEnd"/>
            <w:r w:rsidRPr="00745B4A">
              <w:rPr>
                <w:rFonts w:ascii="Times New Roman" w:eastAsia="Arial" w:hAnsi="Times New Roman"/>
                <w:color w:val="000000"/>
                <w:sz w:val="20"/>
              </w:rPr>
              <w:t>.</w:t>
            </w:r>
          </w:p>
        </w:tc>
        <w:tc>
          <w:tcPr>
            <w:tcW w:w="1890" w:type="dxa"/>
            <w:tcBorders>
              <w:top w:val="nil"/>
              <w:left w:val="nil"/>
              <w:bottom w:val="nil"/>
              <w:right w:val="nil"/>
            </w:tcBorders>
            <w:shd w:val="clear" w:color="auto" w:fill="FFFFFF"/>
            <w:tcMar>
              <w:top w:w="0" w:type="dxa"/>
              <w:left w:w="0" w:type="dxa"/>
              <w:bottom w:w="0" w:type="dxa"/>
              <w:right w:w="0" w:type="dxa"/>
            </w:tcMar>
            <w:vAlign w:val="center"/>
            <w:hideMark/>
          </w:tcPr>
          <w:p w14:paraId="07610DD1" w14:textId="77777777" w:rsidR="00745B4A" w:rsidRPr="00745B4A" w:rsidRDefault="00745B4A" w:rsidP="00563160">
            <w:pPr>
              <w:keepNext/>
              <w:spacing w:before="100" w:after="100"/>
              <w:ind w:left="100" w:right="100"/>
              <w:jc w:val="center"/>
              <w:rPr>
                <w:rFonts w:ascii="Times New Roman" w:hAnsi="Times New Roman"/>
                <w:sz w:val="20"/>
              </w:rPr>
            </w:pPr>
            <w:r w:rsidRPr="00745B4A">
              <w:rPr>
                <w:rFonts w:ascii="Times New Roman" w:eastAsia="Arial" w:hAnsi="Times New Roman"/>
                <w:color w:val="000000"/>
                <w:sz w:val="20"/>
              </w:rPr>
              <w:t>2080213</w:t>
            </w:r>
          </w:p>
        </w:tc>
      </w:tr>
      <w:tr w:rsidR="00745B4A" w:rsidRPr="00745B4A" w14:paraId="68BDEE10" w14:textId="77777777" w:rsidTr="00563160">
        <w:trPr>
          <w:cantSplit/>
          <w:jc w:val="center"/>
        </w:trPr>
        <w:tc>
          <w:tcPr>
            <w:tcW w:w="1890" w:type="dxa"/>
            <w:tcBorders>
              <w:top w:val="nil"/>
              <w:left w:val="nil"/>
              <w:bottom w:val="nil"/>
              <w:right w:val="nil"/>
            </w:tcBorders>
            <w:shd w:val="clear" w:color="auto" w:fill="FFFFFF"/>
            <w:tcMar>
              <w:top w:w="0" w:type="dxa"/>
              <w:left w:w="0" w:type="dxa"/>
              <w:bottom w:w="0" w:type="dxa"/>
              <w:right w:w="0" w:type="dxa"/>
            </w:tcMar>
            <w:vAlign w:val="center"/>
            <w:hideMark/>
          </w:tcPr>
          <w:p w14:paraId="28A9DB53" w14:textId="77777777" w:rsidR="00745B4A" w:rsidRPr="00745B4A" w:rsidRDefault="00745B4A" w:rsidP="00745B4A">
            <w:pPr>
              <w:keepNext/>
              <w:spacing w:before="100" w:after="100"/>
              <w:ind w:left="100" w:right="100"/>
              <w:rPr>
                <w:rFonts w:ascii="Times New Roman" w:hAnsi="Times New Roman"/>
                <w:sz w:val="20"/>
              </w:rPr>
            </w:pPr>
            <w:proofErr w:type="spellStart"/>
            <w:r w:rsidRPr="00745B4A">
              <w:rPr>
                <w:rFonts w:ascii="Times New Roman" w:eastAsia="Arial" w:hAnsi="Times New Roman"/>
                <w:color w:val="000000"/>
                <w:sz w:val="20"/>
              </w:rPr>
              <w:t>Std.Errors</w:t>
            </w:r>
            <w:proofErr w:type="spellEnd"/>
          </w:p>
        </w:tc>
        <w:tc>
          <w:tcPr>
            <w:tcW w:w="1890" w:type="dxa"/>
            <w:tcBorders>
              <w:top w:val="nil"/>
              <w:left w:val="nil"/>
              <w:bottom w:val="nil"/>
              <w:right w:val="nil"/>
            </w:tcBorders>
            <w:shd w:val="clear" w:color="auto" w:fill="FFFFFF"/>
            <w:tcMar>
              <w:top w:w="0" w:type="dxa"/>
              <w:left w:w="0" w:type="dxa"/>
              <w:bottom w:w="0" w:type="dxa"/>
              <w:right w:w="0" w:type="dxa"/>
            </w:tcMar>
            <w:vAlign w:val="center"/>
            <w:hideMark/>
          </w:tcPr>
          <w:p w14:paraId="174FBACC" w14:textId="77777777" w:rsidR="00745B4A" w:rsidRPr="00745B4A" w:rsidRDefault="00745B4A" w:rsidP="00563160">
            <w:pPr>
              <w:keepNext/>
              <w:spacing w:before="100" w:after="100"/>
              <w:ind w:left="100" w:right="100"/>
              <w:jc w:val="center"/>
              <w:rPr>
                <w:rFonts w:ascii="Times New Roman" w:hAnsi="Times New Roman"/>
                <w:sz w:val="20"/>
              </w:rPr>
            </w:pPr>
            <w:r w:rsidRPr="00745B4A">
              <w:rPr>
                <w:rFonts w:ascii="Times New Roman" w:eastAsia="Arial" w:hAnsi="Times New Roman"/>
                <w:color w:val="000000"/>
                <w:sz w:val="20"/>
              </w:rPr>
              <w:t xml:space="preserve">by: </w:t>
            </w:r>
            <w:proofErr w:type="spellStart"/>
            <w:r w:rsidRPr="00745B4A">
              <w:rPr>
                <w:rFonts w:ascii="Times New Roman" w:eastAsia="Arial" w:hAnsi="Times New Roman"/>
                <w:color w:val="000000"/>
                <w:sz w:val="20"/>
              </w:rPr>
              <w:t>npi</w:t>
            </w:r>
            <w:proofErr w:type="spellEnd"/>
          </w:p>
        </w:tc>
      </w:tr>
      <w:tr w:rsidR="00745B4A" w:rsidRPr="00745B4A" w14:paraId="485F9E5C" w14:textId="77777777" w:rsidTr="00563160">
        <w:trPr>
          <w:cantSplit/>
          <w:jc w:val="center"/>
        </w:trPr>
        <w:tc>
          <w:tcPr>
            <w:tcW w:w="1890" w:type="dxa"/>
            <w:tcBorders>
              <w:top w:val="nil"/>
              <w:left w:val="nil"/>
              <w:bottom w:val="nil"/>
              <w:right w:val="nil"/>
            </w:tcBorders>
            <w:shd w:val="clear" w:color="auto" w:fill="FFFFFF"/>
            <w:tcMar>
              <w:top w:w="0" w:type="dxa"/>
              <w:left w:w="0" w:type="dxa"/>
              <w:bottom w:w="0" w:type="dxa"/>
              <w:right w:w="0" w:type="dxa"/>
            </w:tcMar>
            <w:vAlign w:val="center"/>
            <w:hideMark/>
          </w:tcPr>
          <w:p w14:paraId="5962C05D" w14:textId="77777777" w:rsidR="00745B4A" w:rsidRPr="00745B4A" w:rsidRDefault="00745B4A" w:rsidP="00745B4A">
            <w:pPr>
              <w:keepNext/>
              <w:spacing w:before="100" w:after="100"/>
              <w:ind w:left="100" w:right="100"/>
              <w:rPr>
                <w:rFonts w:ascii="Times New Roman" w:hAnsi="Times New Roman"/>
                <w:sz w:val="20"/>
              </w:rPr>
            </w:pPr>
            <w:r w:rsidRPr="00745B4A">
              <w:rPr>
                <w:rFonts w:ascii="Times New Roman" w:eastAsia="Arial" w:hAnsi="Times New Roman"/>
                <w:color w:val="000000"/>
                <w:sz w:val="20"/>
              </w:rPr>
              <w:t xml:space="preserve">FE: </w:t>
            </w:r>
            <w:proofErr w:type="spellStart"/>
            <w:r w:rsidRPr="00745B4A">
              <w:rPr>
                <w:rFonts w:ascii="Times New Roman" w:eastAsia="Arial" w:hAnsi="Times New Roman"/>
                <w:color w:val="000000"/>
                <w:sz w:val="20"/>
              </w:rPr>
              <w:t>npi</w:t>
            </w:r>
            <w:proofErr w:type="spellEnd"/>
          </w:p>
        </w:tc>
        <w:tc>
          <w:tcPr>
            <w:tcW w:w="1890" w:type="dxa"/>
            <w:tcBorders>
              <w:top w:val="nil"/>
              <w:left w:val="nil"/>
              <w:bottom w:val="nil"/>
              <w:right w:val="nil"/>
            </w:tcBorders>
            <w:shd w:val="clear" w:color="auto" w:fill="FFFFFF"/>
            <w:tcMar>
              <w:top w:w="0" w:type="dxa"/>
              <w:left w:w="0" w:type="dxa"/>
              <w:bottom w:w="0" w:type="dxa"/>
              <w:right w:w="0" w:type="dxa"/>
            </w:tcMar>
            <w:vAlign w:val="center"/>
            <w:hideMark/>
          </w:tcPr>
          <w:p w14:paraId="3C7AA6D9" w14:textId="77777777" w:rsidR="00745B4A" w:rsidRPr="00745B4A" w:rsidRDefault="00745B4A" w:rsidP="00563160">
            <w:pPr>
              <w:keepNext/>
              <w:spacing w:before="100" w:after="100"/>
              <w:ind w:left="100" w:right="100"/>
              <w:jc w:val="center"/>
              <w:rPr>
                <w:rFonts w:ascii="Times New Roman" w:hAnsi="Times New Roman"/>
                <w:sz w:val="20"/>
              </w:rPr>
            </w:pPr>
            <w:r w:rsidRPr="00745B4A">
              <w:rPr>
                <w:rFonts w:ascii="Times New Roman" w:eastAsia="Arial" w:hAnsi="Times New Roman"/>
                <w:color w:val="000000"/>
                <w:sz w:val="20"/>
              </w:rPr>
              <w:t>X</w:t>
            </w:r>
          </w:p>
        </w:tc>
      </w:tr>
      <w:tr w:rsidR="00745B4A" w:rsidRPr="00745B4A" w14:paraId="6AC6243B" w14:textId="77777777" w:rsidTr="00563160">
        <w:trPr>
          <w:cantSplit/>
          <w:jc w:val="center"/>
        </w:trPr>
        <w:tc>
          <w:tcPr>
            <w:tcW w:w="1890"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174B0CDC" w14:textId="77777777" w:rsidR="00745B4A" w:rsidRPr="00745B4A" w:rsidRDefault="00745B4A" w:rsidP="00745B4A">
            <w:pPr>
              <w:keepNext/>
              <w:spacing w:before="100" w:after="100"/>
              <w:ind w:left="100" w:right="100"/>
              <w:rPr>
                <w:rFonts w:ascii="Times New Roman" w:hAnsi="Times New Roman"/>
                <w:sz w:val="20"/>
              </w:rPr>
            </w:pPr>
            <w:r w:rsidRPr="00745B4A">
              <w:rPr>
                <w:rFonts w:ascii="Times New Roman" w:eastAsia="Arial" w:hAnsi="Times New Roman"/>
                <w:color w:val="000000"/>
                <w:sz w:val="20"/>
              </w:rPr>
              <w:t>FE: Year</w:t>
            </w:r>
          </w:p>
        </w:tc>
        <w:tc>
          <w:tcPr>
            <w:tcW w:w="1890"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35391ACE" w14:textId="77777777" w:rsidR="00745B4A" w:rsidRPr="00745B4A" w:rsidRDefault="00745B4A" w:rsidP="00563160">
            <w:pPr>
              <w:keepNext/>
              <w:spacing w:before="100" w:after="100"/>
              <w:ind w:left="100" w:right="100"/>
              <w:jc w:val="center"/>
              <w:rPr>
                <w:rFonts w:ascii="Times New Roman" w:hAnsi="Times New Roman"/>
                <w:sz w:val="20"/>
              </w:rPr>
            </w:pPr>
            <w:r w:rsidRPr="00745B4A">
              <w:rPr>
                <w:rFonts w:ascii="Times New Roman" w:eastAsia="Arial" w:hAnsi="Times New Roman"/>
                <w:color w:val="000000"/>
                <w:sz w:val="20"/>
              </w:rPr>
              <w:t>X</w:t>
            </w:r>
          </w:p>
        </w:tc>
      </w:tr>
      <w:tr w:rsidR="00563160" w:rsidRPr="003C10D2" w14:paraId="328AE3C9" w14:textId="77777777" w:rsidTr="00563160">
        <w:trPr>
          <w:cantSplit/>
          <w:jc w:val="center"/>
        </w:trPr>
        <w:tc>
          <w:tcPr>
            <w:tcW w:w="3780" w:type="dxa"/>
            <w:gridSpan w:val="2"/>
            <w:tcBorders>
              <w:top w:val="single" w:sz="4" w:space="0" w:color="auto"/>
              <w:left w:val="nil"/>
              <w:right w:val="nil"/>
            </w:tcBorders>
            <w:shd w:val="clear" w:color="auto" w:fill="FFFFFF"/>
            <w:tcMar>
              <w:top w:w="0" w:type="dxa"/>
              <w:left w:w="0" w:type="dxa"/>
              <w:bottom w:w="0" w:type="dxa"/>
              <w:right w:w="0" w:type="dxa"/>
            </w:tcMar>
            <w:vAlign w:val="center"/>
          </w:tcPr>
          <w:p w14:paraId="00CC23ED" w14:textId="7876B378" w:rsidR="00563160" w:rsidRPr="003C10D2" w:rsidRDefault="00563160" w:rsidP="00563160">
            <w:pPr>
              <w:keepNext/>
              <w:spacing w:before="100" w:after="100"/>
              <w:ind w:left="100" w:right="100"/>
              <w:rPr>
                <w:rFonts w:ascii="Times New Roman" w:eastAsia="Arial" w:hAnsi="Times New Roman"/>
                <w:color w:val="000000"/>
                <w:sz w:val="20"/>
              </w:rPr>
            </w:pPr>
            <w:r w:rsidRPr="003C10D2">
              <w:rPr>
                <w:rFonts w:ascii="Times New Roman" w:eastAsia="Arial" w:hAnsi="Times New Roman"/>
                <w:i/>
                <w:color w:val="000000"/>
                <w:sz w:val="20"/>
              </w:rPr>
              <w:t>Note: Exponentiated coefficients presented with 95% C</w:t>
            </w:r>
            <w:r w:rsidR="007A7B09" w:rsidRPr="003C10D2">
              <w:rPr>
                <w:rFonts w:ascii="Times New Roman" w:eastAsia="Arial" w:hAnsi="Times New Roman"/>
                <w:i/>
                <w:color w:val="000000"/>
                <w:sz w:val="20"/>
              </w:rPr>
              <w:t>I</w:t>
            </w:r>
            <w:r w:rsidRPr="003C10D2">
              <w:rPr>
                <w:rFonts w:ascii="Times New Roman" w:eastAsia="Arial" w:hAnsi="Times New Roman"/>
                <w:i/>
                <w:color w:val="000000"/>
                <w:sz w:val="20"/>
              </w:rPr>
              <w:t>s.</w:t>
            </w:r>
          </w:p>
        </w:tc>
      </w:tr>
    </w:tbl>
    <w:p w14:paraId="1E333FDE" w14:textId="77777777" w:rsidR="00745B4A" w:rsidRPr="003C10D2" w:rsidRDefault="00745B4A" w:rsidP="00745B4A">
      <w:pPr>
        <w:ind w:left="360"/>
        <w:rPr>
          <w:rFonts w:ascii="Times New Roman" w:hAnsi="Times New Roman" w:cs="Times New Roman"/>
        </w:rPr>
      </w:pPr>
    </w:p>
    <w:p w14:paraId="513063FF" w14:textId="572065B4" w:rsidR="00EA3394" w:rsidRPr="003C10D2" w:rsidRDefault="00EA3394" w:rsidP="00EA3394">
      <w:pPr>
        <w:pStyle w:val="ListParagraph"/>
        <w:numPr>
          <w:ilvl w:val="0"/>
          <w:numId w:val="1"/>
        </w:numPr>
        <w:rPr>
          <w:rFonts w:ascii="Times New Roman" w:hAnsi="Times New Roman" w:cs="Times New Roman"/>
        </w:rPr>
      </w:pPr>
      <w:r w:rsidRPr="003C10D2">
        <w:rPr>
          <w:rFonts w:ascii="Times New Roman" w:hAnsi="Times New Roman" w:cs="Times New Roman"/>
        </w:rPr>
        <w:t xml:space="preserve">The bounds on the </w:t>
      </w:r>
      <w:r w:rsidR="007A7B09" w:rsidRPr="003C10D2">
        <w:rPr>
          <w:rFonts w:ascii="Times New Roman" w:hAnsi="Times New Roman" w:cs="Times New Roman"/>
        </w:rPr>
        <w:t xml:space="preserve">raw </w:t>
      </w:r>
      <w:r w:rsidRPr="003C10D2">
        <w:rPr>
          <w:rFonts w:ascii="Times New Roman" w:hAnsi="Times New Roman" w:cs="Times New Roman"/>
        </w:rPr>
        <w:t>estimate</w:t>
      </w:r>
      <w:r w:rsidR="007A7B09" w:rsidRPr="003C10D2">
        <w:rPr>
          <w:rFonts w:ascii="Times New Roman" w:hAnsi="Times New Roman" w:cs="Times New Roman"/>
        </w:rPr>
        <w:t xml:space="preserve"> of -0.4</w:t>
      </w:r>
      <w:r w:rsidRPr="003C10D2">
        <w:rPr>
          <w:rFonts w:ascii="Times New Roman" w:hAnsi="Times New Roman" w:cs="Times New Roman"/>
        </w:rPr>
        <w:t xml:space="preserve"> are shown below. Either I did this wrong or we should be extremely concerned.</w:t>
      </w:r>
      <w:r w:rsidR="007A7B09" w:rsidRPr="003C10D2">
        <w:rPr>
          <w:rFonts w:ascii="Times New Roman" w:hAnsi="Times New Roman" w:cs="Times New Roman"/>
        </w:rPr>
        <w:t xml:space="preserve"> </w:t>
      </w:r>
      <w:r w:rsidR="00A524D7" w:rsidRPr="003C10D2">
        <w:rPr>
          <w:rFonts w:ascii="Times New Roman" w:hAnsi="Times New Roman" w:cs="Times New Roman"/>
        </w:rPr>
        <w:t xml:space="preserve">Conceptually, I’m not sure this test makes the most sense when my only exogenous variable is age, which was not significantly related to services rendered in the previous regression. It seems like you would need to have some actually predictive exogenous variables in order to </w:t>
      </w:r>
      <w:r w:rsidR="007C23DD" w:rsidRPr="003C10D2">
        <w:rPr>
          <w:rFonts w:ascii="Times New Roman" w:hAnsi="Times New Roman" w:cs="Times New Roman"/>
        </w:rPr>
        <w:t xml:space="preserve">claim that the selection on observables is informative about selection on </w:t>
      </w:r>
      <w:proofErr w:type="spellStart"/>
      <w:r w:rsidR="007C23DD" w:rsidRPr="003C10D2">
        <w:rPr>
          <w:rFonts w:ascii="Times New Roman" w:hAnsi="Times New Roman" w:cs="Times New Roman"/>
        </w:rPr>
        <w:t>unobservables</w:t>
      </w:r>
      <w:proofErr w:type="spellEnd"/>
      <w:r w:rsidR="007C23DD" w:rsidRPr="003C10D2">
        <w:rPr>
          <w:rFonts w:ascii="Times New Roman" w:hAnsi="Times New Roman" w:cs="Times New Roman"/>
        </w:rPr>
        <w:t>.</w:t>
      </w:r>
    </w:p>
    <w:p w14:paraId="470223E1" w14:textId="77777777" w:rsidR="00EA3394" w:rsidRPr="003C10D2" w:rsidRDefault="00EA3394" w:rsidP="00EA3394">
      <w:pPr>
        <w:pStyle w:val="ListParagraph"/>
        <w:rPr>
          <w:rFonts w:ascii="Times New Roman" w:hAnsi="Times New Roman" w:cs="Times New Roman"/>
        </w:rPr>
      </w:pPr>
    </w:p>
    <w:tbl>
      <w:tblPr>
        <w:tblW w:w="5770" w:type="dxa"/>
        <w:jc w:val="center"/>
        <w:tblLook w:val="04A0" w:firstRow="1" w:lastRow="0" w:firstColumn="1" w:lastColumn="0" w:noHBand="0" w:noVBand="1"/>
      </w:tblPr>
      <w:tblGrid>
        <w:gridCol w:w="1260"/>
        <w:gridCol w:w="1210"/>
        <w:gridCol w:w="1060"/>
        <w:gridCol w:w="1120"/>
        <w:gridCol w:w="1120"/>
      </w:tblGrid>
      <w:tr w:rsidR="00EA3394" w:rsidRPr="003C10D2" w14:paraId="1B741D55" w14:textId="77777777" w:rsidTr="00EA3394">
        <w:trPr>
          <w:trHeight w:val="300"/>
          <w:jc w:val="center"/>
        </w:trPr>
        <w:tc>
          <w:tcPr>
            <w:tcW w:w="1260" w:type="dxa"/>
            <w:vMerge w:val="restart"/>
            <w:tcBorders>
              <w:top w:val="single" w:sz="4" w:space="0" w:color="auto"/>
            </w:tcBorders>
            <w:shd w:val="clear" w:color="auto" w:fill="auto"/>
            <w:noWrap/>
            <w:vAlign w:val="bottom"/>
          </w:tcPr>
          <w:p w14:paraId="65E83C3D" w14:textId="62DECF1B" w:rsidR="00EA3394" w:rsidRPr="003C10D2" w:rsidRDefault="00EA3394" w:rsidP="00EA3394">
            <w:pPr>
              <w:spacing w:after="0" w:line="240" w:lineRule="auto"/>
              <w:rPr>
                <w:rFonts w:ascii="Times New Roman" w:eastAsia="Times New Roman" w:hAnsi="Times New Roman" w:cs="Times New Roman"/>
                <w:b/>
                <w:bCs/>
                <w:color w:val="000000"/>
                <w:sz w:val="20"/>
              </w:rPr>
            </w:pPr>
            <w:r w:rsidRPr="003C10D2">
              <w:rPr>
                <w:rFonts w:ascii="Times New Roman" w:eastAsia="Times New Roman" w:hAnsi="Times New Roman" w:cs="Times New Roman"/>
                <w:b/>
                <w:bCs/>
                <w:color w:val="000000"/>
                <w:sz w:val="20"/>
              </w:rPr>
              <w:t>R-Squared Values</w:t>
            </w:r>
          </w:p>
        </w:tc>
        <w:tc>
          <w:tcPr>
            <w:tcW w:w="4510" w:type="dxa"/>
            <w:gridSpan w:val="4"/>
            <w:tcBorders>
              <w:top w:val="single" w:sz="4" w:space="0" w:color="auto"/>
            </w:tcBorders>
            <w:shd w:val="clear" w:color="auto" w:fill="auto"/>
            <w:noWrap/>
            <w:vAlign w:val="center"/>
          </w:tcPr>
          <w:p w14:paraId="13ED8E2D" w14:textId="6C609CD5" w:rsidR="00EA3394" w:rsidRPr="003C10D2" w:rsidRDefault="00EA3394" w:rsidP="00EA3394">
            <w:pPr>
              <w:spacing w:after="0" w:line="240" w:lineRule="auto"/>
              <w:jc w:val="center"/>
              <w:rPr>
                <w:rFonts w:ascii="Times New Roman" w:eastAsia="Times New Roman" w:hAnsi="Times New Roman" w:cs="Times New Roman"/>
                <w:b/>
                <w:bCs/>
                <w:color w:val="000000"/>
                <w:sz w:val="20"/>
              </w:rPr>
            </w:pPr>
            <w:r w:rsidRPr="003C10D2">
              <w:rPr>
                <w:rFonts w:ascii="Times New Roman" w:eastAsia="Times New Roman" w:hAnsi="Times New Roman" w:cs="Times New Roman"/>
                <w:b/>
                <w:bCs/>
                <w:color w:val="000000"/>
                <w:sz w:val="20"/>
              </w:rPr>
              <w:t>Range of Deltas</w:t>
            </w:r>
          </w:p>
        </w:tc>
      </w:tr>
      <w:tr w:rsidR="00EA3394" w:rsidRPr="003C10D2" w14:paraId="28B41AC9" w14:textId="77777777" w:rsidTr="00EA3394">
        <w:trPr>
          <w:trHeight w:val="300"/>
          <w:jc w:val="center"/>
        </w:trPr>
        <w:tc>
          <w:tcPr>
            <w:tcW w:w="1260" w:type="dxa"/>
            <w:vMerge/>
            <w:tcBorders>
              <w:bottom w:val="single" w:sz="12" w:space="0" w:color="auto"/>
            </w:tcBorders>
            <w:shd w:val="clear" w:color="auto" w:fill="auto"/>
            <w:noWrap/>
            <w:vAlign w:val="bottom"/>
            <w:hideMark/>
          </w:tcPr>
          <w:p w14:paraId="6F4B9DB7" w14:textId="6647E21F" w:rsidR="00EA3394" w:rsidRPr="00EA3394" w:rsidRDefault="00EA3394" w:rsidP="00EA3394">
            <w:pPr>
              <w:spacing w:after="0" w:line="240" w:lineRule="auto"/>
              <w:rPr>
                <w:rFonts w:ascii="Times New Roman" w:eastAsia="Times New Roman" w:hAnsi="Times New Roman" w:cs="Times New Roman"/>
                <w:b/>
                <w:bCs/>
                <w:color w:val="000000"/>
                <w:sz w:val="20"/>
              </w:rPr>
            </w:pPr>
          </w:p>
        </w:tc>
        <w:tc>
          <w:tcPr>
            <w:tcW w:w="1210" w:type="dxa"/>
            <w:tcBorders>
              <w:bottom w:val="single" w:sz="12" w:space="0" w:color="auto"/>
            </w:tcBorders>
            <w:shd w:val="clear" w:color="auto" w:fill="auto"/>
            <w:noWrap/>
            <w:vAlign w:val="bottom"/>
            <w:hideMark/>
          </w:tcPr>
          <w:p w14:paraId="42EE62CD" w14:textId="77777777" w:rsidR="00EA3394" w:rsidRPr="00EA3394" w:rsidRDefault="00EA3394" w:rsidP="00EA3394">
            <w:pPr>
              <w:spacing w:after="0" w:line="240" w:lineRule="auto"/>
              <w:jc w:val="right"/>
              <w:rPr>
                <w:rFonts w:ascii="Times New Roman" w:eastAsia="Times New Roman" w:hAnsi="Times New Roman" w:cs="Times New Roman"/>
                <w:b/>
                <w:bCs/>
                <w:color w:val="000000"/>
                <w:sz w:val="20"/>
              </w:rPr>
            </w:pPr>
            <w:r w:rsidRPr="00EA3394">
              <w:rPr>
                <w:rFonts w:ascii="Times New Roman" w:eastAsia="Times New Roman" w:hAnsi="Times New Roman" w:cs="Times New Roman"/>
                <w:b/>
                <w:bCs/>
                <w:color w:val="000000"/>
                <w:sz w:val="20"/>
              </w:rPr>
              <w:t>0.5</w:t>
            </w:r>
          </w:p>
        </w:tc>
        <w:tc>
          <w:tcPr>
            <w:tcW w:w="1060" w:type="dxa"/>
            <w:tcBorders>
              <w:bottom w:val="single" w:sz="12" w:space="0" w:color="auto"/>
            </w:tcBorders>
            <w:shd w:val="clear" w:color="auto" w:fill="auto"/>
            <w:noWrap/>
            <w:vAlign w:val="bottom"/>
            <w:hideMark/>
          </w:tcPr>
          <w:p w14:paraId="4E512CE9" w14:textId="77777777" w:rsidR="00EA3394" w:rsidRPr="00EA3394" w:rsidRDefault="00EA3394" w:rsidP="00EA3394">
            <w:pPr>
              <w:spacing w:after="0" w:line="240" w:lineRule="auto"/>
              <w:jc w:val="right"/>
              <w:rPr>
                <w:rFonts w:ascii="Times New Roman" w:eastAsia="Times New Roman" w:hAnsi="Times New Roman" w:cs="Times New Roman"/>
                <w:b/>
                <w:bCs/>
                <w:color w:val="000000"/>
                <w:sz w:val="20"/>
              </w:rPr>
            </w:pPr>
            <w:r w:rsidRPr="00EA3394">
              <w:rPr>
                <w:rFonts w:ascii="Times New Roman" w:eastAsia="Times New Roman" w:hAnsi="Times New Roman" w:cs="Times New Roman"/>
                <w:b/>
                <w:bCs/>
                <w:color w:val="000000"/>
                <w:sz w:val="20"/>
              </w:rPr>
              <w:t>1</w:t>
            </w:r>
          </w:p>
        </w:tc>
        <w:tc>
          <w:tcPr>
            <w:tcW w:w="1120" w:type="dxa"/>
            <w:tcBorders>
              <w:bottom w:val="single" w:sz="12" w:space="0" w:color="auto"/>
            </w:tcBorders>
            <w:shd w:val="clear" w:color="auto" w:fill="auto"/>
            <w:noWrap/>
            <w:vAlign w:val="bottom"/>
            <w:hideMark/>
          </w:tcPr>
          <w:p w14:paraId="1B34C9B4" w14:textId="77777777" w:rsidR="00EA3394" w:rsidRPr="00EA3394" w:rsidRDefault="00EA3394" w:rsidP="00EA3394">
            <w:pPr>
              <w:spacing w:after="0" w:line="240" w:lineRule="auto"/>
              <w:jc w:val="right"/>
              <w:rPr>
                <w:rFonts w:ascii="Times New Roman" w:eastAsia="Times New Roman" w:hAnsi="Times New Roman" w:cs="Times New Roman"/>
                <w:b/>
                <w:bCs/>
                <w:color w:val="000000"/>
                <w:sz w:val="20"/>
              </w:rPr>
            </w:pPr>
            <w:r w:rsidRPr="00EA3394">
              <w:rPr>
                <w:rFonts w:ascii="Times New Roman" w:eastAsia="Times New Roman" w:hAnsi="Times New Roman" w:cs="Times New Roman"/>
                <w:b/>
                <w:bCs/>
                <w:color w:val="000000"/>
                <w:sz w:val="20"/>
              </w:rPr>
              <w:t>1.5</w:t>
            </w:r>
          </w:p>
        </w:tc>
        <w:tc>
          <w:tcPr>
            <w:tcW w:w="1120" w:type="dxa"/>
            <w:tcBorders>
              <w:bottom w:val="single" w:sz="12" w:space="0" w:color="auto"/>
            </w:tcBorders>
            <w:shd w:val="clear" w:color="auto" w:fill="auto"/>
            <w:noWrap/>
            <w:vAlign w:val="bottom"/>
            <w:hideMark/>
          </w:tcPr>
          <w:p w14:paraId="532AB6D0" w14:textId="77777777" w:rsidR="00EA3394" w:rsidRPr="00EA3394" w:rsidRDefault="00EA3394" w:rsidP="00EA3394">
            <w:pPr>
              <w:spacing w:after="0" w:line="240" w:lineRule="auto"/>
              <w:jc w:val="right"/>
              <w:rPr>
                <w:rFonts w:ascii="Times New Roman" w:eastAsia="Times New Roman" w:hAnsi="Times New Roman" w:cs="Times New Roman"/>
                <w:b/>
                <w:bCs/>
                <w:color w:val="000000"/>
                <w:sz w:val="20"/>
              </w:rPr>
            </w:pPr>
            <w:r w:rsidRPr="00EA3394">
              <w:rPr>
                <w:rFonts w:ascii="Times New Roman" w:eastAsia="Times New Roman" w:hAnsi="Times New Roman" w:cs="Times New Roman"/>
                <w:b/>
                <w:bCs/>
                <w:color w:val="000000"/>
                <w:sz w:val="20"/>
              </w:rPr>
              <w:t>2</w:t>
            </w:r>
          </w:p>
        </w:tc>
      </w:tr>
      <w:tr w:rsidR="00EA3394" w:rsidRPr="00EA3394" w14:paraId="305EDB8B" w14:textId="77777777" w:rsidTr="00EA3394">
        <w:trPr>
          <w:trHeight w:val="300"/>
          <w:jc w:val="center"/>
        </w:trPr>
        <w:tc>
          <w:tcPr>
            <w:tcW w:w="1260" w:type="dxa"/>
            <w:tcBorders>
              <w:top w:val="single" w:sz="12" w:space="0" w:color="auto"/>
            </w:tcBorders>
            <w:shd w:val="clear" w:color="auto" w:fill="auto"/>
            <w:noWrap/>
            <w:vAlign w:val="bottom"/>
            <w:hideMark/>
          </w:tcPr>
          <w:p w14:paraId="207466F7" w14:textId="77777777" w:rsidR="00EA3394" w:rsidRPr="00EA3394" w:rsidRDefault="00EA3394" w:rsidP="00EA3394">
            <w:pPr>
              <w:spacing w:after="0" w:line="240" w:lineRule="auto"/>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0.5</w:t>
            </w:r>
          </w:p>
        </w:tc>
        <w:tc>
          <w:tcPr>
            <w:tcW w:w="1210" w:type="dxa"/>
            <w:tcBorders>
              <w:top w:val="single" w:sz="12" w:space="0" w:color="auto"/>
            </w:tcBorders>
            <w:shd w:val="clear" w:color="auto" w:fill="auto"/>
            <w:noWrap/>
            <w:vAlign w:val="bottom"/>
            <w:hideMark/>
          </w:tcPr>
          <w:p w14:paraId="2C9ED252"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1.59</w:t>
            </w:r>
          </w:p>
        </w:tc>
        <w:tc>
          <w:tcPr>
            <w:tcW w:w="1060" w:type="dxa"/>
            <w:tcBorders>
              <w:top w:val="single" w:sz="12" w:space="0" w:color="auto"/>
            </w:tcBorders>
            <w:shd w:val="clear" w:color="auto" w:fill="auto"/>
            <w:noWrap/>
            <w:vAlign w:val="bottom"/>
            <w:hideMark/>
          </w:tcPr>
          <w:p w14:paraId="63F75D4B"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8.52</w:t>
            </w:r>
          </w:p>
        </w:tc>
        <w:tc>
          <w:tcPr>
            <w:tcW w:w="1120" w:type="dxa"/>
            <w:tcBorders>
              <w:top w:val="single" w:sz="12" w:space="0" w:color="auto"/>
            </w:tcBorders>
            <w:shd w:val="clear" w:color="auto" w:fill="auto"/>
            <w:noWrap/>
            <w:vAlign w:val="bottom"/>
            <w:hideMark/>
          </w:tcPr>
          <w:p w14:paraId="23C2E75B"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c>
          <w:tcPr>
            <w:tcW w:w="1120" w:type="dxa"/>
            <w:tcBorders>
              <w:top w:val="single" w:sz="12" w:space="0" w:color="auto"/>
            </w:tcBorders>
            <w:shd w:val="clear" w:color="auto" w:fill="auto"/>
            <w:noWrap/>
            <w:vAlign w:val="bottom"/>
            <w:hideMark/>
          </w:tcPr>
          <w:p w14:paraId="07325120"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r>
      <w:tr w:rsidR="00EA3394" w:rsidRPr="00EA3394" w14:paraId="258554A7" w14:textId="77777777" w:rsidTr="00EA3394">
        <w:trPr>
          <w:trHeight w:val="300"/>
          <w:jc w:val="center"/>
        </w:trPr>
        <w:tc>
          <w:tcPr>
            <w:tcW w:w="1260" w:type="dxa"/>
            <w:shd w:val="clear" w:color="auto" w:fill="auto"/>
            <w:noWrap/>
            <w:vAlign w:val="bottom"/>
            <w:hideMark/>
          </w:tcPr>
          <w:p w14:paraId="42192FB3" w14:textId="77777777" w:rsidR="00EA3394" w:rsidRPr="00EA3394" w:rsidRDefault="00EA3394" w:rsidP="00EA3394">
            <w:pPr>
              <w:spacing w:after="0" w:line="240" w:lineRule="auto"/>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0.6</w:t>
            </w:r>
          </w:p>
        </w:tc>
        <w:tc>
          <w:tcPr>
            <w:tcW w:w="1210" w:type="dxa"/>
            <w:shd w:val="clear" w:color="auto" w:fill="auto"/>
            <w:noWrap/>
            <w:vAlign w:val="bottom"/>
            <w:hideMark/>
          </w:tcPr>
          <w:p w14:paraId="5B47B573"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1.95</w:t>
            </w:r>
          </w:p>
        </w:tc>
        <w:tc>
          <w:tcPr>
            <w:tcW w:w="1060" w:type="dxa"/>
            <w:shd w:val="clear" w:color="auto" w:fill="auto"/>
            <w:noWrap/>
            <w:vAlign w:val="bottom"/>
            <w:hideMark/>
          </w:tcPr>
          <w:p w14:paraId="6908EB4B"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10.57</w:t>
            </w:r>
          </w:p>
        </w:tc>
        <w:tc>
          <w:tcPr>
            <w:tcW w:w="1120" w:type="dxa"/>
            <w:shd w:val="clear" w:color="auto" w:fill="auto"/>
            <w:noWrap/>
            <w:vAlign w:val="bottom"/>
            <w:hideMark/>
          </w:tcPr>
          <w:p w14:paraId="16379961"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c>
          <w:tcPr>
            <w:tcW w:w="1120" w:type="dxa"/>
            <w:shd w:val="clear" w:color="auto" w:fill="auto"/>
            <w:noWrap/>
            <w:vAlign w:val="bottom"/>
            <w:hideMark/>
          </w:tcPr>
          <w:p w14:paraId="6E03DEC0"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r>
      <w:tr w:rsidR="00EA3394" w:rsidRPr="00EA3394" w14:paraId="3D1F630A" w14:textId="77777777" w:rsidTr="00EA3394">
        <w:trPr>
          <w:trHeight w:val="300"/>
          <w:jc w:val="center"/>
        </w:trPr>
        <w:tc>
          <w:tcPr>
            <w:tcW w:w="1260" w:type="dxa"/>
            <w:shd w:val="clear" w:color="auto" w:fill="auto"/>
            <w:noWrap/>
            <w:vAlign w:val="bottom"/>
            <w:hideMark/>
          </w:tcPr>
          <w:p w14:paraId="070D4989" w14:textId="77777777" w:rsidR="00EA3394" w:rsidRPr="00EA3394" w:rsidRDefault="00EA3394" w:rsidP="00EA3394">
            <w:pPr>
              <w:spacing w:after="0" w:line="240" w:lineRule="auto"/>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0.7</w:t>
            </w:r>
          </w:p>
        </w:tc>
        <w:tc>
          <w:tcPr>
            <w:tcW w:w="1210" w:type="dxa"/>
            <w:shd w:val="clear" w:color="auto" w:fill="auto"/>
            <w:noWrap/>
            <w:vAlign w:val="bottom"/>
            <w:hideMark/>
          </w:tcPr>
          <w:p w14:paraId="23CACF75"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2.28</w:t>
            </w:r>
          </w:p>
        </w:tc>
        <w:tc>
          <w:tcPr>
            <w:tcW w:w="1060" w:type="dxa"/>
            <w:shd w:val="clear" w:color="auto" w:fill="auto"/>
            <w:noWrap/>
            <w:vAlign w:val="bottom"/>
            <w:hideMark/>
          </w:tcPr>
          <w:p w14:paraId="3685884E"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12.62</w:t>
            </w:r>
          </w:p>
        </w:tc>
        <w:tc>
          <w:tcPr>
            <w:tcW w:w="1120" w:type="dxa"/>
            <w:shd w:val="clear" w:color="auto" w:fill="auto"/>
            <w:noWrap/>
            <w:vAlign w:val="bottom"/>
            <w:hideMark/>
          </w:tcPr>
          <w:p w14:paraId="3BCAF925"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c>
          <w:tcPr>
            <w:tcW w:w="1120" w:type="dxa"/>
            <w:shd w:val="clear" w:color="auto" w:fill="auto"/>
            <w:noWrap/>
            <w:vAlign w:val="bottom"/>
            <w:hideMark/>
          </w:tcPr>
          <w:p w14:paraId="74C4CDFD"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r>
      <w:tr w:rsidR="00EA3394" w:rsidRPr="00EA3394" w14:paraId="5AD26BE2" w14:textId="77777777" w:rsidTr="00EA3394">
        <w:trPr>
          <w:trHeight w:val="300"/>
          <w:jc w:val="center"/>
        </w:trPr>
        <w:tc>
          <w:tcPr>
            <w:tcW w:w="1260" w:type="dxa"/>
            <w:shd w:val="clear" w:color="auto" w:fill="auto"/>
            <w:noWrap/>
            <w:vAlign w:val="bottom"/>
            <w:hideMark/>
          </w:tcPr>
          <w:p w14:paraId="7827417C" w14:textId="77777777" w:rsidR="00EA3394" w:rsidRPr="00EA3394" w:rsidRDefault="00EA3394" w:rsidP="00EA3394">
            <w:pPr>
              <w:spacing w:after="0" w:line="240" w:lineRule="auto"/>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0.8</w:t>
            </w:r>
          </w:p>
        </w:tc>
        <w:tc>
          <w:tcPr>
            <w:tcW w:w="1210" w:type="dxa"/>
            <w:shd w:val="clear" w:color="auto" w:fill="auto"/>
            <w:noWrap/>
            <w:vAlign w:val="bottom"/>
            <w:hideMark/>
          </w:tcPr>
          <w:p w14:paraId="15081D7F"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2.58</w:t>
            </w:r>
          </w:p>
        </w:tc>
        <w:tc>
          <w:tcPr>
            <w:tcW w:w="1060" w:type="dxa"/>
            <w:shd w:val="clear" w:color="auto" w:fill="auto"/>
            <w:noWrap/>
            <w:vAlign w:val="bottom"/>
            <w:hideMark/>
          </w:tcPr>
          <w:p w14:paraId="736056E4"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14.68</w:t>
            </w:r>
          </w:p>
        </w:tc>
        <w:tc>
          <w:tcPr>
            <w:tcW w:w="1120" w:type="dxa"/>
            <w:shd w:val="clear" w:color="auto" w:fill="auto"/>
            <w:noWrap/>
            <w:vAlign w:val="bottom"/>
            <w:hideMark/>
          </w:tcPr>
          <w:p w14:paraId="51F26D27"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c>
          <w:tcPr>
            <w:tcW w:w="1120" w:type="dxa"/>
            <w:shd w:val="clear" w:color="auto" w:fill="auto"/>
            <w:noWrap/>
            <w:vAlign w:val="bottom"/>
            <w:hideMark/>
          </w:tcPr>
          <w:p w14:paraId="5C52429D"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r>
      <w:tr w:rsidR="00EA3394" w:rsidRPr="00EA3394" w14:paraId="4DFA4B2F" w14:textId="77777777" w:rsidTr="00EA3394">
        <w:trPr>
          <w:trHeight w:val="300"/>
          <w:jc w:val="center"/>
        </w:trPr>
        <w:tc>
          <w:tcPr>
            <w:tcW w:w="1260" w:type="dxa"/>
            <w:shd w:val="clear" w:color="auto" w:fill="auto"/>
            <w:noWrap/>
            <w:vAlign w:val="bottom"/>
            <w:hideMark/>
          </w:tcPr>
          <w:p w14:paraId="558197B0" w14:textId="77777777" w:rsidR="00EA3394" w:rsidRPr="00EA3394" w:rsidRDefault="00EA3394" w:rsidP="00EA3394">
            <w:pPr>
              <w:spacing w:after="0" w:line="240" w:lineRule="auto"/>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0.9</w:t>
            </w:r>
          </w:p>
        </w:tc>
        <w:tc>
          <w:tcPr>
            <w:tcW w:w="1210" w:type="dxa"/>
            <w:shd w:val="clear" w:color="auto" w:fill="auto"/>
            <w:noWrap/>
            <w:vAlign w:val="bottom"/>
            <w:hideMark/>
          </w:tcPr>
          <w:p w14:paraId="67A52BED"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2.87</w:t>
            </w:r>
          </w:p>
        </w:tc>
        <w:tc>
          <w:tcPr>
            <w:tcW w:w="1060" w:type="dxa"/>
            <w:shd w:val="clear" w:color="auto" w:fill="auto"/>
            <w:noWrap/>
            <w:vAlign w:val="bottom"/>
            <w:hideMark/>
          </w:tcPr>
          <w:p w14:paraId="46932001"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16.73</w:t>
            </w:r>
          </w:p>
        </w:tc>
        <w:tc>
          <w:tcPr>
            <w:tcW w:w="1120" w:type="dxa"/>
            <w:shd w:val="clear" w:color="auto" w:fill="auto"/>
            <w:noWrap/>
            <w:vAlign w:val="bottom"/>
            <w:hideMark/>
          </w:tcPr>
          <w:p w14:paraId="153F9856"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c>
          <w:tcPr>
            <w:tcW w:w="1120" w:type="dxa"/>
            <w:shd w:val="clear" w:color="auto" w:fill="auto"/>
            <w:noWrap/>
            <w:vAlign w:val="bottom"/>
            <w:hideMark/>
          </w:tcPr>
          <w:p w14:paraId="43C3EA24"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r>
      <w:tr w:rsidR="00EA3394" w:rsidRPr="00EA3394" w14:paraId="7A34245A" w14:textId="77777777" w:rsidTr="00EA3394">
        <w:trPr>
          <w:trHeight w:val="300"/>
          <w:jc w:val="center"/>
        </w:trPr>
        <w:tc>
          <w:tcPr>
            <w:tcW w:w="1260" w:type="dxa"/>
            <w:tcBorders>
              <w:bottom w:val="single" w:sz="4" w:space="0" w:color="auto"/>
            </w:tcBorders>
            <w:shd w:val="clear" w:color="auto" w:fill="auto"/>
            <w:noWrap/>
            <w:vAlign w:val="bottom"/>
            <w:hideMark/>
          </w:tcPr>
          <w:p w14:paraId="16231754" w14:textId="77777777" w:rsidR="00EA3394" w:rsidRPr="00EA3394" w:rsidRDefault="00EA3394" w:rsidP="00EA3394">
            <w:pPr>
              <w:spacing w:after="0" w:line="240" w:lineRule="auto"/>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1</w:t>
            </w:r>
          </w:p>
        </w:tc>
        <w:tc>
          <w:tcPr>
            <w:tcW w:w="1210" w:type="dxa"/>
            <w:tcBorders>
              <w:bottom w:val="single" w:sz="4" w:space="0" w:color="auto"/>
            </w:tcBorders>
            <w:shd w:val="clear" w:color="auto" w:fill="auto"/>
            <w:noWrap/>
            <w:vAlign w:val="bottom"/>
            <w:hideMark/>
          </w:tcPr>
          <w:p w14:paraId="5B42AF68"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3.15</w:t>
            </w:r>
          </w:p>
        </w:tc>
        <w:tc>
          <w:tcPr>
            <w:tcW w:w="1060" w:type="dxa"/>
            <w:tcBorders>
              <w:bottom w:val="single" w:sz="4" w:space="0" w:color="auto"/>
            </w:tcBorders>
            <w:shd w:val="clear" w:color="auto" w:fill="auto"/>
            <w:noWrap/>
            <w:vAlign w:val="bottom"/>
            <w:hideMark/>
          </w:tcPr>
          <w:p w14:paraId="285003F9"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18.78</w:t>
            </w:r>
          </w:p>
        </w:tc>
        <w:tc>
          <w:tcPr>
            <w:tcW w:w="1120" w:type="dxa"/>
            <w:tcBorders>
              <w:bottom w:val="single" w:sz="4" w:space="0" w:color="auto"/>
            </w:tcBorders>
            <w:shd w:val="clear" w:color="auto" w:fill="auto"/>
            <w:noWrap/>
            <w:vAlign w:val="bottom"/>
            <w:hideMark/>
          </w:tcPr>
          <w:p w14:paraId="20B51D1C"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c>
          <w:tcPr>
            <w:tcW w:w="1120" w:type="dxa"/>
            <w:tcBorders>
              <w:bottom w:val="single" w:sz="4" w:space="0" w:color="auto"/>
            </w:tcBorders>
            <w:shd w:val="clear" w:color="auto" w:fill="auto"/>
            <w:noWrap/>
            <w:vAlign w:val="bottom"/>
            <w:hideMark/>
          </w:tcPr>
          <w:p w14:paraId="5F2A70BE" w14:textId="77777777" w:rsidR="00EA3394" w:rsidRPr="00EA3394" w:rsidRDefault="00EA3394" w:rsidP="00EA3394">
            <w:pPr>
              <w:spacing w:after="0" w:line="240" w:lineRule="auto"/>
              <w:jc w:val="right"/>
              <w:rPr>
                <w:rFonts w:ascii="Times New Roman" w:eastAsia="Times New Roman" w:hAnsi="Times New Roman" w:cs="Times New Roman"/>
                <w:color w:val="000000"/>
                <w:sz w:val="20"/>
              </w:rPr>
            </w:pPr>
            <w:r w:rsidRPr="00EA3394">
              <w:rPr>
                <w:rFonts w:ascii="Times New Roman" w:eastAsia="Times New Roman" w:hAnsi="Times New Roman" w:cs="Times New Roman"/>
                <w:color w:val="000000"/>
                <w:sz w:val="20"/>
              </w:rPr>
              <w:t>-2.36</w:t>
            </w:r>
          </w:p>
        </w:tc>
      </w:tr>
    </w:tbl>
    <w:p w14:paraId="726ACAED" w14:textId="0B0FBC9D" w:rsidR="00EA3394" w:rsidRPr="003C10D2" w:rsidRDefault="00EA3394" w:rsidP="00EA3394">
      <w:pPr>
        <w:rPr>
          <w:rFonts w:ascii="Times New Roman" w:hAnsi="Times New Roman" w:cs="Times New Roman"/>
        </w:rPr>
      </w:pPr>
    </w:p>
    <w:p w14:paraId="75C3780C" w14:textId="36E9D18C" w:rsidR="007A7B09" w:rsidRPr="003C10D2" w:rsidRDefault="00903516" w:rsidP="00903516">
      <w:pPr>
        <w:pStyle w:val="ListParagraph"/>
        <w:numPr>
          <w:ilvl w:val="0"/>
          <w:numId w:val="1"/>
        </w:numPr>
        <w:rPr>
          <w:rFonts w:ascii="Times New Roman" w:hAnsi="Times New Roman" w:cs="Times New Roman"/>
        </w:rPr>
      </w:pPr>
      <w:r w:rsidRPr="003C10D2">
        <w:rPr>
          <w:rFonts w:ascii="Times New Roman" w:hAnsi="Times New Roman" w:cs="Times New Roman"/>
        </w:rPr>
        <w:t xml:space="preserve">The following table displays the two stage least squares (2SLS) estimates, along with the first stage and reduced form estimates. The 2SLS estimate </w:t>
      </w:r>
      <w:r w:rsidR="00D87597" w:rsidRPr="003C10D2">
        <w:rPr>
          <w:rFonts w:ascii="Times New Roman" w:hAnsi="Times New Roman" w:cs="Times New Roman"/>
        </w:rPr>
        <w:t>suggests that integration is associated with an increase in services provided, which is the opposite of the finding from the regression of services on integration without the instrument.</w:t>
      </w:r>
    </w:p>
    <w:tbl>
      <w:tblPr>
        <w:tblStyle w:val="Table"/>
        <w:tblW w:w="0" w:type="auto"/>
        <w:jc w:val="center"/>
        <w:tblInd w:w="0" w:type="dxa"/>
        <w:tblLayout w:type="fixed"/>
        <w:tblLook w:val="0420" w:firstRow="1" w:lastRow="0" w:firstColumn="0" w:lastColumn="0" w:noHBand="0" w:noVBand="1"/>
      </w:tblPr>
      <w:tblGrid>
        <w:gridCol w:w="1732"/>
        <w:gridCol w:w="1733"/>
        <w:gridCol w:w="1732"/>
        <w:gridCol w:w="1733"/>
      </w:tblGrid>
      <w:tr w:rsidR="00903516" w:rsidRPr="003C10D2" w14:paraId="0E66A54B" w14:textId="77777777" w:rsidTr="00903516">
        <w:trPr>
          <w:cnfStyle w:val="100000000000" w:firstRow="1" w:lastRow="0" w:firstColumn="0" w:lastColumn="0" w:oddVBand="0" w:evenVBand="0" w:oddHBand="0" w:evenHBand="0" w:firstRowFirstColumn="0" w:firstRowLastColumn="0" w:lastRowFirstColumn="0" w:lastRowLastColumn="0"/>
          <w:cantSplit/>
          <w:tblHeader/>
          <w:jc w:val="center"/>
        </w:trPr>
        <w:tc>
          <w:tcPr>
            <w:tcW w:w="173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93619B7" w14:textId="1B925415" w:rsidR="00903516" w:rsidRPr="00EC2536" w:rsidRDefault="00EC2536">
            <w:pPr>
              <w:keepNext/>
              <w:spacing w:before="100" w:after="100"/>
              <w:ind w:left="100" w:right="100"/>
              <w:rPr>
                <w:rFonts w:ascii="Times New Roman" w:hAnsi="Times New Roman"/>
                <w:b/>
                <w:sz w:val="20"/>
              </w:rPr>
            </w:pPr>
            <w:r w:rsidRPr="00EC2536">
              <w:rPr>
                <w:rFonts w:ascii="Times New Roman" w:hAnsi="Times New Roman"/>
                <w:b/>
                <w:sz w:val="20"/>
              </w:rPr>
              <w:lastRenderedPageBreak/>
              <w:t>Variable</w:t>
            </w:r>
          </w:p>
        </w:tc>
        <w:tc>
          <w:tcPr>
            <w:tcW w:w="173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B85735F" w14:textId="6E11DF9B"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b/>
                <w:color w:val="000000"/>
                <w:sz w:val="20"/>
                <w:szCs w:val="22"/>
              </w:rPr>
              <w:t>2SLS</w:t>
            </w:r>
            <w:r w:rsidRPr="003C10D2">
              <w:rPr>
                <w:rFonts w:ascii="Times New Roman" w:eastAsia="Arial" w:hAnsi="Times New Roman"/>
                <w:b/>
                <w:color w:val="000000"/>
                <w:sz w:val="20"/>
                <w:szCs w:val="22"/>
              </w:rPr>
              <w:t>: Services on Integration</w:t>
            </w:r>
          </w:p>
        </w:tc>
        <w:tc>
          <w:tcPr>
            <w:tcW w:w="173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9A7E0F3" w14:textId="3CF33001"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b/>
                <w:color w:val="000000"/>
                <w:sz w:val="20"/>
                <w:szCs w:val="22"/>
              </w:rPr>
              <w:t>Stage 1</w:t>
            </w:r>
            <w:r w:rsidRPr="003C10D2">
              <w:rPr>
                <w:rFonts w:ascii="Times New Roman" w:eastAsia="Arial" w:hAnsi="Times New Roman"/>
                <w:b/>
                <w:color w:val="000000"/>
                <w:sz w:val="20"/>
                <w:szCs w:val="22"/>
              </w:rPr>
              <w:t xml:space="preserve">: Integration on Expected Revenue </w:t>
            </w:r>
          </w:p>
        </w:tc>
        <w:tc>
          <w:tcPr>
            <w:tcW w:w="173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86D9129" w14:textId="66FB4201"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b/>
                <w:color w:val="000000"/>
                <w:sz w:val="20"/>
                <w:szCs w:val="22"/>
              </w:rPr>
              <w:t>Reduced Form</w:t>
            </w:r>
            <w:r w:rsidRPr="003C10D2">
              <w:rPr>
                <w:rFonts w:ascii="Times New Roman" w:eastAsia="Arial" w:hAnsi="Times New Roman"/>
                <w:b/>
                <w:color w:val="000000"/>
                <w:sz w:val="20"/>
                <w:szCs w:val="22"/>
              </w:rPr>
              <w:t>: Services on Expected Revenue</w:t>
            </w:r>
          </w:p>
        </w:tc>
      </w:tr>
      <w:tr w:rsidR="00903516" w:rsidRPr="003C10D2" w14:paraId="3BF48819" w14:textId="77777777" w:rsidTr="00903516">
        <w:trPr>
          <w:cantSplit/>
          <w:jc w:val="center"/>
        </w:trPr>
        <w:tc>
          <w:tcPr>
            <w:tcW w:w="1732"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12DFE818" w14:textId="77777777" w:rsidR="00903516" w:rsidRPr="003C10D2" w:rsidRDefault="00903516">
            <w:pPr>
              <w:keepNext/>
              <w:spacing w:before="100" w:after="100"/>
              <w:ind w:left="100" w:right="100"/>
              <w:rPr>
                <w:rFonts w:ascii="Times New Roman" w:hAnsi="Times New Roman"/>
                <w:sz w:val="20"/>
              </w:rPr>
            </w:pPr>
            <w:r w:rsidRPr="003C10D2">
              <w:rPr>
                <w:rFonts w:ascii="Times New Roman" w:eastAsia="Arial" w:hAnsi="Times New Roman"/>
                <w:color w:val="000000"/>
                <w:sz w:val="20"/>
                <w:szCs w:val="22"/>
              </w:rPr>
              <w:t>Integration</w:t>
            </w:r>
          </w:p>
        </w:tc>
        <w:tc>
          <w:tcPr>
            <w:tcW w:w="1733"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32D79CE3"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6.73 [4.79, 9.47]</w:t>
            </w:r>
          </w:p>
        </w:tc>
        <w:tc>
          <w:tcPr>
            <w:tcW w:w="1732" w:type="dxa"/>
            <w:tcBorders>
              <w:top w:val="single" w:sz="18" w:space="0" w:color="666666"/>
              <w:left w:val="nil"/>
              <w:bottom w:val="nil"/>
              <w:right w:val="nil"/>
            </w:tcBorders>
            <w:shd w:val="clear" w:color="auto" w:fill="FFFFFF"/>
            <w:tcMar>
              <w:top w:w="0" w:type="dxa"/>
              <w:left w:w="0" w:type="dxa"/>
              <w:bottom w:w="0" w:type="dxa"/>
              <w:right w:w="0" w:type="dxa"/>
            </w:tcMar>
            <w:vAlign w:val="center"/>
          </w:tcPr>
          <w:p w14:paraId="14AA84D6" w14:textId="77777777" w:rsidR="00903516" w:rsidRPr="003C10D2" w:rsidRDefault="00903516" w:rsidP="00903516">
            <w:pPr>
              <w:keepNext/>
              <w:spacing w:before="100" w:after="100"/>
              <w:ind w:left="100" w:right="100"/>
              <w:jc w:val="center"/>
              <w:rPr>
                <w:rFonts w:ascii="Times New Roman" w:hAnsi="Times New Roman"/>
                <w:sz w:val="20"/>
              </w:rPr>
            </w:pPr>
          </w:p>
        </w:tc>
        <w:tc>
          <w:tcPr>
            <w:tcW w:w="1733" w:type="dxa"/>
            <w:tcBorders>
              <w:top w:val="single" w:sz="18" w:space="0" w:color="666666"/>
              <w:left w:val="nil"/>
              <w:bottom w:val="nil"/>
              <w:right w:val="nil"/>
            </w:tcBorders>
            <w:shd w:val="clear" w:color="auto" w:fill="FFFFFF"/>
            <w:tcMar>
              <w:top w:w="0" w:type="dxa"/>
              <w:left w:w="0" w:type="dxa"/>
              <w:bottom w:w="0" w:type="dxa"/>
              <w:right w:w="0" w:type="dxa"/>
            </w:tcMar>
            <w:vAlign w:val="center"/>
          </w:tcPr>
          <w:p w14:paraId="6CB6CD72" w14:textId="77777777" w:rsidR="00903516" w:rsidRPr="003C10D2" w:rsidRDefault="00903516" w:rsidP="00903516">
            <w:pPr>
              <w:keepNext/>
              <w:spacing w:before="100" w:after="100"/>
              <w:ind w:left="100" w:right="100"/>
              <w:jc w:val="center"/>
              <w:rPr>
                <w:rFonts w:ascii="Times New Roman" w:hAnsi="Times New Roman"/>
                <w:sz w:val="20"/>
              </w:rPr>
            </w:pPr>
          </w:p>
        </w:tc>
      </w:tr>
      <w:tr w:rsidR="00903516" w:rsidRPr="003C10D2" w14:paraId="6A262849" w14:textId="77777777" w:rsidTr="00903516">
        <w:trPr>
          <w:cantSplit/>
          <w:jc w:val="center"/>
        </w:trPr>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2F160053" w14:textId="77777777" w:rsidR="00903516" w:rsidRPr="003C10D2" w:rsidRDefault="00903516">
            <w:pPr>
              <w:keepNext/>
              <w:spacing w:before="100" w:after="100"/>
              <w:ind w:left="100" w:right="100"/>
              <w:rPr>
                <w:rFonts w:ascii="Times New Roman" w:hAnsi="Times New Roman"/>
                <w:sz w:val="20"/>
              </w:rPr>
            </w:pPr>
            <w:r w:rsidRPr="003C10D2">
              <w:rPr>
                <w:rFonts w:ascii="Times New Roman" w:eastAsia="Arial" w:hAnsi="Times New Roman"/>
                <w:color w:val="000000"/>
                <w:sz w:val="20"/>
                <w:szCs w:val="22"/>
              </w:rPr>
              <w:t>Age</w:t>
            </w:r>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7A173070"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0.8 [0.54, 1.17]</w:t>
            </w:r>
          </w:p>
        </w:tc>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66AA330B"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0.98753 [0.9482, 1.02848]</w:t>
            </w:r>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2A751EAA"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0.7779 [0.5683, 1.0649]</w:t>
            </w:r>
          </w:p>
        </w:tc>
      </w:tr>
      <w:tr w:rsidR="00903516" w:rsidRPr="003C10D2" w14:paraId="5FC34442" w14:textId="77777777" w:rsidTr="00903516">
        <w:trPr>
          <w:cantSplit/>
          <w:jc w:val="center"/>
        </w:trPr>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54E47221" w14:textId="77777777" w:rsidR="00903516" w:rsidRPr="003C10D2" w:rsidRDefault="00903516">
            <w:pPr>
              <w:keepNext/>
              <w:spacing w:before="100" w:after="100"/>
              <w:ind w:left="100" w:right="100"/>
              <w:rPr>
                <w:rFonts w:ascii="Times New Roman" w:hAnsi="Times New Roman"/>
                <w:sz w:val="20"/>
              </w:rPr>
            </w:pPr>
            <w:r w:rsidRPr="003C10D2">
              <w:rPr>
                <w:rFonts w:ascii="Times New Roman" w:eastAsia="Arial" w:hAnsi="Times New Roman"/>
                <w:color w:val="000000"/>
                <w:sz w:val="20"/>
                <w:szCs w:val="22"/>
              </w:rPr>
              <w:t>Expected Revenue Change</w:t>
            </w:r>
          </w:p>
        </w:tc>
        <w:tc>
          <w:tcPr>
            <w:tcW w:w="1733" w:type="dxa"/>
            <w:tcBorders>
              <w:top w:val="nil"/>
              <w:left w:val="nil"/>
              <w:bottom w:val="nil"/>
              <w:right w:val="nil"/>
            </w:tcBorders>
            <w:shd w:val="clear" w:color="auto" w:fill="FFFFFF"/>
            <w:tcMar>
              <w:top w:w="0" w:type="dxa"/>
              <w:left w:w="0" w:type="dxa"/>
              <w:bottom w:w="0" w:type="dxa"/>
              <w:right w:w="0" w:type="dxa"/>
            </w:tcMar>
            <w:vAlign w:val="center"/>
          </w:tcPr>
          <w:p w14:paraId="5AFB2E42" w14:textId="77777777" w:rsidR="00903516" w:rsidRPr="003C10D2" w:rsidRDefault="00903516" w:rsidP="00903516">
            <w:pPr>
              <w:keepNext/>
              <w:spacing w:before="100" w:after="100"/>
              <w:ind w:left="100" w:right="100"/>
              <w:jc w:val="center"/>
              <w:rPr>
                <w:rFonts w:ascii="Times New Roman" w:hAnsi="Times New Roman"/>
                <w:sz w:val="20"/>
              </w:rPr>
            </w:pPr>
          </w:p>
        </w:tc>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712A84BF"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1.00004 [1.00004, 1.00004]</w:t>
            </w:r>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07338D60"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1.0001 [1.0001, 1.0001]</w:t>
            </w:r>
          </w:p>
        </w:tc>
      </w:tr>
      <w:tr w:rsidR="00903516" w:rsidRPr="003C10D2" w14:paraId="617FD52C" w14:textId="77777777" w:rsidTr="00903516">
        <w:trPr>
          <w:cantSplit/>
          <w:jc w:val="center"/>
        </w:trPr>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611E9481" w14:textId="77777777" w:rsidR="00903516" w:rsidRPr="003C10D2" w:rsidRDefault="00903516">
            <w:pPr>
              <w:keepNext/>
              <w:spacing w:before="100" w:after="100"/>
              <w:ind w:left="100" w:right="100"/>
              <w:rPr>
                <w:rFonts w:ascii="Times New Roman" w:hAnsi="Times New Roman"/>
                <w:sz w:val="20"/>
              </w:rPr>
            </w:pPr>
            <w:proofErr w:type="spellStart"/>
            <w:r w:rsidRPr="003C10D2">
              <w:rPr>
                <w:rFonts w:ascii="Times New Roman" w:eastAsia="Arial" w:hAnsi="Times New Roman"/>
                <w:color w:val="000000"/>
                <w:sz w:val="20"/>
                <w:szCs w:val="22"/>
              </w:rPr>
              <w:t>Num.Obs</w:t>
            </w:r>
            <w:proofErr w:type="spellEnd"/>
            <w:r w:rsidRPr="003C10D2">
              <w:rPr>
                <w:rFonts w:ascii="Times New Roman" w:eastAsia="Arial" w:hAnsi="Times New Roman"/>
                <w:color w:val="000000"/>
                <w:sz w:val="20"/>
                <w:szCs w:val="22"/>
              </w:rPr>
              <w:t>.</w:t>
            </w:r>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6D3414B8"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1126501</w:t>
            </w:r>
          </w:p>
        </w:tc>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020BBA5A"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1126501</w:t>
            </w:r>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16F8CA91"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1126501</w:t>
            </w:r>
          </w:p>
        </w:tc>
      </w:tr>
      <w:tr w:rsidR="00903516" w:rsidRPr="003C10D2" w14:paraId="46DBFD4B" w14:textId="77777777" w:rsidTr="00903516">
        <w:trPr>
          <w:cantSplit/>
          <w:jc w:val="center"/>
        </w:trPr>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0021E82F" w14:textId="77777777" w:rsidR="00903516" w:rsidRPr="003C10D2" w:rsidRDefault="00903516">
            <w:pPr>
              <w:keepNext/>
              <w:spacing w:before="100" w:after="100"/>
              <w:ind w:left="100" w:right="100"/>
              <w:rPr>
                <w:rFonts w:ascii="Times New Roman" w:hAnsi="Times New Roman"/>
                <w:sz w:val="20"/>
              </w:rPr>
            </w:pPr>
            <w:proofErr w:type="spellStart"/>
            <w:r w:rsidRPr="003C10D2">
              <w:rPr>
                <w:rFonts w:ascii="Times New Roman" w:eastAsia="Arial" w:hAnsi="Times New Roman"/>
                <w:color w:val="000000"/>
                <w:sz w:val="20"/>
                <w:szCs w:val="22"/>
              </w:rPr>
              <w:t>Std.Errors</w:t>
            </w:r>
            <w:proofErr w:type="spellEnd"/>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2FD4F578"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 xml:space="preserve">by: </w:t>
            </w:r>
            <w:proofErr w:type="spellStart"/>
            <w:r w:rsidRPr="003C10D2">
              <w:rPr>
                <w:rFonts w:ascii="Times New Roman" w:eastAsia="Arial" w:hAnsi="Times New Roman"/>
                <w:color w:val="000000"/>
                <w:sz w:val="20"/>
                <w:szCs w:val="22"/>
              </w:rPr>
              <w:t>npi</w:t>
            </w:r>
            <w:proofErr w:type="spellEnd"/>
          </w:p>
        </w:tc>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17D9BE63"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 xml:space="preserve">by: </w:t>
            </w:r>
            <w:proofErr w:type="spellStart"/>
            <w:r w:rsidRPr="003C10D2">
              <w:rPr>
                <w:rFonts w:ascii="Times New Roman" w:eastAsia="Arial" w:hAnsi="Times New Roman"/>
                <w:color w:val="000000"/>
                <w:sz w:val="20"/>
                <w:szCs w:val="22"/>
              </w:rPr>
              <w:t>npi</w:t>
            </w:r>
            <w:proofErr w:type="spellEnd"/>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176989E6"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 xml:space="preserve">by: </w:t>
            </w:r>
            <w:proofErr w:type="spellStart"/>
            <w:r w:rsidRPr="003C10D2">
              <w:rPr>
                <w:rFonts w:ascii="Times New Roman" w:eastAsia="Arial" w:hAnsi="Times New Roman"/>
                <w:color w:val="000000"/>
                <w:sz w:val="20"/>
                <w:szCs w:val="22"/>
              </w:rPr>
              <w:t>npi</w:t>
            </w:r>
            <w:proofErr w:type="spellEnd"/>
          </w:p>
        </w:tc>
      </w:tr>
      <w:tr w:rsidR="00903516" w:rsidRPr="003C10D2" w14:paraId="391B1B11" w14:textId="77777777" w:rsidTr="00903516">
        <w:trPr>
          <w:cantSplit/>
          <w:jc w:val="center"/>
        </w:trPr>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0090FDB1" w14:textId="77777777" w:rsidR="00903516" w:rsidRPr="003C10D2" w:rsidRDefault="00903516">
            <w:pPr>
              <w:keepNext/>
              <w:spacing w:before="100" w:after="100"/>
              <w:ind w:left="100" w:right="100"/>
              <w:rPr>
                <w:rFonts w:ascii="Times New Roman" w:hAnsi="Times New Roman"/>
                <w:sz w:val="20"/>
              </w:rPr>
            </w:pPr>
            <w:r w:rsidRPr="003C10D2">
              <w:rPr>
                <w:rFonts w:ascii="Times New Roman" w:eastAsia="Arial" w:hAnsi="Times New Roman"/>
                <w:color w:val="000000"/>
                <w:sz w:val="20"/>
                <w:szCs w:val="22"/>
              </w:rPr>
              <w:t xml:space="preserve">FE: </w:t>
            </w:r>
            <w:proofErr w:type="spellStart"/>
            <w:r w:rsidRPr="003C10D2">
              <w:rPr>
                <w:rFonts w:ascii="Times New Roman" w:eastAsia="Arial" w:hAnsi="Times New Roman"/>
                <w:color w:val="000000"/>
                <w:sz w:val="20"/>
                <w:szCs w:val="22"/>
              </w:rPr>
              <w:t>npi</w:t>
            </w:r>
            <w:proofErr w:type="spellEnd"/>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556121CD"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X</w:t>
            </w:r>
          </w:p>
        </w:tc>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0A5A9FA7"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X</w:t>
            </w:r>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51AB7101"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X</w:t>
            </w:r>
          </w:p>
        </w:tc>
      </w:tr>
      <w:tr w:rsidR="00903516" w:rsidRPr="003C10D2" w14:paraId="1857B7D7" w14:textId="77777777" w:rsidTr="00903516">
        <w:trPr>
          <w:cantSplit/>
          <w:jc w:val="center"/>
        </w:trPr>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5FEA1DA3" w14:textId="77777777" w:rsidR="00903516" w:rsidRPr="003C10D2" w:rsidRDefault="00903516">
            <w:pPr>
              <w:keepNext/>
              <w:spacing w:before="100" w:after="100"/>
              <w:ind w:left="100" w:right="100"/>
              <w:rPr>
                <w:rFonts w:ascii="Times New Roman" w:hAnsi="Times New Roman"/>
                <w:sz w:val="20"/>
              </w:rPr>
            </w:pPr>
            <w:r w:rsidRPr="003C10D2">
              <w:rPr>
                <w:rFonts w:ascii="Times New Roman" w:eastAsia="Arial" w:hAnsi="Times New Roman"/>
                <w:color w:val="000000"/>
                <w:sz w:val="20"/>
                <w:szCs w:val="22"/>
              </w:rPr>
              <w:t>FE: Year</w:t>
            </w:r>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337FD47A"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X</w:t>
            </w:r>
          </w:p>
        </w:tc>
        <w:tc>
          <w:tcPr>
            <w:tcW w:w="1732" w:type="dxa"/>
            <w:tcBorders>
              <w:top w:val="nil"/>
              <w:left w:val="nil"/>
              <w:bottom w:val="nil"/>
              <w:right w:val="nil"/>
            </w:tcBorders>
            <w:shd w:val="clear" w:color="auto" w:fill="FFFFFF"/>
            <w:tcMar>
              <w:top w:w="0" w:type="dxa"/>
              <w:left w:w="0" w:type="dxa"/>
              <w:bottom w:w="0" w:type="dxa"/>
              <w:right w:w="0" w:type="dxa"/>
            </w:tcMar>
            <w:vAlign w:val="center"/>
            <w:hideMark/>
          </w:tcPr>
          <w:p w14:paraId="4A071321"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X</w:t>
            </w:r>
          </w:p>
        </w:tc>
        <w:tc>
          <w:tcPr>
            <w:tcW w:w="1733" w:type="dxa"/>
            <w:tcBorders>
              <w:top w:val="nil"/>
              <w:left w:val="nil"/>
              <w:bottom w:val="nil"/>
              <w:right w:val="nil"/>
            </w:tcBorders>
            <w:shd w:val="clear" w:color="auto" w:fill="FFFFFF"/>
            <w:tcMar>
              <w:top w:w="0" w:type="dxa"/>
              <w:left w:w="0" w:type="dxa"/>
              <w:bottom w:w="0" w:type="dxa"/>
              <w:right w:w="0" w:type="dxa"/>
            </w:tcMar>
            <w:vAlign w:val="center"/>
            <w:hideMark/>
          </w:tcPr>
          <w:p w14:paraId="0C75A56B" w14:textId="77777777" w:rsidR="00903516" w:rsidRPr="003C10D2" w:rsidRDefault="00903516" w:rsidP="00903516">
            <w:pPr>
              <w:keepNext/>
              <w:spacing w:before="100" w:after="100"/>
              <w:ind w:left="100" w:right="100"/>
              <w:jc w:val="center"/>
              <w:rPr>
                <w:rFonts w:ascii="Times New Roman" w:hAnsi="Times New Roman"/>
                <w:sz w:val="20"/>
              </w:rPr>
            </w:pPr>
            <w:r w:rsidRPr="003C10D2">
              <w:rPr>
                <w:rFonts w:ascii="Times New Roman" w:eastAsia="Arial" w:hAnsi="Times New Roman"/>
                <w:color w:val="000000"/>
                <w:sz w:val="20"/>
                <w:szCs w:val="22"/>
              </w:rPr>
              <w:t>X</w:t>
            </w:r>
          </w:p>
        </w:tc>
      </w:tr>
      <w:tr w:rsidR="00903516" w:rsidRPr="003C10D2" w14:paraId="4D018AA7" w14:textId="77777777" w:rsidTr="00897959">
        <w:trPr>
          <w:cantSplit/>
          <w:jc w:val="center"/>
        </w:trPr>
        <w:tc>
          <w:tcPr>
            <w:tcW w:w="6930" w:type="dxa"/>
            <w:gridSpan w:val="4"/>
            <w:tcBorders>
              <w:top w:val="nil"/>
              <w:left w:val="nil"/>
              <w:bottom w:val="single" w:sz="18" w:space="0" w:color="666666"/>
              <w:right w:val="nil"/>
            </w:tcBorders>
            <w:shd w:val="clear" w:color="auto" w:fill="FFFFFF"/>
            <w:tcMar>
              <w:top w:w="0" w:type="dxa"/>
              <w:left w:w="0" w:type="dxa"/>
              <w:bottom w:w="0" w:type="dxa"/>
              <w:right w:w="0" w:type="dxa"/>
            </w:tcMar>
            <w:vAlign w:val="center"/>
          </w:tcPr>
          <w:p w14:paraId="04124C30" w14:textId="7DE08BBA" w:rsidR="00903516" w:rsidRPr="003C10D2" w:rsidRDefault="00903516" w:rsidP="00903516">
            <w:pPr>
              <w:keepNext/>
              <w:spacing w:before="100" w:after="100"/>
              <w:ind w:left="100" w:right="100"/>
              <w:rPr>
                <w:rFonts w:ascii="Times New Roman" w:eastAsia="Arial" w:hAnsi="Times New Roman"/>
                <w:color w:val="000000"/>
                <w:sz w:val="20"/>
              </w:rPr>
            </w:pPr>
            <w:r w:rsidRPr="003C10D2">
              <w:rPr>
                <w:rFonts w:ascii="Times New Roman" w:eastAsia="Arial" w:hAnsi="Times New Roman"/>
                <w:i/>
                <w:color w:val="000000"/>
                <w:sz w:val="20"/>
              </w:rPr>
              <w:t>Note: Exponentiated coefficients presented with 95% CIs.</w:t>
            </w:r>
          </w:p>
        </w:tc>
      </w:tr>
    </w:tbl>
    <w:p w14:paraId="540EADBC" w14:textId="77777777" w:rsidR="00903516" w:rsidRPr="003C10D2" w:rsidRDefault="00903516" w:rsidP="00903516">
      <w:pPr>
        <w:ind w:left="360"/>
        <w:rPr>
          <w:rFonts w:ascii="Times New Roman" w:hAnsi="Times New Roman" w:cs="Times New Roman"/>
        </w:rPr>
      </w:pPr>
    </w:p>
    <w:p w14:paraId="208265F1" w14:textId="7E4BBF86" w:rsidR="004408B9" w:rsidRPr="003C10D2" w:rsidRDefault="004408B9" w:rsidP="0071555A">
      <w:pPr>
        <w:pStyle w:val="ListParagraph"/>
        <w:numPr>
          <w:ilvl w:val="0"/>
          <w:numId w:val="1"/>
        </w:numPr>
        <w:rPr>
          <w:rFonts w:ascii="Times New Roman" w:eastAsiaTheme="minorEastAsia" w:hAnsi="Times New Roman" w:cs="Times New Roman"/>
        </w:rPr>
      </w:pPr>
      <w:r w:rsidRPr="003C10D2">
        <w:rPr>
          <w:rFonts w:ascii="Times New Roman" w:hAnsi="Times New Roman" w:cs="Times New Roman"/>
        </w:rPr>
        <w:t xml:space="preserve">The estimate for </w:t>
      </w:r>
      <m:oMath>
        <m:acc>
          <m:accPr>
            <m:ctrlPr>
              <w:rPr>
                <w:rFonts w:ascii="Cambria Math" w:hAnsi="Cambria Math" w:cs="Times New Roman"/>
              </w:rPr>
            </m:ctrlPr>
          </m:accPr>
          <m:e>
            <m:r>
              <w:rPr>
                <w:rFonts w:ascii="Cambria Math" w:hAnsi="Cambria Math" w:cs="Times New Roman"/>
              </w:rPr>
              <m:t>k</m:t>
            </m:r>
          </m:e>
        </m:acc>
      </m:oMath>
      <w:r w:rsidRPr="003C10D2">
        <w:rPr>
          <w:rFonts w:ascii="Times New Roman" w:eastAsiaTheme="minorEastAsia" w:hAnsi="Times New Roman" w:cs="Times New Roman"/>
        </w:rPr>
        <w:t xml:space="preserve"> is 1.00 (SD: 0.00003). This indicates that the OLS estimates are inconsistent.</w:t>
      </w:r>
    </w:p>
    <w:p w14:paraId="458D9E80" w14:textId="334A792D" w:rsidR="004408B9" w:rsidRPr="003C10D2" w:rsidRDefault="00D87597" w:rsidP="0071555A">
      <w:pPr>
        <w:pStyle w:val="ListParagraph"/>
        <w:numPr>
          <w:ilvl w:val="0"/>
          <w:numId w:val="1"/>
        </w:numPr>
        <w:rPr>
          <w:rFonts w:ascii="Times New Roman" w:eastAsiaTheme="minorEastAsia" w:hAnsi="Times New Roman" w:cs="Times New Roman"/>
        </w:rPr>
      </w:pPr>
      <w:r w:rsidRPr="003C10D2">
        <w:rPr>
          <w:rFonts w:ascii="Times New Roman" w:eastAsiaTheme="minorEastAsia" w:hAnsi="Times New Roman" w:cs="Times New Roman"/>
        </w:rPr>
        <w:t>I couldn’t figure out how to get the Anderson-Rubin Wald statistic for the 2SLS with fixed effects. When I ran it on the model without the fixed effects, I got a test statistic of 4343 (p-value &lt; 2.22e-16), so it didn’t change that estimate, but also, that estimate was way different due to the omission of the fixed effects. Going back to the 2SLS results, the first-stage f-statistic was already 1,454</w:t>
      </w:r>
      <w:r w:rsidR="0071555A" w:rsidRPr="003C10D2">
        <w:rPr>
          <w:rFonts w:ascii="Times New Roman" w:eastAsiaTheme="minorEastAsia" w:hAnsi="Times New Roman" w:cs="Times New Roman"/>
        </w:rPr>
        <w:t>.</w:t>
      </w:r>
      <w:r w:rsidRPr="003C10D2">
        <w:rPr>
          <w:rFonts w:ascii="Times New Roman" w:eastAsiaTheme="minorEastAsia" w:hAnsi="Times New Roman" w:cs="Times New Roman"/>
        </w:rPr>
        <w:t xml:space="preserve"> </w:t>
      </w:r>
      <w:r w:rsidR="0071555A" w:rsidRPr="003C10D2">
        <w:rPr>
          <w:rFonts w:ascii="Times New Roman" w:eastAsiaTheme="minorEastAsia" w:hAnsi="Times New Roman" w:cs="Times New Roman"/>
        </w:rPr>
        <w:t>This is such a high f-statistic that no adjustment was needed</w:t>
      </w:r>
      <w:r w:rsidRPr="003C10D2">
        <w:rPr>
          <w:rFonts w:ascii="Times New Roman" w:eastAsiaTheme="minorEastAsia" w:hAnsi="Times New Roman" w:cs="Times New Roman"/>
        </w:rPr>
        <w:t xml:space="preserve">. </w:t>
      </w:r>
    </w:p>
    <w:p w14:paraId="4B178193" w14:textId="0EB8BB45" w:rsidR="0071555A" w:rsidRPr="003C10D2" w:rsidRDefault="00A524D7" w:rsidP="0071555A">
      <w:pPr>
        <w:pStyle w:val="ListParagraph"/>
        <w:numPr>
          <w:ilvl w:val="0"/>
          <w:numId w:val="1"/>
        </w:numPr>
        <w:rPr>
          <w:rFonts w:ascii="Times New Roman" w:eastAsiaTheme="minorEastAsia" w:hAnsi="Times New Roman" w:cs="Times New Roman"/>
        </w:rPr>
      </w:pPr>
      <w:r w:rsidRPr="003C10D2">
        <w:rPr>
          <w:rFonts w:ascii="Times New Roman" w:eastAsiaTheme="minorEastAsia" w:hAnsi="Times New Roman" w:cs="Times New Roman"/>
        </w:rPr>
        <w:t>…I didn’t finish this one</w:t>
      </w:r>
    </w:p>
    <w:p w14:paraId="01A0F2E7" w14:textId="79EE03DA" w:rsidR="00A524D7" w:rsidRPr="003C10D2" w:rsidRDefault="00A524D7" w:rsidP="0071555A">
      <w:pPr>
        <w:pStyle w:val="ListParagraph"/>
        <w:numPr>
          <w:ilvl w:val="0"/>
          <w:numId w:val="1"/>
        </w:numPr>
        <w:rPr>
          <w:rFonts w:ascii="Times New Roman" w:eastAsiaTheme="minorEastAsia" w:hAnsi="Times New Roman" w:cs="Times New Roman"/>
        </w:rPr>
      </w:pPr>
      <w:r w:rsidRPr="003C10D2">
        <w:rPr>
          <w:rFonts w:ascii="Times New Roman" w:eastAsiaTheme="minorEastAsia" w:hAnsi="Times New Roman" w:cs="Times New Roman"/>
        </w:rPr>
        <w:t>My estimates are completely different depending on the method used. The finding from 2SLS that integration increases services was surprising, since the integrated physicians raw service counts were much lower than the non-integrated physicians. I’m not familiar enough with IV to know what to expect from the first stage vs reduced form vs 2SLS, and so it is hard for me to judge if these results make sense or not.</w:t>
      </w:r>
    </w:p>
    <w:p w14:paraId="3B16BC67" w14:textId="5F356F19" w:rsidR="00606406" w:rsidRPr="003C10D2" w:rsidRDefault="00606406" w:rsidP="0071555A">
      <w:pPr>
        <w:pStyle w:val="ListParagraph"/>
        <w:numPr>
          <w:ilvl w:val="0"/>
          <w:numId w:val="1"/>
        </w:numPr>
        <w:rPr>
          <w:rFonts w:ascii="Times New Roman" w:eastAsiaTheme="minorEastAsia" w:hAnsi="Times New Roman" w:cs="Times New Roman"/>
        </w:rPr>
      </w:pPr>
      <w:r w:rsidRPr="003C10D2">
        <w:rPr>
          <w:rFonts w:ascii="Times New Roman" w:eastAsiaTheme="minorEastAsia" w:hAnsi="Times New Roman" w:cs="Times New Roman"/>
        </w:rPr>
        <w:t>I really struggled to figure out how to do IV with fixed effects in a way that would produce some of the requested stati</w:t>
      </w:r>
      <w:bookmarkStart w:id="1" w:name="_GoBack"/>
      <w:bookmarkEnd w:id="1"/>
      <w:r w:rsidRPr="003C10D2">
        <w:rPr>
          <w:rFonts w:ascii="Times New Roman" w:eastAsiaTheme="minorEastAsia" w:hAnsi="Times New Roman" w:cs="Times New Roman"/>
        </w:rPr>
        <w:t>stics without breaking R. I think if the data had been smaller, I might have been able to just include dummy variables for NPI and year, but not with data of this size. I found all of the results surprising! I felt like I was doing the programming wrong to be getting these results.</w:t>
      </w:r>
    </w:p>
    <w:p w14:paraId="65066712" w14:textId="77777777" w:rsidR="004408B9" w:rsidRPr="003C10D2" w:rsidRDefault="004408B9">
      <w:pPr>
        <w:rPr>
          <w:rFonts w:ascii="Times New Roman" w:hAnsi="Times New Roman" w:cs="Times New Roman"/>
        </w:rPr>
      </w:pPr>
      <w:r w:rsidRPr="003C10D2">
        <w:rPr>
          <w:rFonts w:ascii="Times New Roman" w:hAnsi="Times New Roman" w:cs="Times New Roman"/>
        </w:rPr>
        <w:t xml:space="preserve"> </w:t>
      </w:r>
    </w:p>
    <w:sectPr w:rsidR="004408B9" w:rsidRPr="003C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975C7"/>
    <w:multiLevelType w:val="hybridMultilevel"/>
    <w:tmpl w:val="A132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B9"/>
    <w:rsid w:val="00045B1C"/>
    <w:rsid w:val="003A05A3"/>
    <w:rsid w:val="003A2592"/>
    <w:rsid w:val="003A7365"/>
    <w:rsid w:val="003C10D2"/>
    <w:rsid w:val="004408B9"/>
    <w:rsid w:val="00563160"/>
    <w:rsid w:val="00606406"/>
    <w:rsid w:val="0071555A"/>
    <w:rsid w:val="00745B4A"/>
    <w:rsid w:val="007A7B09"/>
    <w:rsid w:val="007C23DD"/>
    <w:rsid w:val="00903516"/>
    <w:rsid w:val="00A1346F"/>
    <w:rsid w:val="00A524D7"/>
    <w:rsid w:val="00AF0739"/>
    <w:rsid w:val="00D16E1C"/>
    <w:rsid w:val="00D87597"/>
    <w:rsid w:val="00E73D7C"/>
    <w:rsid w:val="00EA3394"/>
    <w:rsid w:val="00EC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656F"/>
  <w15:chartTrackingRefBased/>
  <w15:docId w15:val="{7BF0AC48-929B-4854-862B-D414439D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8B9"/>
    <w:rPr>
      <w:color w:val="808080"/>
    </w:rPr>
  </w:style>
  <w:style w:type="paragraph" w:styleId="ListParagraph">
    <w:name w:val="List Paragraph"/>
    <w:basedOn w:val="Normal"/>
    <w:uiPriority w:val="34"/>
    <w:qFormat/>
    <w:rsid w:val="00E73D7C"/>
    <w:pPr>
      <w:ind w:left="720"/>
      <w:contextualSpacing/>
    </w:pPr>
  </w:style>
  <w:style w:type="table" w:customStyle="1" w:styleId="Table">
    <w:name w:val="Table"/>
    <w:semiHidden/>
    <w:qFormat/>
    <w:rsid w:val="00745B4A"/>
    <w:pPr>
      <w:spacing w:after="200" w:line="240" w:lineRule="auto"/>
    </w:pPr>
    <w:rPr>
      <w:rFonts w:ascii="Cambria" w:eastAsia="Cambria" w:hAnsi="Cambria" w:cs="Times New Roman"/>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051739">
      <w:bodyDiv w:val="1"/>
      <w:marLeft w:val="0"/>
      <w:marRight w:val="0"/>
      <w:marTop w:val="0"/>
      <w:marBottom w:val="0"/>
      <w:divBdr>
        <w:top w:val="none" w:sz="0" w:space="0" w:color="auto"/>
        <w:left w:val="none" w:sz="0" w:space="0" w:color="auto"/>
        <w:bottom w:val="none" w:sz="0" w:space="0" w:color="auto"/>
        <w:right w:val="none" w:sz="0" w:space="0" w:color="auto"/>
      </w:divBdr>
    </w:div>
    <w:div w:id="406075337">
      <w:bodyDiv w:val="1"/>
      <w:marLeft w:val="0"/>
      <w:marRight w:val="0"/>
      <w:marTop w:val="0"/>
      <w:marBottom w:val="0"/>
      <w:divBdr>
        <w:top w:val="none" w:sz="0" w:space="0" w:color="auto"/>
        <w:left w:val="none" w:sz="0" w:space="0" w:color="auto"/>
        <w:bottom w:val="none" w:sz="0" w:space="0" w:color="auto"/>
        <w:right w:val="none" w:sz="0" w:space="0" w:color="auto"/>
      </w:divBdr>
    </w:div>
    <w:div w:id="1506171030">
      <w:bodyDiv w:val="1"/>
      <w:marLeft w:val="0"/>
      <w:marRight w:val="0"/>
      <w:marTop w:val="0"/>
      <w:marBottom w:val="0"/>
      <w:divBdr>
        <w:top w:val="none" w:sz="0" w:space="0" w:color="auto"/>
        <w:left w:val="none" w:sz="0" w:space="0" w:color="auto"/>
        <w:bottom w:val="none" w:sz="0" w:space="0" w:color="auto"/>
        <w:right w:val="none" w:sz="0" w:space="0" w:color="auto"/>
      </w:divBdr>
    </w:div>
    <w:div w:id="1725760150">
      <w:bodyDiv w:val="1"/>
      <w:marLeft w:val="0"/>
      <w:marRight w:val="0"/>
      <w:marTop w:val="0"/>
      <w:marBottom w:val="0"/>
      <w:divBdr>
        <w:top w:val="none" w:sz="0" w:space="0" w:color="auto"/>
        <w:left w:val="none" w:sz="0" w:space="0" w:color="auto"/>
        <w:bottom w:val="none" w:sz="0" w:space="0" w:color="auto"/>
        <w:right w:val="none" w:sz="0" w:space="0" w:color="auto"/>
      </w:divBdr>
    </w:div>
    <w:div w:id="200936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0996B9F2C0914698A59D675A587C52" ma:contentTypeVersion="12" ma:contentTypeDescription="Create a new document." ma:contentTypeScope="" ma:versionID="9f1ab9e2540e10a450ccb4c916bc6ae6">
  <xsd:schema xmlns:xsd="http://www.w3.org/2001/XMLSchema" xmlns:xs="http://www.w3.org/2001/XMLSchema" xmlns:p="http://schemas.microsoft.com/office/2006/metadata/properties" xmlns:ns3="e9229b6d-0f48-4484-9403-a12ac9dfd3ab" xmlns:ns4="8c67efb5-b33f-4ecf-a5c9-bb89c8bec919" targetNamespace="http://schemas.microsoft.com/office/2006/metadata/properties" ma:root="true" ma:fieldsID="836cb5aa8572530f7ef3d7b0e0b094c8" ns3:_="" ns4:_="">
    <xsd:import namespace="e9229b6d-0f48-4484-9403-a12ac9dfd3ab"/>
    <xsd:import namespace="8c67efb5-b33f-4ecf-a5c9-bb89c8bec9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229b6d-0f48-4484-9403-a12ac9dfd3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67efb5-b33f-4ecf-a5c9-bb89c8bec9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41297C-22A5-42F8-A1AD-1F13EEDB9648}">
  <ds:schemaRefs>
    <ds:schemaRef ds:uri="http://schemas.openxmlformats.org/package/2006/metadata/core-properties"/>
    <ds:schemaRef ds:uri="http://purl.org/dc/dcmitype/"/>
    <ds:schemaRef ds:uri="http://schemas.microsoft.com/office/infopath/2007/PartnerControls"/>
    <ds:schemaRef ds:uri="e9229b6d-0f48-4484-9403-a12ac9dfd3ab"/>
    <ds:schemaRef ds:uri="http://purl.org/dc/elements/1.1/"/>
    <ds:schemaRef ds:uri="http://schemas.microsoft.com/office/2006/metadata/properties"/>
    <ds:schemaRef ds:uri="http://schemas.microsoft.com/office/2006/documentManagement/types"/>
    <ds:schemaRef ds:uri="8c67efb5-b33f-4ecf-a5c9-bb89c8bec919"/>
    <ds:schemaRef ds:uri="http://www.w3.org/XML/1998/namespace"/>
    <ds:schemaRef ds:uri="http://purl.org/dc/terms/"/>
  </ds:schemaRefs>
</ds:datastoreItem>
</file>

<file path=customXml/itemProps2.xml><?xml version="1.0" encoding="utf-8"?>
<ds:datastoreItem xmlns:ds="http://schemas.openxmlformats.org/officeDocument/2006/customXml" ds:itemID="{EF5D3CD9-B17A-4CE3-B29C-D34FAE544673}">
  <ds:schemaRefs>
    <ds:schemaRef ds:uri="http://schemas.microsoft.com/sharepoint/v3/contenttype/forms"/>
  </ds:schemaRefs>
</ds:datastoreItem>
</file>

<file path=customXml/itemProps3.xml><?xml version="1.0" encoding="utf-8"?>
<ds:datastoreItem xmlns:ds="http://schemas.openxmlformats.org/officeDocument/2006/customXml" ds:itemID="{023A0C86-DFAD-4150-9CF2-00C3F71A6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229b6d-0f48-4484-9403-a12ac9dfd3ab"/>
    <ds:schemaRef ds:uri="8c67efb5-b33f-4ecf-a5c9-bb89c8bec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Martha</dc:creator>
  <cp:keywords/>
  <dc:description/>
  <cp:lastModifiedBy>Wetzel, Martha</cp:lastModifiedBy>
  <cp:revision>11</cp:revision>
  <dcterms:created xsi:type="dcterms:W3CDTF">2022-10-17T19:58:00Z</dcterms:created>
  <dcterms:modified xsi:type="dcterms:W3CDTF">2022-10-18T20:33:00Z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0x010100A70996B9F2C0914698A59D675A587C52</vt:lpwstr>
  </property>
</Properties>
</file>