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3F1F2" w14:textId="77777777" w:rsidR="00140420" w:rsidRPr="00BC4479" w:rsidRDefault="004A20B9">
      <w:pPr>
        <w:ind w:left="7740"/>
        <w:rPr>
          <w:rFonts w:ascii="Times New Roman" w:hAnsi="Times New Roman" w:cs="Times New Roman"/>
        </w:rPr>
      </w:pPr>
      <w:r w:rsidRPr="00BC4479">
        <w:rPr>
          <w:rFonts w:ascii="Times New Roman" w:hAnsi="Times New Roman" w:cs="Times New Roman"/>
        </w:rPr>
        <w:t>Martha Wetzel</w:t>
      </w:r>
    </w:p>
    <w:p w14:paraId="62D59698" w14:textId="77777777" w:rsidR="004A20B9" w:rsidRPr="00BC4479" w:rsidRDefault="004A20B9">
      <w:pPr>
        <w:ind w:left="7740"/>
        <w:rPr>
          <w:rFonts w:ascii="Times New Roman" w:hAnsi="Times New Roman" w:cs="Times New Roman"/>
        </w:rPr>
      </w:pPr>
      <w:r w:rsidRPr="00BC4479">
        <w:rPr>
          <w:rFonts w:ascii="Times New Roman" w:hAnsi="Times New Roman" w:cs="Times New Roman"/>
        </w:rPr>
        <w:t>ECON 771</w:t>
      </w:r>
    </w:p>
    <w:p w14:paraId="36FF4293" w14:textId="77777777" w:rsidR="004A20B9" w:rsidRPr="00BC4479" w:rsidRDefault="004A20B9">
      <w:pPr>
        <w:ind w:left="7740"/>
        <w:rPr>
          <w:rFonts w:ascii="Times New Roman" w:hAnsi="Times New Roman" w:cs="Times New Roman"/>
        </w:rPr>
      </w:pPr>
      <w:r w:rsidRPr="00BC4479">
        <w:rPr>
          <w:rFonts w:ascii="Times New Roman" w:hAnsi="Times New Roman" w:cs="Times New Roman"/>
        </w:rPr>
        <w:t>Assignment 3</w:t>
      </w:r>
    </w:p>
    <w:p w14:paraId="79A9D6D1" w14:textId="77777777" w:rsidR="004A20B9" w:rsidRPr="00BC4479" w:rsidRDefault="004A20B9" w:rsidP="004A20B9">
      <w:pPr>
        <w:pStyle w:val="ListParagraph"/>
        <w:numPr>
          <w:ilvl w:val="0"/>
          <w:numId w:val="1"/>
        </w:numPr>
        <w:rPr>
          <w:rFonts w:ascii="Times New Roman" w:hAnsi="Times New Roman" w:cs="Times New Roman"/>
        </w:rPr>
      </w:pPr>
      <w:r w:rsidRPr="00BC4479">
        <w:rPr>
          <w:rFonts w:ascii="Times New Roman" w:hAnsi="Times New Roman" w:cs="Times New Roman"/>
        </w:rPr>
        <w:t>The following table presents descriptive statistics from Ericson (2014).</w:t>
      </w:r>
    </w:p>
    <w:tbl>
      <w:tblPr>
        <w:tblW w:w="0" w:type="auto"/>
        <w:jc w:val="center"/>
        <w:tblLayout w:type="fixed"/>
        <w:tblCellMar>
          <w:left w:w="0" w:type="dxa"/>
          <w:right w:w="0" w:type="dxa"/>
        </w:tblCellMar>
        <w:tblLook w:val="0000" w:firstRow="0" w:lastRow="0" w:firstColumn="0" w:lastColumn="0" w:noHBand="0" w:noVBand="0"/>
      </w:tblPr>
      <w:tblGrid>
        <w:gridCol w:w="1728"/>
        <w:gridCol w:w="1382"/>
        <w:gridCol w:w="1484"/>
        <w:gridCol w:w="1484"/>
        <w:gridCol w:w="1484"/>
        <w:gridCol w:w="1484"/>
      </w:tblGrid>
      <w:tr w:rsidR="004A20B9" w:rsidRPr="004A20B9" w14:paraId="4850B3EF" w14:textId="77777777" w:rsidTr="008200EB">
        <w:trPr>
          <w:cantSplit/>
          <w:tblHeader/>
          <w:jc w:val="center"/>
        </w:trPr>
        <w:tc>
          <w:tcPr>
            <w:tcW w:w="1728" w:type="dxa"/>
            <w:tcBorders>
              <w:top w:val="single" w:sz="4" w:space="0" w:color="000000"/>
              <w:left w:val="nil"/>
              <w:bottom w:val="single" w:sz="23" w:space="0" w:color="000000"/>
              <w:right w:val="nil"/>
            </w:tcBorders>
            <w:shd w:val="clear" w:color="auto" w:fill="FFFFFF"/>
            <w:tcMar>
              <w:left w:w="58" w:type="dxa"/>
              <w:right w:w="58" w:type="dxa"/>
            </w:tcMar>
            <w:vAlign w:val="center"/>
          </w:tcPr>
          <w:p w14:paraId="03A312D4"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bookmarkStart w:id="0" w:name="IDX"/>
            <w:bookmarkEnd w:id="0"/>
            <w:r w:rsidRPr="004A20B9">
              <w:rPr>
                <w:rFonts w:ascii="Times New Roman" w:eastAsiaTheme="minorEastAsia" w:hAnsi="Times New Roman" w:cs="Times New Roman"/>
                <w:b/>
                <w:bCs/>
                <w:color w:val="000000"/>
                <w:sz w:val="20"/>
                <w:szCs w:val="20"/>
              </w:rPr>
              <w:t>Variable</w:t>
            </w:r>
          </w:p>
        </w:tc>
        <w:tc>
          <w:tcPr>
            <w:tcW w:w="1382" w:type="dxa"/>
            <w:tcBorders>
              <w:top w:val="single" w:sz="4" w:space="0" w:color="000000"/>
              <w:left w:val="nil"/>
              <w:bottom w:val="single" w:sz="23" w:space="0" w:color="000000"/>
              <w:right w:val="nil"/>
            </w:tcBorders>
            <w:shd w:val="clear" w:color="auto" w:fill="FFFFFF"/>
            <w:tcMar>
              <w:left w:w="58" w:type="dxa"/>
              <w:right w:w="58" w:type="dxa"/>
            </w:tcMar>
            <w:vAlign w:val="center"/>
          </w:tcPr>
          <w:p w14:paraId="22160F15"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4A20B9">
              <w:rPr>
                <w:rFonts w:ascii="Times New Roman" w:eastAsiaTheme="minorEastAsia" w:hAnsi="Times New Roman" w:cs="Times New Roman"/>
                <w:b/>
                <w:bCs/>
                <w:color w:val="000000"/>
                <w:sz w:val="20"/>
                <w:szCs w:val="20"/>
              </w:rPr>
              <w:t>2006</w:t>
            </w:r>
            <w:r w:rsidRPr="004A20B9">
              <w:rPr>
                <w:rFonts w:ascii="Times New Roman" w:eastAsiaTheme="minorEastAsia" w:hAnsi="Times New Roman" w:cs="Times New Roman"/>
                <w:b/>
                <w:bCs/>
                <w:color w:val="000000"/>
                <w:sz w:val="20"/>
                <w:szCs w:val="20"/>
              </w:rPr>
              <w:br/>
              <w:t>N=1429</w:t>
            </w:r>
          </w:p>
        </w:tc>
        <w:tc>
          <w:tcPr>
            <w:tcW w:w="1484" w:type="dxa"/>
            <w:tcBorders>
              <w:top w:val="single" w:sz="4" w:space="0" w:color="000000"/>
              <w:left w:val="nil"/>
              <w:bottom w:val="single" w:sz="23" w:space="0" w:color="000000"/>
              <w:right w:val="nil"/>
            </w:tcBorders>
            <w:shd w:val="clear" w:color="auto" w:fill="FFFFFF"/>
            <w:tcMar>
              <w:left w:w="58" w:type="dxa"/>
              <w:right w:w="58" w:type="dxa"/>
            </w:tcMar>
            <w:vAlign w:val="center"/>
          </w:tcPr>
          <w:p w14:paraId="434D57B8"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4A20B9">
              <w:rPr>
                <w:rFonts w:ascii="Times New Roman" w:eastAsiaTheme="minorEastAsia" w:hAnsi="Times New Roman" w:cs="Times New Roman"/>
                <w:b/>
                <w:bCs/>
                <w:color w:val="000000"/>
                <w:sz w:val="20"/>
                <w:szCs w:val="20"/>
              </w:rPr>
              <w:t>2007</w:t>
            </w:r>
            <w:r w:rsidRPr="004A20B9">
              <w:rPr>
                <w:rFonts w:ascii="Times New Roman" w:eastAsiaTheme="minorEastAsia" w:hAnsi="Times New Roman" w:cs="Times New Roman"/>
                <w:b/>
                <w:bCs/>
                <w:color w:val="000000"/>
                <w:sz w:val="20"/>
                <w:szCs w:val="20"/>
              </w:rPr>
              <w:br/>
              <w:t>N=658</w:t>
            </w:r>
          </w:p>
        </w:tc>
        <w:tc>
          <w:tcPr>
            <w:tcW w:w="1484" w:type="dxa"/>
            <w:tcBorders>
              <w:top w:val="single" w:sz="4" w:space="0" w:color="000000"/>
              <w:left w:val="nil"/>
              <w:bottom w:val="single" w:sz="23" w:space="0" w:color="000000"/>
              <w:right w:val="nil"/>
            </w:tcBorders>
            <w:shd w:val="clear" w:color="auto" w:fill="FFFFFF"/>
            <w:tcMar>
              <w:left w:w="58" w:type="dxa"/>
              <w:right w:w="58" w:type="dxa"/>
            </w:tcMar>
            <w:vAlign w:val="center"/>
          </w:tcPr>
          <w:p w14:paraId="092B0570"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4A20B9">
              <w:rPr>
                <w:rFonts w:ascii="Times New Roman" w:eastAsiaTheme="minorEastAsia" w:hAnsi="Times New Roman" w:cs="Times New Roman"/>
                <w:b/>
                <w:bCs/>
                <w:color w:val="000000"/>
                <w:sz w:val="20"/>
                <w:szCs w:val="20"/>
              </w:rPr>
              <w:t>2008</w:t>
            </w:r>
            <w:r w:rsidRPr="004A20B9">
              <w:rPr>
                <w:rFonts w:ascii="Times New Roman" w:eastAsiaTheme="minorEastAsia" w:hAnsi="Times New Roman" w:cs="Times New Roman"/>
                <w:b/>
                <w:bCs/>
                <w:color w:val="000000"/>
                <w:sz w:val="20"/>
                <w:szCs w:val="20"/>
              </w:rPr>
              <w:br/>
              <w:t>N=202</w:t>
            </w:r>
          </w:p>
        </w:tc>
        <w:tc>
          <w:tcPr>
            <w:tcW w:w="1484" w:type="dxa"/>
            <w:tcBorders>
              <w:top w:val="single" w:sz="4" w:space="0" w:color="000000"/>
              <w:left w:val="nil"/>
              <w:bottom w:val="single" w:sz="23" w:space="0" w:color="000000"/>
              <w:right w:val="nil"/>
            </w:tcBorders>
            <w:shd w:val="clear" w:color="auto" w:fill="FFFFFF"/>
            <w:tcMar>
              <w:left w:w="58" w:type="dxa"/>
              <w:right w:w="58" w:type="dxa"/>
            </w:tcMar>
            <w:vAlign w:val="center"/>
          </w:tcPr>
          <w:p w14:paraId="527C5A20"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4A20B9">
              <w:rPr>
                <w:rFonts w:ascii="Times New Roman" w:eastAsiaTheme="minorEastAsia" w:hAnsi="Times New Roman" w:cs="Times New Roman"/>
                <w:b/>
                <w:bCs/>
                <w:color w:val="000000"/>
                <w:sz w:val="20"/>
                <w:szCs w:val="20"/>
              </w:rPr>
              <w:t>2009</w:t>
            </w:r>
            <w:r w:rsidRPr="004A20B9">
              <w:rPr>
                <w:rFonts w:ascii="Times New Roman" w:eastAsiaTheme="minorEastAsia" w:hAnsi="Times New Roman" w:cs="Times New Roman"/>
                <w:b/>
                <w:bCs/>
                <w:color w:val="000000"/>
                <w:sz w:val="20"/>
                <w:szCs w:val="20"/>
              </w:rPr>
              <w:br/>
              <w:t>N=68</w:t>
            </w:r>
          </w:p>
        </w:tc>
        <w:tc>
          <w:tcPr>
            <w:tcW w:w="1484" w:type="dxa"/>
            <w:tcBorders>
              <w:top w:val="single" w:sz="4" w:space="0" w:color="000000"/>
              <w:left w:val="nil"/>
              <w:bottom w:val="single" w:sz="23" w:space="0" w:color="000000"/>
              <w:right w:val="nil"/>
            </w:tcBorders>
            <w:shd w:val="clear" w:color="auto" w:fill="FFFFFF"/>
            <w:tcMar>
              <w:left w:w="58" w:type="dxa"/>
              <w:right w:w="58" w:type="dxa"/>
            </w:tcMar>
            <w:vAlign w:val="center"/>
          </w:tcPr>
          <w:p w14:paraId="079A5F8F"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b/>
                <w:bCs/>
                <w:color w:val="000000"/>
                <w:sz w:val="20"/>
                <w:szCs w:val="20"/>
              </w:rPr>
            </w:pPr>
            <w:r w:rsidRPr="004A20B9">
              <w:rPr>
                <w:rFonts w:ascii="Times New Roman" w:eastAsiaTheme="minorEastAsia" w:hAnsi="Times New Roman" w:cs="Times New Roman"/>
                <w:b/>
                <w:bCs/>
                <w:color w:val="000000"/>
                <w:sz w:val="20"/>
                <w:szCs w:val="20"/>
              </w:rPr>
              <w:t>2010</w:t>
            </w:r>
            <w:r w:rsidRPr="004A20B9">
              <w:rPr>
                <w:rFonts w:ascii="Times New Roman" w:eastAsiaTheme="minorEastAsia" w:hAnsi="Times New Roman" w:cs="Times New Roman"/>
                <w:b/>
                <w:bCs/>
                <w:color w:val="000000"/>
                <w:sz w:val="20"/>
                <w:szCs w:val="20"/>
              </w:rPr>
              <w:br/>
              <w:t>N=107</w:t>
            </w:r>
          </w:p>
        </w:tc>
      </w:tr>
      <w:tr w:rsidR="004A20B9" w:rsidRPr="004A20B9" w14:paraId="087B004E" w14:textId="77777777" w:rsidTr="008200EB">
        <w:trPr>
          <w:cantSplit/>
          <w:jc w:val="center"/>
        </w:trPr>
        <w:tc>
          <w:tcPr>
            <w:tcW w:w="1728" w:type="dxa"/>
            <w:tcBorders>
              <w:top w:val="nil"/>
              <w:left w:val="nil"/>
              <w:bottom w:val="nil"/>
              <w:right w:val="nil"/>
            </w:tcBorders>
            <w:shd w:val="clear" w:color="auto" w:fill="FFFFFF"/>
            <w:tcMar>
              <w:left w:w="58" w:type="dxa"/>
              <w:right w:w="58" w:type="dxa"/>
            </w:tcMar>
          </w:tcPr>
          <w:p w14:paraId="5B13C07F" w14:textId="77777777" w:rsidR="004A20B9" w:rsidRPr="004A20B9" w:rsidRDefault="004A20B9" w:rsidP="004A20B9">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Mean monthly premium</w:t>
            </w:r>
          </w:p>
        </w:tc>
        <w:tc>
          <w:tcPr>
            <w:tcW w:w="1382" w:type="dxa"/>
            <w:tcBorders>
              <w:top w:val="nil"/>
              <w:left w:val="nil"/>
              <w:bottom w:val="nil"/>
              <w:right w:val="nil"/>
            </w:tcBorders>
            <w:shd w:val="clear" w:color="auto" w:fill="FFFFFF"/>
            <w:tcMar>
              <w:left w:w="58" w:type="dxa"/>
              <w:right w:w="58" w:type="dxa"/>
            </w:tcMar>
          </w:tcPr>
          <w:p w14:paraId="1FCCBED3"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37.43 (12.86)</w:t>
            </w:r>
          </w:p>
        </w:tc>
        <w:tc>
          <w:tcPr>
            <w:tcW w:w="1484" w:type="dxa"/>
            <w:tcBorders>
              <w:top w:val="nil"/>
              <w:left w:val="nil"/>
              <w:bottom w:val="nil"/>
              <w:right w:val="nil"/>
            </w:tcBorders>
            <w:shd w:val="clear" w:color="auto" w:fill="FFFFFF"/>
            <w:tcMar>
              <w:left w:w="58" w:type="dxa"/>
              <w:right w:w="58" w:type="dxa"/>
            </w:tcMar>
          </w:tcPr>
          <w:p w14:paraId="0CC173B5"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40.31 (17.15)</w:t>
            </w:r>
          </w:p>
        </w:tc>
        <w:tc>
          <w:tcPr>
            <w:tcW w:w="1484" w:type="dxa"/>
            <w:tcBorders>
              <w:top w:val="nil"/>
              <w:left w:val="nil"/>
              <w:bottom w:val="nil"/>
              <w:right w:val="nil"/>
            </w:tcBorders>
            <w:shd w:val="clear" w:color="auto" w:fill="FFFFFF"/>
            <w:tcMar>
              <w:left w:w="58" w:type="dxa"/>
              <w:right w:w="58" w:type="dxa"/>
            </w:tcMar>
          </w:tcPr>
          <w:p w14:paraId="74808C11"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35.96 (19.57)</w:t>
            </w:r>
          </w:p>
        </w:tc>
        <w:tc>
          <w:tcPr>
            <w:tcW w:w="1484" w:type="dxa"/>
            <w:tcBorders>
              <w:top w:val="nil"/>
              <w:left w:val="nil"/>
              <w:bottom w:val="nil"/>
              <w:right w:val="nil"/>
            </w:tcBorders>
            <w:shd w:val="clear" w:color="auto" w:fill="FFFFFF"/>
            <w:tcMar>
              <w:left w:w="58" w:type="dxa"/>
              <w:right w:w="58" w:type="dxa"/>
            </w:tcMar>
          </w:tcPr>
          <w:p w14:paraId="028A538D"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30.27 (5.34)</w:t>
            </w:r>
          </w:p>
        </w:tc>
        <w:tc>
          <w:tcPr>
            <w:tcW w:w="1484" w:type="dxa"/>
            <w:tcBorders>
              <w:top w:val="nil"/>
              <w:left w:val="nil"/>
              <w:bottom w:val="nil"/>
              <w:right w:val="nil"/>
            </w:tcBorders>
            <w:shd w:val="clear" w:color="auto" w:fill="FFFFFF"/>
            <w:tcMar>
              <w:left w:w="58" w:type="dxa"/>
              <w:right w:w="58" w:type="dxa"/>
            </w:tcMar>
          </w:tcPr>
          <w:p w14:paraId="0FB406F1"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32.71 (9.22)</w:t>
            </w:r>
          </w:p>
        </w:tc>
      </w:tr>
      <w:tr w:rsidR="004A20B9" w:rsidRPr="004A20B9" w14:paraId="0C0774D0" w14:textId="77777777" w:rsidTr="008200EB">
        <w:trPr>
          <w:cantSplit/>
          <w:jc w:val="center"/>
        </w:trPr>
        <w:tc>
          <w:tcPr>
            <w:tcW w:w="9046" w:type="dxa"/>
            <w:gridSpan w:val="6"/>
            <w:tcBorders>
              <w:top w:val="nil"/>
              <w:left w:val="nil"/>
              <w:bottom w:val="nil"/>
              <w:right w:val="nil"/>
            </w:tcBorders>
            <w:shd w:val="clear" w:color="auto" w:fill="FFFFFF"/>
            <w:tcMar>
              <w:left w:w="58" w:type="dxa"/>
              <w:right w:w="58" w:type="dxa"/>
            </w:tcMar>
          </w:tcPr>
          <w:p w14:paraId="71C77604"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4A20B9" w:rsidRPr="004A20B9" w14:paraId="3A873B78" w14:textId="77777777" w:rsidTr="008200EB">
        <w:trPr>
          <w:cantSplit/>
          <w:jc w:val="center"/>
        </w:trPr>
        <w:tc>
          <w:tcPr>
            <w:tcW w:w="1728" w:type="dxa"/>
            <w:tcBorders>
              <w:top w:val="nil"/>
              <w:left w:val="nil"/>
              <w:bottom w:val="nil"/>
              <w:right w:val="nil"/>
            </w:tcBorders>
            <w:shd w:val="clear" w:color="auto" w:fill="FFFFFF"/>
            <w:tcMar>
              <w:left w:w="58" w:type="dxa"/>
              <w:right w:w="58" w:type="dxa"/>
            </w:tcMar>
          </w:tcPr>
          <w:p w14:paraId="1518FEB2" w14:textId="77777777" w:rsidR="004A20B9" w:rsidRPr="004A20B9" w:rsidRDefault="004A20B9" w:rsidP="004A20B9">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Mean deductible</w:t>
            </w:r>
          </w:p>
        </w:tc>
        <w:tc>
          <w:tcPr>
            <w:tcW w:w="1382" w:type="dxa"/>
            <w:tcBorders>
              <w:top w:val="nil"/>
              <w:left w:val="nil"/>
              <w:bottom w:val="nil"/>
              <w:right w:val="nil"/>
            </w:tcBorders>
            <w:shd w:val="clear" w:color="auto" w:fill="FFFFFF"/>
            <w:tcMar>
              <w:left w:w="58" w:type="dxa"/>
              <w:right w:w="58" w:type="dxa"/>
            </w:tcMar>
          </w:tcPr>
          <w:p w14:paraId="7AEFAFCD"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92.25 (115.79)</w:t>
            </w:r>
          </w:p>
        </w:tc>
        <w:tc>
          <w:tcPr>
            <w:tcW w:w="1484" w:type="dxa"/>
            <w:tcBorders>
              <w:top w:val="nil"/>
              <w:left w:val="nil"/>
              <w:bottom w:val="nil"/>
              <w:right w:val="nil"/>
            </w:tcBorders>
            <w:shd w:val="clear" w:color="auto" w:fill="FFFFFF"/>
            <w:tcMar>
              <w:left w:w="58" w:type="dxa"/>
              <w:right w:w="58" w:type="dxa"/>
            </w:tcMar>
          </w:tcPr>
          <w:p w14:paraId="58385411"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114.10 (127.74)</w:t>
            </w:r>
          </w:p>
        </w:tc>
        <w:tc>
          <w:tcPr>
            <w:tcW w:w="1484" w:type="dxa"/>
            <w:tcBorders>
              <w:top w:val="nil"/>
              <w:left w:val="nil"/>
              <w:bottom w:val="nil"/>
              <w:right w:val="nil"/>
            </w:tcBorders>
            <w:shd w:val="clear" w:color="auto" w:fill="FFFFFF"/>
            <w:tcMar>
              <w:left w:w="58" w:type="dxa"/>
              <w:right w:w="58" w:type="dxa"/>
            </w:tcMar>
          </w:tcPr>
          <w:p w14:paraId="03FDEF1D"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146.29 (124.91)</w:t>
            </w:r>
          </w:p>
        </w:tc>
        <w:tc>
          <w:tcPr>
            <w:tcW w:w="1484" w:type="dxa"/>
            <w:tcBorders>
              <w:top w:val="nil"/>
              <w:left w:val="nil"/>
              <w:bottom w:val="nil"/>
              <w:right w:val="nil"/>
            </w:tcBorders>
            <w:shd w:val="clear" w:color="auto" w:fill="FFFFFF"/>
            <w:tcMar>
              <w:left w:w="58" w:type="dxa"/>
              <w:right w:w="58" w:type="dxa"/>
            </w:tcMar>
          </w:tcPr>
          <w:p w14:paraId="3FCAE455"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253.43 (101.87)</w:t>
            </w:r>
          </w:p>
        </w:tc>
        <w:tc>
          <w:tcPr>
            <w:tcW w:w="1484" w:type="dxa"/>
            <w:tcBorders>
              <w:top w:val="nil"/>
              <w:left w:val="nil"/>
              <w:bottom w:val="nil"/>
              <w:right w:val="nil"/>
            </w:tcBorders>
            <w:shd w:val="clear" w:color="auto" w:fill="FFFFFF"/>
            <w:tcMar>
              <w:left w:w="58" w:type="dxa"/>
              <w:right w:w="58" w:type="dxa"/>
            </w:tcMar>
          </w:tcPr>
          <w:p w14:paraId="65A65E94"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118.04 (138.74)</w:t>
            </w:r>
          </w:p>
        </w:tc>
      </w:tr>
      <w:tr w:rsidR="004A20B9" w:rsidRPr="004A20B9" w14:paraId="552A5058" w14:textId="77777777" w:rsidTr="008200EB">
        <w:trPr>
          <w:cantSplit/>
          <w:jc w:val="center"/>
        </w:trPr>
        <w:tc>
          <w:tcPr>
            <w:tcW w:w="9046" w:type="dxa"/>
            <w:gridSpan w:val="6"/>
            <w:tcBorders>
              <w:top w:val="nil"/>
              <w:left w:val="nil"/>
              <w:bottom w:val="nil"/>
              <w:right w:val="nil"/>
            </w:tcBorders>
            <w:shd w:val="clear" w:color="auto" w:fill="FFFFFF"/>
            <w:tcMar>
              <w:left w:w="58" w:type="dxa"/>
              <w:right w:w="58" w:type="dxa"/>
            </w:tcMar>
          </w:tcPr>
          <w:p w14:paraId="71012D0D"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4A20B9" w:rsidRPr="004A20B9" w14:paraId="121CE59F" w14:textId="77777777" w:rsidTr="008200EB">
        <w:trPr>
          <w:cantSplit/>
          <w:jc w:val="center"/>
        </w:trPr>
        <w:tc>
          <w:tcPr>
            <w:tcW w:w="1728" w:type="dxa"/>
            <w:tcBorders>
              <w:top w:val="nil"/>
              <w:left w:val="nil"/>
              <w:bottom w:val="nil"/>
              <w:right w:val="nil"/>
            </w:tcBorders>
            <w:shd w:val="clear" w:color="auto" w:fill="FFFFFF"/>
            <w:tcMar>
              <w:left w:w="58" w:type="dxa"/>
              <w:right w:w="58" w:type="dxa"/>
            </w:tcMar>
          </w:tcPr>
          <w:p w14:paraId="53592D4A" w14:textId="77777777" w:rsidR="004A20B9" w:rsidRPr="004A20B9" w:rsidRDefault="004A20B9" w:rsidP="004A20B9">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Fraction enhanced benefit</w:t>
            </w:r>
          </w:p>
        </w:tc>
        <w:tc>
          <w:tcPr>
            <w:tcW w:w="1382" w:type="dxa"/>
            <w:tcBorders>
              <w:top w:val="nil"/>
              <w:left w:val="nil"/>
              <w:bottom w:val="nil"/>
              <w:right w:val="nil"/>
            </w:tcBorders>
            <w:shd w:val="clear" w:color="auto" w:fill="FFFFFF"/>
            <w:tcMar>
              <w:left w:w="58" w:type="dxa"/>
              <w:right w:w="58" w:type="dxa"/>
            </w:tcMar>
          </w:tcPr>
          <w:p w14:paraId="1F2B4A40"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0.43</w:t>
            </w:r>
          </w:p>
        </w:tc>
        <w:tc>
          <w:tcPr>
            <w:tcW w:w="1484" w:type="dxa"/>
            <w:tcBorders>
              <w:top w:val="nil"/>
              <w:left w:val="nil"/>
              <w:bottom w:val="nil"/>
              <w:right w:val="nil"/>
            </w:tcBorders>
            <w:shd w:val="clear" w:color="auto" w:fill="FFFFFF"/>
            <w:tcMar>
              <w:left w:w="58" w:type="dxa"/>
              <w:right w:w="58" w:type="dxa"/>
            </w:tcMar>
          </w:tcPr>
          <w:p w14:paraId="5ACC2EF9"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0.43</w:t>
            </w:r>
          </w:p>
        </w:tc>
        <w:tc>
          <w:tcPr>
            <w:tcW w:w="1484" w:type="dxa"/>
            <w:tcBorders>
              <w:top w:val="nil"/>
              <w:left w:val="nil"/>
              <w:bottom w:val="nil"/>
              <w:right w:val="nil"/>
            </w:tcBorders>
            <w:shd w:val="clear" w:color="auto" w:fill="FFFFFF"/>
            <w:tcMar>
              <w:left w:w="58" w:type="dxa"/>
              <w:right w:w="58" w:type="dxa"/>
            </w:tcMar>
          </w:tcPr>
          <w:p w14:paraId="6632E95C"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0.58</w:t>
            </w:r>
          </w:p>
        </w:tc>
        <w:tc>
          <w:tcPr>
            <w:tcW w:w="1484" w:type="dxa"/>
            <w:tcBorders>
              <w:top w:val="nil"/>
              <w:left w:val="nil"/>
              <w:bottom w:val="nil"/>
              <w:right w:val="nil"/>
            </w:tcBorders>
            <w:shd w:val="clear" w:color="auto" w:fill="FFFFFF"/>
            <w:tcMar>
              <w:left w:w="58" w:type="dxa"/>
              <w:right w:w="58" w:type="dxa"/>
            </w:tcMar>
          </w:tcPr>
          <w:p w14:paraId="4A2F65A2"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0.03</w:t>
            </w:r>
          </w:p>
        </w:tc>
        <w:tc>
          <w:tcPr>
            <w:tcW w:w="1484" w:type="dxa"/>
            <w:tcBorders>
              <w:top w:val="nil"/>
              <w:left w:val="nil"/>
              <w:bottom w:val="nil"/>
              <w:right w:val="nil"/>
            </w:tcBorders>
            <w:shd w:val="clear" w:color="auto" w:fill="FFFFFF"/>
            <w:tcMar>
              <w:left w:w="58" w:type="dxa"/>
              <w:right w:w="58" w:type="dxa"/>
            </w:tcMar>
          </w:tcPr>
          <w:p w14:paraId="175AD152"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0.69</w:t>
            </w:r>
          </w:p>
        </w:tc>
      </w:tr>
      <w:tr w:rsidR="004A20B9" w:rsidRPr="004A20B9" w14:paraId="4F2B0B0B" w14:textId="77777777" w:rsidTr="008200EB">
        <w:trPr>
          <w:cantSplit/>
          <w:jc w:val="center"/>
        </w:trPr>
        <w:tc>
          <w:tcPr>
            <w:tcW w:w="9046" w:type="dxa"/>
            <w:gridSpan w:val="6"/>
            <w:tcBorders>
              <w:top w:val="nil"/>
              <w:left w:val="nil"/>
              <w:bottom w:val="nil"/>
              <w:right w:val="nil"/>
            </w:tcBorders>
            <w:shd w:val="clear" w:color="auto" w:fill="FFFFFF"/>
            <w:tcMar>
              <w:left w:w="58" w:type="dxa"/>
              <w:right w:w="58" w:type="dxa"/>
            </w:tcMar>
          </w:tcPr>
          <w:p w14:paraId="79A1CC64"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4A20B9" w:rsidRPr="004A20B9" w14:paraId="651A528E" w14:textId="77777777" w:rsidTr="008200EB">
        <w:trPr>
          <w:cantSplit/>
          <w:jc w:val="center"/>
        </w:trPr>
        <w:tc>
          <w:tcPr>
            <w:tcW w:w="1728" w:type="dxa"/>
            <w:tcBorders>
              <w:top w:val="nil"/>
              <w:left w:val="nil"/>
              <w:bottom w:val="nil"/>
              <w:right w:val="nil"/>
            </w:tcBorders>
            <w:shd w:val="clear" w:color="auto" w:fill="FFFFFF"/>
            <w:tcMar>
              <w:left w:w="58" w:type="dxa"/>
              <w:right w:w="58" w:type="dxa"/>
            </w:tcMar>
          </w:tcPr>
          <w:p w14:paraId="4153826F" w14:textId="77777777" w:rsidR="004A20B9" w:rsidRPr="004A20B9" w:rsidRDefault="004A20B9" w:rsidP="004A20B9">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Fraction of plans offered by firms already offering a plan in the US</w:t>
            </w:r>
          </w:p>
        </w:tc>
        <w:tc>
          <w:tcPr>
            <w:tcW w:w="1382" w:type="dxa"/>
            <w:tcBorders>
              <w:top w:val="nil"/>
              <w:left w:val="nil"/>
              <w:bottom w:val="nil"/>
              <w:right w:val="nil"/>
            </w:tcBorders>
            <w:shd w:val="clear" w:color="auto" w:fill="FFFFFF"/>
            <w:tcMar>
              <w:left w:w="58" w:type="dxa"/>
              <w:right w:w="58" w:type="dxa"/>
            </w:tcMar>
          </w:tcPr>
          <w:p w14:paraId="3BBFA335"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w:t>
            </w:r>
          </w:p>
        </w:tc>
        <w:tc>
          <w:tcPr>
            <w:tcW w:w="1484" w:type="dxa"/>
            <w:tcBorders>
              <w:top w:val="nil"/>
              <w:left w:val="nil"/>
              <w:bottom w:val="nil"/>
              <w:right w:val="nil"/>
            </w:tcBorders>
            <w:shd w:val="clear" w:color="auto" w:fill="FFFFFF"/>
            <w:tcMar>
              <w:left w:w="58" w:type="dxa"/>
              <w:right w:w="58" w:type="dxa"/>
            </w:tcMar>
          </w:tcPr>
          <w:p w14:paraId="41E4FBA6"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0.76</w:t>
            </w:r>
          </w:p>
        </w:tc>
        <w:tc>
          <w:tcPr>
            <w:tcW w:w="1484" w:type="dxa"/>
            <w:tcBorders>
              <w:top w:val="nil"/>
              <w:left w:val="nil"/>
              <w:bottom w:val="nil"/>
              <w:right w:val="nil"/>
            </w:tcBorders>
            <w:shd w:val="clear" w:color="auto" w:fill="FFFFFF"/>
            <w:tcMar>
              <w:left w:w="58" w:type="dxa"/>
              <w:right w:w="58" w:type="dxa"/>
            </w:tcMar>
          </w:tcPr>
          <w:p w14:paraId="0896EF84"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0.98</w:t>
            </w:r>
          </w:p>
        </w:tc>
        <w:tc>
          <w:tcPr>
            <w:tcW w:w="1484" w:type="dxa"/>
            <w:tcBorders>
              <w:top w:val="nil"/>
              <w:left w:val="nil"/>
              <w:bottom w:val="nil"/>
              <w:right w:val="nil"/>
            </w:tcBorders>
            <w:shd w:val="clear" w:color="auto" w:fill="FFFFFF"/>
            <w:tcMar>
              <w:left w:w="58" w:type="dxa"/>
              <w:right w:w="58" w:type="dxa"/>
            </w:tcMar>
          </w:tcPr>
          <w:p w14:paraId="216F571F"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1</w:t>
            </w:r>
          </w:p>
        </w:tc>
        <w:tc>
          <w:tcPr>
            <w:tcW w:w="1484" w:type="dxa"/>
            <w:tcBorders>
              <w:top w:val="nil"/>
              <w:left w:val="nil"/>
              <w:bottom w:val="nil"/>
              <w:right w:val="nil"/>
            </w:tcBorders>
            <w:shd w:val="clear" w:color="auto" w:fill="FFFFFF"/>
            <w:tcMar>
              <w:left w:w="58" w:type="dxa"/>
              <w:right w:w="58" w:type="dxa"/>
            </w:tcMar>
          </w:tcPr>
          <w:p w14:paraId="476E14A1"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0.97</w:t>
            </w:r>
          </w:p>
        </w:tc>
      </w:tr>
      <w:tr w:rsidR="004A20B9" w:rsidRPr="004A20B9" w14:paraId="0A632F4F" w14:textId="77777777" w:rsidTr="008200EB">
        <w:trPr>
          <w:cantSplit/>
          <w:jc w:val="center"/>
        </w:trPr>
        <w:tc>
          <w:tcPr>
            <w:tcW w:w="9046" w:type="dxa"/>
            <w:gridSpan w:val="6"/>
            <w:tcBorders>
              <w:top w:val="nil"/>
              <w:left w:val="nil"/>
              <w:bottom w:val="nil"/>
              <w:right w:val="nil"/>
            </w:tcBorders>
            <w:shd w:val="clear" w:color="auto" w:fill="FFFFFF"/>
            <w:tcMar>
              <w:left w:w="58" w:type="dxa"/>
              <w:right w:w="58" w:type="dxa"/>
            </w:tcMar>
          </w:tcPr>
          <w:p w14:paraId="3DDE0B45"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4A20B9" w:rsidRPr="004A20B9" w14:paraId="13640BCC" w14:textId="77777777" w:rsidTr="008200EB">
        <w:trPr>
          <w:cantSplit/>
          <w:jc w:val="center"/>
        </w:trPr>
        <w:tc>
          <w:tcPr>
            <w:tcW w:w="1728" w:type="dxa"/>
            <w:tcBorders>
              <w:top w:val="nil"/>
              <w:left w:val="nil"/>
              <w:bottom w:val="nil"/>
              <w:right w:val="nil"/>
            </w:tcBorders>
            <w:shd w:val="clear" w:color="auto" w:fill="FFFFFF"/>
            <w:tcMar>
              <w:left w:w="58" w:type="dxa"/>
              <w:right w:w="58" w:type="dxa"/>
            </w:tcMar>
          </w:tcPr>
          <w:p w14:paraId="1A1AA9FE" w14:textId="77777777" w:rsidR="004A20B9" w:rsidRPr="004A20B9" w:rsidRDefault="004A20B9" w:rsidP="004A20B9">
            <w:pPr>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Fraction of plans offered by firms already offering a plan in the same state</w:t>
            </w:r>
          </w:p>
        </w:tc>
        <w:tc>
          <w:tcPr>
            <w:tcW w:w="1382" w:type="dxa"/>
            <w:tcBorders>
              <w:top w:val="nil"/>
              <w:left w:val="nil"/>
              <w:bottom w:val="nil"/>
              <w:right w:val="nil"/>
            </w:tcBorders>
            <w:shd w:val="clear" w:color="auto" w:fill="FFFFFF"/>
            <w:tcMar>
              <w:left w:w="58" w:type="dxa"/>
              <w:right w:w="58" w:type="dxa"/>
            </w:tcMar>
          </w:tcPr>
          <w:p w14:paraId="0BF822E9"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w:t>
            </w:r>
          </w:p>
        </w:tc>
        <w:tc>
          <w:tcPr>
            <w:tcW w:w="1484" w:type="dxa"/>
            <w:tcBorders>
              <w:top w:val="nil"/>
              <w:left w:val="nil"/>
              <w:bottom w:val="nil"/>
              <w:right w:val="nil"/>
            </w:tcBorders>
            <w:shd w:val="clear" w:color="auto" w:fill="FFFFFF"/>
            <w:tcMar>
              <w:left w:w="58" w:type="dxa"/>
              <w:right w:w="58" w:type="dxa"/>
            </w:tcMar>
          </w:tcPr>
          <w:p w14:paraId="495FE982"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0.53</w:t>
            </w:r>
          </w:p>
        </w:tc>
        <w:tc>
          <w:tcPr>
            <w:tcW w:w="1484" w:type="dxa"/>
            <w:tcBorders>
              <w:top w:val="nil"/>
              <w:left w:val="nil"/>
              <w:bottom w:val="nil"/>
              <w:right w:val="nil"/>
            </w:tcBorders>
            <w:shd w:val="clear" w:color="auto" w:fill="FFFFFF"/>
            <w:tcMar>
              <w:left w:w="58" w:type="dxa"/>
              <w:right w:w="58" w:type="dxa"/>
            </w:tcMar>
          </w:tcPr>
          <w:p w14:paraId="7F8E0826"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0.91</w:t>
            </w:r>
          </w:p>
        </w:tc>
        <w:tc>
          <w:tcPr>
            <w:tcW w:w="1484" w:type="dxa"/>
            <w:tcBorders>
              <w:top w:val="nil"/>
              <w:left w:val="nil"/>
              <w:bottom w:val="nil"/>
              <w:right w:val="nil"/>
            </w:tcBorders>
            <w:shd w:val="clear" w:color="auto" w:fill="FFFFFF"/>
            <w:tcMar>
              <w:left w:w="58" w:type="dxa"/>
              <w:right w:w="58" w:type="dxa"/>
            </w:tcMar>
          </w:tcPr>
          <w:p w14:paraId="06DB978A"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0.68</w:t>
            </w:r>
          </w:p>
        </w:tc>
        <w:tc>
          <w:tcPr>
            <w:tcW w:w="1484" w:type="dxa"/>
            <w:tcBorders>
              <w:top w:val="nil"/>
              <w:left w:val="nil"/>
              <w:bottom w:val="nil"/>
              <w:right w:val="nil"/>
            </w:tcBorders>
            <w:shd w:val="clear" w:color="auto" w:fill="FFFFFF"/>
            <w:tcMar>
              <w:left w:w="58" w:type="dxa"/>
              <w:right w:w="58" w:type="dxa"/>
            </w:tcMar>
          </w:tcPr>
          <w:p w14:paraId="315134D1"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0.86</w:t>
            </w:r>
          </w:p>
        </w:tc>
      </w:tr>
      <w:tr w:rsidR="004A20B9" w:rsidRPr="004A20B9" w14:paraId="31B0B58F" w14:textId="77777777" w:rsidTr="008200EB">
        <w:trPr>
          <w:cantSplit/>
          <w:jc w:val="center"/>
        </w:trPr>
        <w:tc>
          <w:tcPr>
            <w:tcW w:w="9046" w:type="dxa"/>
            <w:gridSpan w:val="6"/>
            <w:tcBorders>
              <w:top w:val="nil"/>
              <w:left w:val="nil"/>
              <w:bottom w:val="nil"/>
              <w:right w:val="nil"/>
            </w:tcBorders>
            <w:shd w:val="clear" w:color="auto" w:fill="FFFFFF"/>
            <w:tcMar>
              <w:left w:w="58" w:type="dxa"/>
              <w:right w:w="58" w:type="dxa"/>
            </w:tcMar>
          </w:tcPr>
          <w:p w14:paraId="00254ABC"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r w:rsidR="004A20B9" w:rsidRPr="004A20B9" w14:paraId="13F62018" w14:textId="77777777" w:rsidTr="008200EB">
        <w:trPr>
          <w:cantSplit/>
          <w:jc w:val="center"/>
        </w:trPr>
        <w:tc>
          <w:tcPr>
            <w:tcW w:w="1728" w:type="dxa"/>
            <w:tcBorders>
              <w:top w:val="nil"/>
              <w:left w:val="nil"/>
              <w:bottom w:val="nil"/>
              <w:right w:val="nil"/>
            </w:tcBorders>
            <w:shd w:val="clear" w:color="auto" w:fill="FFFFFF"/>
            <w:tcMar>
              <w:left w:w="58" w:type="dxa"/>
              <w:right w:w="58" w:type="dxa"/>
            </w:tcMar>
          </w:tcPr>
          <w:p w14:paraId="63320FAE" w14:textId="77777777" w:rsidR="004A20B9" w:rsidRPr="004A20B9" w:rsidRDefault="004A20B9" w:rsidP="004A20B9">
            <w:pPr>
              <w:keepNext/>
              <w:autoSpaceDE w:val="0"/>
              <w:autoSpaceDN w:val="0"/>
              <w:adjustRightInd w:val="0"/>
              <w:spacing w:before="58" w:after="58" w:line="240" w:lineRule="auto"/>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Number of unique firms</w:t>
            </w:r>
          </w:p>
        </w:tc>
        <w:tc>
          <w:tcPr>
            <w:tcW w:w="1382" w:type="dxa"/>
            <w:tcBorders>
              <w:top w:val="nil"/>
              <w:left w:val="nil"/>
              <w:bottom w:val="nil"/>
              <w:right w:val="nil"/>
            </w:tcBorders>
            <w:shd w:val="clear" w:color="auto" w:fill="FFFFFF"/>
            <w:tcMar>
              <w:left w:w="58" w:type="dxa"/>
              <w:right w:w="58" w:type="dxa"/>
            </w:tcMar>
          </w:tcPr>
          <w:p w14:paraId="1290818C"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51</w:t>
            </w:r>
          </w:p>
        </w:tc>
        <w:tc>
          <w:tcPr>
            <w:tcW w:w="1484" w:type="dxa"/>
            <w:tcBorders>
              <w:top w:val="nil"/>
              <w:left w:val="nil"/>
              <w:bottom w:val="nil"/>
              <w:right w:val="nil"/>
            </w:tcBorders>
            <w:shd w:val="clear" w:color="auto" w:fill="FFFFFF"/>
            <w:tcMar>
              <w:left w:w="58" w:type="dxa"/>
              <w:right w:w="58" w:type="dxa"/>
            </w:tcMar>
          </w:tcPr>
          <w:p w14:paraId="4CC68A96"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38</w:t>
            </w:r>
          </w:p>
        </w:tc>
        <w:tc>
          <w:tcPr>
            <w:tcW w:w="1484" w:type="dxa"/>
            <w:tcBorders>
              <w:top w:val="nil"/>
              <w:left w:val="nil"/>
              <w:bottom w:val="nil"/>
              <w:right w:val="nil"/>
            </w:tcBorders>
            <w:shd w:val="clear" w:color="auto" w:fill="FFFFFF"/>
            <w:tcMar>
              <w:left w:w="58" w:type="dxa"/>
              <w:right w:w="58" w:type="dxa"/>
            </w:tcMar>
          </w:tcPr>
          <w:p w14:paraId="77BF7534"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16</w:t>
            </w:r>
          </w:p>
        </w:tc>
        <w:tc>
          <w:tcPr>
            <w:tcW w:w="1484" w:type="dxa"/>
            <w:tcBorders>
              <w:top w:val="nil"/>
              <w:left w:val="nil"/>
              <w:bottom w:val="nil"/>
              <w:right w:val="nil"/>
            </w:tcBorders>
            <w:shd w:val="clear" w:color="auto" w:fill="FFFFFF"/>
            <w:tcMar>
              <w:left w:w="58" w:type="dxa"/>
              <w:right w:w="58" w:type="dxa"/>
            </w:tcMar>
          </w:tcPr>
          <w:p w14:paraId="07004E7F"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5</w:t>
            </w:r>
          </w:p>
        </w:tc>
        <w:tc>
          <w:tcPr>
            <w:tcW w:w="1484" w:type="dxa"/>
            <w:tcBorders>
              <w:top w:val="nil"/>
              <w:left w:val="nil"/>
              <w:bottom w:val="nil"/>
              <w:right w:val="nil"/>
            </w:tcBorders>
            <w:shd w:val="clear" w:color="auto" w:fill="FFFFFF"/>
            <w:tcMar>
              <w:left w:w="58" w:type="dxa"/>
              <w:right w:w="58" w:type="dxa"/>
            </w:tcMar>
          </w:tcPr>
          <w:p w14:paraId="31D00254" w14:textId="77777777" w:rsidR="004A20B9" w:rsidRPr="004A20B9" w:rsidRDefault="004A20B9" w:rsidP="004A20B9">
            <w:pPr>
              <w:keepNext/>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r w:rsidRPr="004A20B9">
              <w:rPr>
                <w:rFonts w:ascii="Times New Roman" w:eastAsiaTheme="minorEastAsia" w:hAnsi="Times New Roman" w:cs="Times New Roman"/>
                <w:color w:val="000000"/>
                <w:sz w:val="20"/>
                <w:szCs w:val="20"/>
              </w:rPr>
              <w:t>6</w:t>
            </w:r>
          </w:p>
        </w:tc>
      </w:tr>
      <w:tr w:rsidR="004A20B9" w:rsidRPr="004A20B9" w14:paraId="1C97524E" w14:textId="77777777" w:rsidTr="008200EB">
        <w:trPr>
          <w:cantSplit/>
          <w:jc w:val="center"/>
        </w:trPr>
        <w:tc>
          <w:tcPr>
            <w:tcW w:w="9046" w:type="dxa"/>
            <w:gridSpan w:val="6"/>
            <w:tcBorders>
              <w:top w:val="nil"/>
              <w:left w:val="nil"/>
              <w:bottom w:val="single" w:sz="4" w:space="0" w:color="000000"/>
              <w:right w:val="nil"/>
            </w:tcBorders>
            <w:shd w:val="clear" w:color="auto" w:fill="FFFFFF"/>
            <w:tcMar>
              <w:left w:w="58" w:type="dxa"/>
              <w:right w:w="58" w:type="dxa"/>
            </w:tcMar>
          </w:tcPr>
          <w:p w14:paraId="6439E872" w14:textId="77777777" w:rsidR="004A20B9" w:rsidRPr="004A20B9" w:rsidRDefault="004A20B9" w:rsidP="004A20B9">
            <w:pPr>
              <w:autoSpaceDE w:val="0"/>
              <w:autoSpaceDN w:val="0"/>
              <w:adjustRightInd w:val="0"/>
              <w:spacing w:before="58" w:after="58" w:line="240" w:lineRule="auto"/>
              <w:jc w:val="center"/>
              <w:rPr>
                <w:rFonts w:ascii="Times New Roman" w:eastAsiaTheme="minorEastAsia" w:hAnsi="Times New Roman" w:cs="Times New Roman"/>
                <w:color w:val="000000"/>
                <w:sz w:val="20"/>
                <w:szCs w:val="20"/>
              </w:rPr>
            </w:pPr>
          </w:p>
        </w:tc>
      </w:tr>
    </w:tbl>
    <w:p w14:paraId="743D3B98" w14:textId="77777777" w:rsidR="004A20B9" w:rsidRPr="00BC4479" w:rsidRDefault="004A20B9" w:rsidP="004A20B9">
      <w:pPr>
        <w:pStyle w:val="ListParagraph"/>
        <w:rPr>
          <w:rFonts w:ascii="Times New Roman" w:hAnsi="Times New Roman" w:cs="Times New Roman"/>
        </w:rPr>
      </w:pPr>
    </w:p>
    <w:p w14:paraId="6C243E70" w14:textId="77777777" w:rsidR="004A20B9" w:rsidRPr="00BC4479" w:rsidRDefault="004A20B9" w:rsidP="004A20B9">
      <w:pPr>
        <w:pStyle w:val="ListParagraph"/>
        <w:numPr>
          <w:ilvl w:val="0"/>
          <w:numId w:val="1"/>
        </w:numPr>
        <w:rPr>
          <w:rFonts w:ascii="Times New Roman" w:hAnsi="Times New Roman" w:cs="Times New Roman"/>
        </w:rPr>
      </w:pPr>
      <w:r w:rsidRPr="00BC4479">
        <w:rPr>
          <w:rFonts w:ascii="Times New Roman" w:hAnsi="Times New Roman" w:cs="Times New Roman"/>
        </w:rPr>
        <w:t>A recreation of Figure 3 from Ericson (2014) is presented below.</w:t>
      </w:r>
    </w:p>
    <w:p w14:paraId="457C3138" w14:textId="77777777" w:rsidR="004A20B9" w:rsidRDefault="004A20B9" w:rsidP="004A20B9">
      <w:pPr>
        <w:pStyle w:val="ListParagraph"/>
      </w:pPr>
      <w:r>
        <w:rPr>
          <w:noProof/>
        </w:rPr>
        <w:lastRenderedPageBreak/>
        <w:drawing>
          <wp:inline distT="0" distB="0" distL="0" distR="0" wp14:anchorId="06C9C681" wp14:editId="05D10242">
            <wp:extent cx="4610100" cy="3352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3.png"/>
                    <pic:cNvPicPr/>
                  </pic:nvPicPr>
                  <pic:blipFill>
                    <a:blip r:embed="rId8">
                      <a:extLst>
                        <a:ext uri="{28A0092B-C50C-407E-A947-70E740481C1C}">
                          <a14:useLocalDpi xmlns:a14="http://schemas.microsoft.com/office/drawing/2010/main" val="0"/>
                        </a:ext>
                      </a:extLst>
                    </a:blip>
                    <a:stretch>
                      <a:fillRect/>
                    </a:stretch>
                  </pic:blipFill>
                  <pic:spPr>
                    <a:xfrm>
                      <a:off x="0" y="0"/>
                      <a:ext cx="4632547" cy="3368991"/>
                    </a:xfrm>
                    <a:prstGeom prst="rect">
                      <a:avLst/>
                    </a:prstGeom>
                  </pic:spPr>
                </pic:pic>
              </a:graphicData>
            </a:graphic>
          </wp:inline>
        </w:drawing>
      </w:r>
    </w:p>
    <w:p w14:paraId="487905CA" w14:textId="77777777" w:rsidR="004A20B9" w:rsidRDefault="004A20B9" w:rsidP="004A20B9">
      <w:pPr>
        <w:pStyle w:val="ListParagraph"/>
      </w:pPr>
    </w:p>
    <w:p w14:paraId="59633FA6" w14:textId="77777777" w:rsidR="004A20B9" w:rsidRDefault="004A20B9" w:rsidP="004A20B9">
      <w:pPr>
        <w:pStyle w:val="ListParagraph"/>
      </w:pPr>
    </w:p>
    <w:p w14:paraId="4F8D9CEB" w14:textId="7A121AF3" w:rsidR="004A20B9" w:rsidRPr="00BC4479" w:rsidRDefault="00937281" w:rsidP="004A20B9">
      <w:pPr>
        <w:pStyle w:val="ListParagraph"/>
        <w:numPr>
          <w:ilvl w:val="0"/>
          <w:numId w:val="1"/>
        </w:numPr>
        <w:rPr>
          <w:rFonts w:ascii="Times New Roman" w:hAnsi="Times New Roman" w:cs="Times New Roman"/>
        </w:rPr>
      </w:pPr>
      <w:r w:rsidRPr="00BC4479">
        <w:rPr>
          <w:rFonts w:ascii="Times New Roman" w:hAnsi="Times New Roman" w:cs="Times New Roman"/>
        </w:rPr>
        <w:t>Variants of the graph provided in the text, using different numbers of bins, are provided below.</w:t>
      </w:r>
    </w:p>
    <w:p w14:paraId="23A0C867" w14:textId="1B09191E" w:rsidR="00617D58" w:rsidRDefault="00617D58" w:rsidP="00617D58">
      <w:pPr>
        <w:pStyle w:val="ListParagraph"/>
      </w:pPr>
      <w:r w:rsidRPr="00617D58">
        <w:rPr>
          <w:noProof/>
        </w:rPr>
        <w:drawing>
          <wp:inline distT="0" distB="0" distL="0" distR="0" wp14:anchorId="5728A56D" wp14:editId="5B07FE51">
            <wp:extent cx="4572000" cy="33250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7825" cy="3329327"/>
                    </a:xfrm>
                    <a:prstGeom prst="rect">
                      <a:avLst/>
                    </a:prstGeom>
                    <a:noFill/>
                    <a:ln>
                      <a:noFill/>
                    </a:ln>
                  </pic:spPr>
                </pic:pic>
              </a:graphicData>
            </a:graphic>
          </wp:inline>
        </w:drawing>
      </w:r>
    </w:p>
    <w:p w14:paraId="281ADA8C" w14:textId="4AE4529B" w:rsidR="00937281" w:rsidRDefault="008A17AC" w:rsidP="00937281">
      <w:pPr>
        <w:pStyle w:val="ListParagraph"/>
      </w:pPr>
      <w:r w:rsidRPr="008A17AC">
        <w:rPr>
          <w:noProof/>
        </w:rPr>
        <w:lastRenderedPageBreak/>
        <w:drawing>
          <wp:inline distT="0" distB="0" distL="0" distR="0" wp14:anchorId="6600B8D8" wp14:editId="1452E33D">
            <wp:extent cx="4308872"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8840" cy="3140974"/>
                    </a:xfrm>
                    <a:prstGeom prst="rect">
                      <a:avLst/>
                    </a:prstGeom>
                    <a:noFill/>
                    <a:ln>
                      <a:noFill/>
                    </a:ln>
                  </pic:spPr>
                </pic:pic>
              </a:graphicData>
            </a:graphic>
          </wp:inline>
        </w:drawing>
      </w:r>
    </w:p>
    <w:p w14:paraId="3441EE09" w14:textId="77777777" w:rsidR="006C20C6" w:rsidRDefault="006C20C6" w:rsidP="00937281">
      <w:pPr>
        <w:pStyle w:val="ListParagraph"/>
      </w:pPr>
    </w:p>
    <w:p w14:paraId="6396DF7D" w14:textId="4790D199" w:rsidR="009E6600" w:rsidRPr="00BC4479" w:rsidRDefault="006C20C6" w:rsidP="009E6600">
      <w:pPr>
        <w:pStyle w:val="ListParagraph"/>
        <w:numPr>
          <w:ilvl w:val="0"/>
          <w:numId w:val="1"/>
        </w:numPr>
        <w:rPr>
          <w:rFonts w:ascii="Times New Roman" w:hAnsi="Times New Roman" w:cs="Times New Roman"/>
        </w:rPr>
      </w:pPr>
      <w:r w:rsidRPr="00BC4479">
        <w:rPr>
          <w:rFonts w:ascii="Times New Roman" w:hAnsi="Times New Roman" w:cs="Times New Roman"/>
        </w:rPr>
        <w:t>The integrated mean square error (IMSE) evenly spaced optimal bins method results in six bins below the discontinuity point and five bins above the discontinuity.</w:t>
      </w:r>
    </w:p>
    <w:p w14:paraId="19C5BE04" w14:textId="218B2807" w:rsidR="006C20C6" w:rsidRDefault="006C20C6" w:rsidP="006C20C6">
      <w:pPr>
        <w:pStyle w:val="ListParagraph"/>
      </w:pPr>
      <w:r>
        <w:rPr>
          <w:noProof/>
        </w:rPr>
        <w:drawing>
          <wp:inline distT="0" distB="0" distL="0" distR="0" wp14:anchorId="6A3FBE19" wp14:editId="755F1859">
            <wp:extent cx="4267200" cy="310279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320" cy="3119606"/>
                    </a:xfrm>
                    <a:prstGeom prst="rect">
                      <a:avLst/>
                    </a:prstGeom>
                    <a:noFill/>
                    <a:ln>
                      <a:noFill/>
                    </a:ln>
                  </pic:spPr>
                </pic:pic>
              </a:graphicData>
            </a:graphic>
          </wp:inline>
        </w:drawing>
      </w:r>
    </w:p>
    <w:p w14:paraId="728B47CB" w14:textId="644E19E0" w:rsidR="00C07DA0" w:rsidRDefault="00C07DA0" w:rsidP="006C20C6">
      <w:pPr>
        <w:pStyle w:val="ListParagraph"/>
      </w:pPr>
    </w:p>
    <w:p w14:paraId="4A03B9D5" w14:textId="25E33470" w:rsidR="008D1F65" w:rsidRPr="00BC4479" w:rsidRDefault="00DA77D3" w:rsidP="00C07DA0">
      <w:pPr>
        <w:pStyle w:val="ListParagraph"/>
        <w:numPr>
          <w:ilvl w:val="0"/>
          <w:numId w:val="1"/>
        </w:numPr>
        <w:rPr>
          <w:rFonts w:ascii="Times New Roman" w:hAnsi="Times New Roman" w:cs="Times New Roman"/>
        </w:rPr>
      </w:pPr>
      <w:r w:rsidRPr="00BC4479">
        <w:rPr>
          <w:rFonts w:ascii="Times New Roman" w:hAnsi="Times New Roman" w:cs="Times New Roman"/>
        </w:rPr>
        <w:t>The manipulation test shows weak evidence for manipulation (p=0.08) of the running variable in 2006, when using the data-driven bandwidth of 12.3 for below the discontinuity and 11.9 for above the discontinuity. This result is sensitive to bandwidth selection</w:t>
      </w:r>
      <w:r w:rsidR="00FB37DE" w:rsidRPr="00BC4479">
        <w:rPr>
          <w:rFonts w:ascii="Times New Roman" w:hAnsi="Times New Roman" w:cs="Times New Roman"/>
        </w:rPr>
        <w:t>.</w:t>
      </w:r>
      <w:r w:rsidRPr="00BC4479">
        <w:rPr>
          <w:rFonts w:ascii="Times New Roman" w:hAnsi="Times New Roman" w:cs="Times New Roman"/>
        </w:rPr>
        <w:t xml:space="preserve"> </w:t>
      </w:r>
      <w:r w:rsidR="00FB37DE" w:rsidRPr="00BC4479">
        <w:rPr>
          <w:rFonts w:ascii="Times New Roman" w:hAnsi="Times New Roman" w:cs="Times New Roman"/>
        </w:rPr>
        <w:t>W</w:t>
      </w:r>
      <w:r w:rsidRPr="00BC4479">
        <w:rPr>
          <w:rFonts w:ascii="Times New Roman" w:hAnsi="Times New Roman" w:cs="Times New Roman"/>
        </w:rPr>
        <w:t xml:space="preserve">hen a bandwidth of 4 is used, as is the basis of Table 3 in the paper, the results from this test are insignificant. Furthermore, in 2010, the last year of the measurement period, there is no evidence of manipulation (p=0.48). This presents an interesting paradox; if </w:t>
      </w:r>
      <w:r w:rsidR="00FB37DE" w:rsidRPr="00BC4479">
        <w:rPr>
          <w:rFonts w:ascii="Times New Roman" w:hAnsi="Times New Roman" w:cs="Times New Roman"/>
        </w:rPr>
        <w:t xml:space="preserve">manipulation is possible, one </w:t>
      </w:r>
      <w:r w:rsidR="00FB37DE" w:rsidRPr="00BC4479">
        <w:rPr>
          <w:rFonts w:ascii="Times New Roman" w:hAnsi="Times New Roman" w:cs="Times New Roman"/>
        </w:rPr>
        <w:lastRenderedPageBreak/>
        <w:t xml:space="preserve">would expect more manipulation after plans have had several years to learn the system and hone their manipulation skills. </w:t>
      </w:r>
    </w:p>
    <w:p w14:paraId="23438C34" w14:textId="2A98FBE1" w:rsidR="00C07DA0" w:rsidRPr="00BC4479" w:rsidRDefault="00C07DA0" w:rsidP="00C07DA0">
      <w:pPr>
        <w:pStyle w:val="ListParagraph"/>
        <w:numPr>
          <w:ilvl w:val="0"/>
          <w:numId w:val="1"/>
        </w:numPr>
        <w:rPr>
          <w:rFonts w:ascii="Times New Roman" w:hAnsi="Times New Roman" w:cs="Times New Roman"/>
        </w:rPr>
      </w:pPr>
      <w:r w:rsidRPr="00BC4479">
        <w:rPr>
          <w:rFonts w:ascii="Times New Roman" w:hAnsi="Times New Roman" w:cs="Times New Roman"/>
        </w:rPr>
        <w:t>The table below reproduces Panels A and B from Table 3 of Ericson 2014.</w:t>
      </w:r>
    </w:p>
    <w:p w14:paraId="50BBF880" w14:textId="77777777" w:rsidR="00C07DA0" w:rsidRDefault="00C07DA0" w:rsidP="00C07DA0">
      <w:pPr>
        <w:keepNext/>
        <w:widowControl w:val="0"/>
        <w:autoSpaceDE w:val="0"/>
        <w:autoSpaceDN w:val="0"/>
        <w:adjustRightInd w:val="0"/>
        <w:spacing w:after="0" w:line="240" w:lineRule="auto"/>
        <w:rPr>
          <w:rFonts w:ascii="Times New Roman" w:hAnsi="Times New Roman" w:cs="Times New Roman"/>
          <w:sz w:val="24"/>
          <w:szCs w:val="24"/>
        </w:rPr>
      </w:pPr>
    </w:p>
    <w:p w14:paraId="1D9C5B29" w14:textId="2018C870" w:rsidR="00C07DA0" w:rsidRPr="00BC4479" w:rsidRDefault="00C07DA0" w:rsidP="00C07DA0">
      <w:pPr>
        <w:keepNext/>
        <w:widowControl w:val="0"/>
        <w:autoSpaceDE w:val="0"/>
        <w:autoSpaceDN w:val="0"/>
        <w:adjustRightInd w:val="0"/>
        <w:spacing w:after="0" w:line="240" w:lineRule="auto"/>
        <w:rPr>
          <w:rFonts w:ascii="Times New Roman" w:hAnsi="Times New Roman" w:cs="Times New Roman"/>
          <w:b/>
          <w:sz w:val="24"/>
          <w:szCs w:val="24"/>
        </w:rPr>
      </w:pPr>
      <w:r w:rsidRPr="00BC4479">
        <w:rPr>
          <w:rFonts w:ascii="Times New Roman" w:hAnsi="Times New Roman" w:cs="Times New Roman"/>
          <w:b/>
          <w:sz w:val="24"/>
          <w:szCs w:val="24"/>
        </w:rPr>
        <w:t>Table 3</w:t>
      </w:r>
      <w:r w:rsidR="004631CC" w:rsidRPr="00BC4479">
        <w:rPr>
          <w:rFonts w:ascii="Times New Roman" w:hAnsi="Times New Roman" w:cs="Times New Roman"/>
          <w:b/>
          <w:sz w:val="24"/>
          <w:szCs w:val="24"/>
        </w:rPr>
        <w:t xml:space="preserve"> Panel A</w:t>
      </w:r>
      <w:r w:rsidRPr="00BC4479">
        <w:rPr>
          <w:rFonts w:ascii="Times New Roman" w:hAnsi="Times New Roman" w:cs="Times New Roman"/>
          <w:b/>
          <w:sz w:val="24"/>
          <w:szCs w:val="24"/>
        </w:rPr>
        <w:t>: Effect of LIS Benchmark Status in 2006 on Plan Enrollment</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C07DA0" w14:paraId="3FE3A20D" w14:textId="77777777" w:rsidTr="00C07DA0">
        <w:tc>
          <w:tcPr>
            <w:tcW w:w="2136" w:type="dxa"/>
            <w:tcBorders>
              <w:top w:val="single" w:sz="4" w:space="0" w:color="auto"/>
              <w:left w:val="nil"/>
              <w:bottom w:val="nil"/>
              <w:right w:val="nil"/>
            </w:tcBorders>
          </w:tcPr>
          <w:p w14:paraId="1261EFD7"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single" w:sz="4" w:space="0" w:color="auto"/>
              <w:left w:val="nil"/>
              <w:bottom w:val="nil"/>
              <w:right w:val="nil"/>
            </w:tcBorders>
          </w:tcPr>
          <w:p w14:paraId="523ACA92"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(1)</w:t>
            </w:r>
          </w:p>
        </w:tc>
        <w:tc>
          <w:tcPr>
            <w:tcW w:w="1656" w:type="dxa"/>
            <w:tcBorders>
              <w:top w:val="single" w:sz="4" w:space="0" w:color="auto"/>
              <w:left w:val="nil"/>
              <w:bottom w:val="nil"/>
              <w:right w:val="nil"/>
            </w:tcBorders>
          </w:tcPr>
          <w:p w14:paraId="347A171C"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w:t>
            </w:r>
          </w:p>
        </w:tc>
        <w:tc>
          <w:tcPr>
            <w:tcW w:w="1656" w:type="dxa"/>
            <w:tcBorders>
              <w:top w:val="single" w:sz="4" w:space="0" w:color="auto"/>
              <w:left w:val="nil"/>
              <w:bottom w:val="nil"/>
              <w:right w:val="nil"/>
            </w:tcBorders>
          </w:tcPr>
          <w:p w14:paraId="4AD55F5E"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w:t>
            </w:r>
          </w:p>
        </w:tc>
        <w:tc>
          <w:tcPr>
            <w:tcW w:w="1656" w:type="dxa"/>
            <w:tcBorders>
              <w:top w:val="single" w:sz="4" w:space="0" w:color="auto"/>
              <w:left w:val="nil"/>
              <w:bottom w:val="nil"/>
              <w:right w:val="nil"/>
            </w:tcBorders>
          </w:tcPr>
          <w:p w14:paraId="76B87CF3"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(4)</w:t>
            </w:r>
          </w:p>
        </w:tc>
        <w:tc>
          <w:tcPr>
            <w:tcW w:w="1656" w:type="dxa"/>
            <w:tcBorders>
              <w:top w:val="single" w:sz="4" w:space="0" w:color="auto"/>
              <w:left w:val="nil"/>
              <w:bottom w:val="nil"/>
              <w:right w:val="nil"/>
            </w:tcBorders>
          </w:tcPr>
          <w:p w14:paraId="1E9E7462"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(5)</w:t>
            </w:r>
          </w:p>
        </w:tc>
      </w:tr>
      <w:tr w:rsidR="00C07DA0" w14:paraId="1A5A5A1C" w14:textId="77777777" w:rsidTr="00C07DA0">
        <w:tc>
          <w:tcPr>
            <w:tcW w:w="2136" w:type="dxa"/>
            <w:tcBorders>
              <w:top w:val="nil"/>
              <w:left w:val="nil"/>
              <w:bottom w:val="nil"/>
              <w:right w:val="nil"/>
            </w:tcBorders>
          </w:tcPr>
          <w:p w14:paraId="1ACCAD62"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9244837"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2006</w:t>
            </w:r>
          </w:p>
        </w:tc>
        <w:tc>
          <w:tcPr>
            <w:tcW w:w="1656" w:type="dxa"/>
            <w:tcBorders>
              <w:top w:val="nil"/>
              <w:left w:val="nil"/>
              <w:bottom w:val="nil"/>
              <w:right w:val="nil"/>
            </w:tcBorders>
          </w:tcPr>
          <w:p w14:paraId="3FF347FD"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2007</w:t>
            </w:r>
          </w:p>
        </w:tc>
        <w:tc>
          <w:tcPr>
            <w:tcW w:w="1656" w:type="dxa"/>
            <w:tcBorders>
              <w:top w:val="nil"/>
              <w:left w:val="nil"/>
              <w:bottom w:val="nil"/>
              <w:right w:val="nil"/>
            </w:tcBorders>
          </w:tcPr>
          <w:p w14:paraId="731D7EDD"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2008</w:t>
            </w:r>
          </w:p>
        </w:tc>
        <w:tc>
          <w:tcPr>
            <w:tcW w:w="1656" w:type="dxa"/>
            <w:tcBorders>
              <w:top w:val="nil"/>
              <w:left w:val="nil"/>
              <w:bottom w:val="nil"/>
              <w:right w:val="nil"/>
            </w:tcBorders>
          </w:tcPr>
          <w:p w14:paraId="4D98C8D7"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2009</w:t>
            </w:r>
          </w:p>
        </w:tc>
        <w:tc>
          <w:tcPr>
            <w:tcW w:w="1656" w:type="dxa"/>
            <w:tcBorders>
              <w:top w:val="nil"/>
              <w:left w:val="nil"/>
              <w:bottom w:val="nil"/>
              <w:right w:val="nil"/>
            </w:tcBorders>
          </w:tcPr>
          <w:p w14:paraId="795DB0F3"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2010</w:t>
            </w:r>
          </w:p>
        </w:tc>
      </w:tr>
      <w:tr w:rsidR="00C07DA0" w14:paraId="57ECFE77" w14:textId="77777777" w:rsidTr="00C07DA0">
        <w:tc>
          <w:tcPr>
            <w:tcW w:w="2136" w:type="dxa"/>
            <w:tcBorders>
              <w:top w:val="single" w:sz="4" w:space="0" w:color="auto"/>
              <w:left w:val="nil"/>
              <w:bottom w:val="nil"/>
              <w:right w:val="nil"/>
            </w:tcBorders>
          </w:tcPr>
          <w:p w14:paraId="173F9328"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Below benchmark, 2006</w:t>
            </w:r>
          </w:p>
        </w:tc>
        <w:tc>
          <w:tcPr>
            <w:tcW w:w="1656" w:type="dxa"/>
            <w:tcBorders>
              <w:top w:val="single" w:sz="4" w:space="0" w:color="auto"/>
              <w:left w:val="nil"/>
              <w:bottom w:val="nil"/>
              <w:right w:val="nil"/>
            </w:tcBorders>
          </w:tcPr>
          <w:p w14:paraId="7CFD14BC"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2.224</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14115AC6"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1.332</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78D415C0"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0.902</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7B534CF3"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0.803</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45BBFD30"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0.677</w:t>
            </w:r>
          </w:p>
        </w:tc>
      </w:tr>
      <w:tr w:rsidR="00C07DA0" w14:paraId="1295FDC6" w14:textId="77777777" w:rsidTr="00C07DA0">
        <w:tc>
          <w:tcPr>
            <w:tcW w:w="2136" w:type="dxa"/>
            <w:tcBorders>
              <w:top w:val="nil"/>
              <w:left w:val="nil"/>
              <w:bottom w:val="nil"/>
              <w:right w:val="nil"/>
            </w:tcBorders>
          </w:tcPr>
          <w:p w14:paraId="39EB07E1"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089A04C1"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(0.283)</w:t>
            </w:r>
          </w:p>
        </w:tc>
        <w:tc>
          <w:tcPr>
            <w:tcW w:w="1656" w:type="dxa"/>
            <w:tcBorders>
              <w:top w:val="nil"/>
              <w:left w:val="nil"/>
              <w:bottom w:val="nil"/>
              <w:right w:val="nil"/>
            </w:tcBorders>
          </w:tcPr>
          <w:p w14:paraId="17B51491"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(0.267)</w:t>
            </w:r>
          </w:p>
        </w:tc>
        <w:tc>
          <w:tcPr>
            <w:tcW w:w="1656" w:type="dxa"/>
            <w:tcBorders>
              <w:top w:val="nil"/>
              <w:left w:val="nil"/>
              <w:bottom w:val="nil"/>
              <w:right w:val="nil"/>
            </w:tcBorders>
          </w:tcPr>
          <w:p w14:paraId="18E2B7D9"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(0.248)</w:t>
            </w:r>
          </w:p>
        </w:tc>
        <w:tc>
          <w:tcPr>
            <w:tcW w:w="1656" w:type="dxa"/>
            <w:tcBorders>
              <w:top w:val="nil"/>
              <w:left w:val="nil"/>
              <w:bottom w:val="nil"/>
              <w:right w:val="nil"/>
            </w:tcBorders>
          </w:tcPr>
          <w:p w14:paraId="4CB3CA03"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(0.362)</w:t>
            </w:r>
          </w:p>
        </w:tc>
        <w:tc>
          <w:tcPr>
            <w:tcW w:w="1656" w:type="dxa"/>
            <w:tcBorders>
              <w:top w:val="nil"/>
              <w:left w:val="nil"/>
              <w:bottom w:val="nil"/>
              <w:right w:val="nil"/>
            </w:tcBorders>
          </w:tcPr>
          <w:p w14:paraId="2859A830"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(0.481)</w:t>
            </w:r>
          </w:p>
        </w:tc>
      </w:tr>
      <w:tr w:rsidR="00C07DA0" w14:paraId="0C22AE2C" w14:textId="77777777" w:rsidTr="00C07DA0">
        <w:tc>
          <w:tcPr>
            <w:tcW w:w="2136" w:type="dxa"/>
            <w:tcBorders>
              <w:top w:val="nil"/>
              <w:left w:val="nil"/>
              <w:bottom w:val="nil"/>
              <w:right w:val="nil"/>
            </w:tcBorders>
          </w:tcPr>
          <w:p w14:paraId="1F356195"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5DED6400"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72229CA"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4AA29C2"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F10EF96"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07C42DEE"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r>
      <w:tr w:rsidR="00C07DA0" w14:paraId="29133718" w14:textId="77777777" w:rsidTr="00C07DA0">
        <w:tc>
          <w:tcPr>
            <w:tcW w:w="2136" w:type="dxa"/>
            <w:tcBorders>
              <w:top w:val="nil"/>
              <w:left w:val="nil"/>
              <w:bottom w:val="nil"/>
              <w:right w:val="nil"/>
            </w:tcBorders>
          </w:tcPr>
          <w:p w14:paraId="298095FE"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Premium less subsidy, 2006 Below benchmark</w:t>
            </w:r>
          </w:p>
        </w:tc>
        <w:tc>
          <w:tcPr>
            <w:tcW w:w="1656" w:type="dxa"/>
            <w:tcBorders>
              <w:top w:val="nil"/>
              <w:left w:val="nil"/>
              <w:bottom w:val="nil"/>
              <w:right w:val="nil"/>
            </w:tcBorders>
          </w:tcPr>
          <w:p w14:paraId="4506FA1B"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-0.0141</w:t>
            </w:r>
          </w:p>
        </w:tc>
        <w:tc>
          <w:tcPr>
            <w:tcW w:w="1656" w:type="dxa"/>
            <w:tcBorders>
              <w:top w:val="nil"/>
              <w:left w:val="nil"/>
              <w:bottom w:val="nil"/>
              <w:right w:val="nil"/>
            </w:tcBorders>
          </w:tcPr>
          <w:p w14:paraId="37B5A691"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-0.0774</w:t>
            </w:r>
          </w:p>
        </w:tc>
        <w:tc>
          <w:tcPr>
            <w:tcW w:w="1656" w:type="dxa"/>
            <w:tcBorders>
              <w:top w:val="nil"/>
              <w:left w:val="nil"/>
              <w:bottom w:val="nil"/>
              <w:right w:val="nil"/>
            </w:tcBorders>
          </w:tcPr>
          <w:p w14:paraId="4EC3CA76"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-0.0731</w:t>
            </w:r>
          </w:p>
        </w:tc>
        <w:tc>
          <w:tcPr>
            <w:tcW w:w="1656" w:type="dxa"/>
            <w:tcBorders>
              <w:top w:val="nil"/>
              <w:left w:val="nil"/>
              <w:bottom w:val="nil"/>
              <w:right w:val="nil"/>
            </w:tcBorders>
          </w:tcPr>
          <w:p w14:paraId="483AFD23"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-0.170</w:t>
            </w:r>
          </w:p>
        </w:tc>
        <w:tc>
          <w:tcPr>
            <w:tcW w:w="1656" w:type="dxa"/>
            <w:tcBorders>
              <w:top w:val="nil"/>
              <w:left w:val="nil"/>
              <w:bottom w:val="nil"/>
              <w:right w:val="nil"/>
            </w:tcBorders>
          </w:tcPr>
          <w:p w14:paraId="1A0E139D"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-0.215</w:t>
            </w:r>
            <w:r w:rsidRPr="00210A2E">
              <w:rPr>
                <w:rFonts w:ascii="Times New Roman" w:hAnsi="Times New Roman" w:cs="Times New Roman"/>
                <w:vertAlign w:val="superscript"/>
              </w:rPr>
              <w:t>**</w:t>
            </w:r>
          </w:p>
        </w:tc>
      </w:tr>
      <w:tr w:rsidR="00C07DA0" w14:paraId="4DFBE415" w14:textId="77777777" w:rsidTr="00C07DA0">
        <w:tc>
          <w:tcPr>
            <w:tcW w:w="2136" w:type="dxa"/>
            <w:tcBorders>
              <w:top w:val="nil"/>
              <w:left w:val="nil"/>
              <w:bottom w:val="nil"/>
              <w:right w:val="nil"/>
            </w:tcBorders>
          </w:tcPr>
          <w:p w14:paraId="61354B04"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548BB43D"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(0.0322)</w:t>
            </w:r>
          </w:p>
        </w:tc>
        <w:tc>
          <w:tcPr>
            <w:tcW w:w="1656" w:type="dxa"/>
            <w:tcBorders>
              <w:top w:val="nil"/>
              <w:left w:val="nil"/>
              <w:bottom w:val="nil"/>
              <w:right w:val="nil"/>
            </w:tcBorders>
          </w:tcPr>
          <w:p w14:paraId="0E8E758F"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(0.0882)</w:t>
            </w:r>
          </w:p>
        </w:tc>
        <w:tc>
          <w:tcPr>
            <w:tcW w:w="1656" w:type="dxa"/>
            <w:tcBorders>
              <w:top w:val="nil"/>
              <w:left w:val="nil"/>
              <w:bottom w:val="nil"/>
              <w:right w:val="nil"/>
            </w:tcBorders>
          </w:tcPr>
          <w:p w14:paraId="0A40A9EC"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(0.116)</w:t>
            </w:r>
          </w:p>
        </w:tc>
        <w:tc>
          <w:tcPr>
            <w:tcW w:w="1656" w:type="dxa"/>
            <w:tcBorders>
              <w:top w:val="nil"/>
              <w:left w:val="nil"/>
              <w:bottom w:val="nil"/>
              <w:right w:val="nil"/>
            </w:tcBorders>
          </w:tcPr>
          <w:p w14:paraId="6DC37456"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(0.105)</w:t>
            </w:r>
          </w:p>
        </w:tc>
        <w:tc>
          <w:tcPr>
            <w:tcW w:w="1656" w:type="dxa"/>
            <w:tcBorders>
              <w:top w:val="nil"/>
              <w:left w:val="nil"/>
              <w:bottom w:val="nil"/>
              <w:right w:val="nil"/>
            </w:tcBorders>
          </w:tcPr>
          <w:p w14:paraId="7E52EA85"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(0.0878)</w:t>
            </w:r>
          </w:p>
        </w:tc>
      </w:tr>
      <w:tr w:rsidR="00C07DA0" w14:paraId="39CB6604" w14:textId="77777777" w:rsidTr="00C07DA0">
        <w:tc>
          <w:tcPr>
            <w:tcW w:w="2136" w:type="dxa"/>
            <w:tcBorders>
              <w:top w:val="nil"/>
              <w:left w:val="nil"/>
              <w:bottom w:val="nil"/>
              <w:right w:val="nil"/>
            </w:tcBorders>
          </w:tcPr>
          <w:p w14:paraId="5369C588"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BCBCC53"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46A3E6D"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2AE9D73B"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7F2C12E"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6E9FE3D"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r>
      <w:tr w:rsidR="00C07DA0" w14:paraId="6F656C7E" w14:textId="77777777" w:rsidTr="00C07DA0">
        <w:tc>
          <w:tcPr>
            <w:tcW w:w="2136" w:type="dxa"/>
            <w:tcBorders>
              <w:top w:val="nil"/>
              <w:left w:val="nil"/>
              <w:bottom w:val="nil"/>
              <w:right w:val="nil"/>
            </w:tcBorders>
          </w:tcPr>
          <w:p w14:paraId="4B158AF5"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Premium less subsidy, 2006 Above benchmark</w:t>
            </w:r>
          </w:p>
        </w:tc>
        <w:tc>
          <w:tcPr>
            <w:tcW w:w="1656" w:type="dxa"/>
            <w:tcBorders>
              <w:top w:val="nil"/>
              <w:left w:val="nil"/>
              <w:bottom w:val="nil"/>
              <w:right w:val="nil"/>
            </w:tcBorders>
          </w:tcPr>
          <w:p w14:paraId="1480BB3D"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-0.142</w:t>
            </w:r>
            <w:r w:rsidRPr="00210A2E">
              <w:rPr>
                <w:rFonts w:ascii="Times New Roman" w:hAnsi="Times New Roman" w:cs="Times New Roman"/>
                <w:vertAlign w:val="superscript"/>
              </w:rPr>
              <w:t>*</w:t>
            </w:r>
          </w:p>
        </w:tc>
        <w:tc>
          <w:tcPr>
            <w:tcW w:w="1656" w:type="dxa"/>
            <w:tcBorders>
              <w:top w:val="nil"/>
              <w:left w:val="nil"/>
              <w:bottom w:val="nil"/>
              <w:right w:val="nil"/>
            </w:tcBorders>
          </w:tcPr>
          <w:p w14:paraId="299BCBA8"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-0.0331</w:t>
            </w:r>
          </w:p>
        </w:tc>
        <w:tc>
          <w:tcPr>
            <w:tcW w:w="1656" w:type="dxa"/>
            <w:tcBorders>
              <w:top w:val="nil"/>
              <w:left w:val="nil"/>
              <w:bottom w:val="nil"/>
              <w:right w:val="nil"/>
            </w:tcBorders>
          </w:tcPr>
          <w:p w14:paraId="58E0C438"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0.0494</w:t>
            </w:r>
          </w:p>
        </w:tc>
        <w:tc>
          <w:tcPr>
            <w:tcW w:w="1656" w:type="dxa"/>
            <w:tcBorders>
              <w:top w:val="nil"/>
              <w:left w:val="nil"/>
              <w:bottom w:val="nil"/>
              <w:right w:val="nil"/>
            </w:tcBorders>
          </w:tcPr>
          <w:p w14:paraId="41D49087"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0.0737</w:t>
            </w:r>
          </w:p>
        </w:tc>
        <w:tc>
          <w:tcPr>
            <w:tcW w:w="1656" w:type="dxa"/>
            <w:tcBorders>
              <w:top w:val="nil"/>
              <w:left w:val="nil"/>
              <w:bottom w:val="nil"/>
              <w:right w:val="nil"/>
            </w:tcBorders>
          </w:tcPr>
          <w:p w14:paraId="12B9725F"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0.0488</w:t>
            </w:r>
          </w:p>
        </w:tc>
      </w:tr>
      <w:tr w:rsidR="00C07DA0" w14:paraId="7C0BBD12" w14:textId="77777777" w:rsidTr="00C07DA0">
        <w:tc>
          <w:tcPr>
            <w:tcW w:w="2136" w:type="dxa"/>
            <w:tcBorders>
              <w:top w:val="nil"/>
              <w:left w:val="nil"/>
              <w:bottom w:val="nil"/>
              <w:right w:val="nil"/>
            </w:tcBorders>
          </w:tcPr>
          <w:p w14:paraId="210010A4"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A8B2897"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(0.0783)</w:t>
            </w:r>
          </w:p>
        </w:tc>
        <w:tc>
          <w:tcPr>
            <w:tcW w:w="1656" w:type="dxa"/>
            <w:tcBorders>
              <w:top w:val="nil"/>
              <w:left w:val="nil"/>
              <w:bottom w:val="nil"/>
              <w:right w:val="nil"/>
            </w:tcBorders>
          </w:tcPr>
          <w:p w14:paraId="67A0E77E"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(0.110)</w:t>
            </w:r>
          </w:p>
        </w:tc>
        <w:tc>
          <w:tcPr>
            <w:tcW w:w="1656" w:type="dxa"/>
            <w:tcBorders>
              <w:top w:val="nil"/>
              <w:left w:val="nil"/>
              <w:bottom w:val="nil"/>
              <w:right w:val="nil"/>
            </w:tcBorders>
          </w:tcPr>
          <w:p w14:paraId="22DDC749"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(0.163)</w:t>
            </w:r>
          </w:p>
        </w:tc>
        <w:tc>
          <w:tcPr>
            <w:tcW w:w="1656" w:type="dxa"/>
            <w:tcBorders>
              <w:top w:val="nil"/>
              <w:left w:val="nil"/>
              <w:bottom w:val="nil"/>
              <w:right w:val="nil"/>
            </w:tcBorders>
          </w:tcPr>
          <w:p w14:paraId="3132EE52"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(0.170)</w:t>
            </w:r>
          </w:p>
        </w:tc>
        <w:tc>
          <w:tcPr>
            <w:tcW w:w="1656" w:type="dxa"/>
            <w:tcBorders>
              <w:top w:val="nil"/>
              <w:left w:val="nil"/>
              <w:bottom w:val="nil"/>
              <w:right w:val="nil"/>
            </w:tcBorders>
          </w:tcPr>
          <w:p w14:paraId="09ED9F7A"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(0.202)</w:t>
            </w:r>
          </w:p>
        </w:tc>
      </w:tr>
      <w:tr w:rsidR="00C07DA0" w14:paraId="310BEBB5" w14:textId="77777777" w:rsidTr="004631CC">
        <w:tc>
          <w:tcPr>
            <w:tcW w:w="2136" w:type="dxa"/>
            <w:tcBorders>
              <w:top w:val="nil"/>
              <w:left w:val="nil"/>
              <w:bottom w:val="single" w:sz="4" w:space="0" w:color="auto"/>
              <w:right w:val="nil"/>
            </w:tcBorders>
          </w:tcPr>
          <w:p w14:paraId="69614CC1"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54CA73A2"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75C300CA"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550237A6"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511DB54B"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7BC0DDDA"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p>
        </w:tc>
      </w:tr>
      <w:tr w:rsidR="00C07DA0" w14:paraId="53786FB7" w14:textId="77777777" w:rsidTr="004631CC">
        <w:tc>
          <w:tcPr>
            <w:tcW w:w="2136" w:type="dxa"/>
            <w:tcBorders>
              <w:top w:val="single" w:sz="4" w:space="0" w:color="auto"/>
              <w:left w:val="nil"/>
              <w:bottom w:val="single" w:sz="4" w:space="0" w:color="auto"/>
              <w:right w:val="nil"/>
            </w:tcBorders>
          </w:tcPr>
          <w:p w14:paraId="2BC74135" w14:textId="77777777" w:rsidR="00C07DA0" w:rsidRPr="00210A2E" w:rsidRDefault="00C07DA0" w:rsidP="008200EB">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Observations</w:t>
            </w:r>
          </w:p>
        </w:tc>
        <w:tc>
          <w:tcPr>
            <w:tcW w:w="1656" w:type="dxa"/>
            <w:tcBorders>
              <w:top w:val="single" w:sz="4" w:space="0" w:color="auto"/>
              <w:left w:val="nil"/>
              <w:bottom w:val="single" w:sz="4" w:space="0" w:color="auto"/>
              <w:right w:val="nil"/>
            </w:tcBorders>
          </w:tcPr>
          <w:p w14:paraId="161D670C"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306</w:t>
            </w:r>
          </w:p>
        </w:tc>
        <w:tc>
          <w:tcPr>
            <w:tcW w:w="1656" w:type="dxa"/>
            <w:tcBorders>
              <w:top w:val="single" w:sz="4" w:space="0" w:color="auto"/>
              <w:left w:val="nil"/>
              <w:bottom w:val="single" w:sz="4" w:space="0" w:color="auto"/>
              <w:right w:val="nil"/>
            </w:tcBorders>
          </w:tcPr>
          <w:p w14:paraId="0106F435"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299</w:t>
            </w:r>
          </w:p>
        </w:tc>
        <w:tc>
          <w:tcPr>
            <w:tcW w:w="1656" w:type="dxa"/>
            <w:tcBorders>
              <w:top w:val="single" w:sz="4" w:space="0" w:color="auto"/>
              <w:left w:val="nil"/>
              <w:bottom w:val="single" w:sz="4" w:space="0" w:color="auto"/>
              <w:right w:val="nil"/>
            </w:tcBorders>
          </w:tcPr>
          <w:p w14:paraId="02D33541"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298</w:t>
            </w:r>
          </w:p>
        </w:tc>
        <w:tc>
          <w:tcPr>
            <w:tcW w:w="1656" w:type="dxa"/>
            <w:tcBorders>
              <w:top w:val="single" w:sz="4" w:space="0" w:color="auto"/>
              <w:left w:val="nil"/>
              <w:bottom w:val="single" w:sz="4" w:space="0" w:color="auto"/>
              <w:right w:val="nil"/>
            </w:tcBorders>
          </w:tcPr>
          <w:p w14:paraId="7BAEA13A"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246</w:t>
            </w:r>
          </w:p>
        </w:tc>
        <w:tc>
          <w:tcPr>
            <w:tcW w:w="1656" w:type="dxa"/>
            <w:tcBorders>
              <w:top w:val="single" w:sz="4" w:space="0" w:color="auto"/>
              <w:left w:val="nil"/>
              <w:bottom w:val="single" w:sz="4" w:space="0" w:color="auto"/>
              <w:right w:val="nil"/>
            </w:tcBorders>
          </w:tcPr>
          <w:p w14:paraId="756C369F" w14:textId="77777777" w:rsidR="00C07DA0" w:rsidRPr="00210A2E" w:rsidRDefault="00C07DA0"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212</w:t>
            </w:r>
          </w:p>
        </w:tc>
      </w:tr>
    </w:tbl>
    <w:p w14:paraId="4E62A65B" w14:textId="77777777" w:rsidR="00C07DA0" w:rsidRPr="004631CC" w:rsidRDefault="00C07DA0" w:rsidP="004631CC">
      <w:pPr>
        <w:widowControl w:val="0"/>
        <w:autoSpaceDE w:val="0"/>
        <w:autoSpaceDN w:val="0"/>
        <w:adjustRightInd w:val="0"/>
        <w:spacing w:after="0" w:line="240" w:lineRule="auto"/>
        <w:rPr>
          <w:rFonts w:ascii="Times New Roman" w:hAnsi="Times New Roman" w:cs="Times New Roman"/>
          <w:sz w:val="20"/>
          <w:szCs w:val="20"/>
        </w:rPr>
      </w:pPr>
      <w:r w:rsidRPr="004631CC">
        <w:rPr>
          <w:rFonts w:ascii="Times New Roman" w:hAnsi="Times New Roman" w:cs="Times New Roman"/>
          <w:sz w:val="20"/>
          <w:szCs w:val="20"/>
        </w:rPr>
        <w:t>*** 1% ** 5% * 10%</w:t>
      </w:r>
    </w:p>
    <w:p w14:paraId="3994D9F5" w14:textId="77777777" w:rsidR="00C07DA0" w:rsidRPr="004631CC" w:rsidRDefault="00C07DA0" w:rsidP="004631CC">
      <w:pPr>
        <w:widowControl w:val="0"/>
        <w:autoSpaceDE w:val="0"/>
        <w:autoSpaceDN w:val="0"/>
        <w:adjustRightInd w:val="0"/>
        <w:spacing w:after="0" w:line="240" w:lineRule="auto"/>
        <w:ind w:left="360"/>
        <w:rPr>
          <w:rFonts w:ascii="Times New Roman" w:hAnsi="Times New Roman" w:cs="Times New Roman"/>
          <w:sz w:val="20"/>
          <w:szCs w:val="20"/>
        </w:rPr>
      </w:pPr>
    </w:p>
    <w:p w14:paraId="6DB7E4C0" w14:textId="71CE24FC" w:rsidR="00C07DA0" w:rsidRDefault="00C07DA0" w:rsidP="00C07DA0"/>
    <w:p w14:paraId="6825F0AE" w14:textId="3CA89A0E" w:rsidR="004631CC" w:rsidRPr="00BC4479" w:rsidRDefault="004631CC" w:rsidP="004631CC">
      <w:pPr>
        <w:keepNext/>
        <w:widowControl w:val="0"/>
        <w:autoSpaceDE w:val="0"/>
        <w:autoSpaceDN w:val="0"/>
        <w:adjustRightInd w:val="0"/>
        <w:spacing w:after="0" w:line="240" w:lineRule="auto"/>
        <w:rPr>
          <w:rFonts w:ascii="Times New Roman" w:hAnsi="Times New Roman" w:cs="Times New Roman"/>
          <w:b/>
          <w:sz w:val="24"/>
          <w:szCs w:val="24"/>
        </w:rPr>
      </w:pPr>
      <w:r w:rsidRPr="00BC4479">
        <w:rPr>
          <w:rFonts w:ascii="Times New Roman" w:hAnsi="Times New Roman" w:cs="Times New Roman"/>
          <w:b/>
          <w:sz w:val="24"/>
          <w:szCs w:val="24"/>
        </w:rPr>
        <w:t>Table 3 Panel B: Effect of LIS Benchmark Status in 2006 on Plan Enrollment</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4631CC" w14:paraId="388E22B9" w14:textId="77777777" w:rsidTr="004631CC">
        <w:tc>
          <w:tcPr>
            <w:tcW w:w="2136" w:type="dxa"/>
            <w:tcBorders>
              <w:top w:val="single" w:sz="4" w:space="0" w:color="auto"/>
              <w:left w:val="nil"/>
              <w:bottom w:val="nil"/>
              <w:right w:val="nil"/>
            </w:tcBorders>
          </w:tcPr>
          <w:p w14:paraId="128F3661"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single" w:sz="4" w:space="0" w:color="auto"/>
              <w:left w:val="nil"/>
              <w:bottom w:val="nil"/>
              <w:right w:val="nil"/>
            </w:tcBorders>
          </w:tcPr>
          <w:p w14:paraId="1B25E1AF"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(1)</w:t>
            </w:r>
          </w:p>
        </w:tc>
        <w:tc>
          <w:tcPr>
            <w:tcW w:w="1656" w:type="dxa"/>
            <w:tcBorders>
              <w:top w:val="single" w:sz="4" w:space="0" w:color="auto"/>
              <w:left w:val="nil"/>
              <w:bottom w:val="nil"/>
              <w:right w:val="nil"/>
            </w:tcBorders>
          </w:tcPr>
          <w:p w14:paraId="174FC421"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w:t>
            </w:r>
          </w:p>
        </w:tc>
        <w:tc>
          <w:tcPr>
            <w:tcW w:w="1656" w:type="dxa"/>
            <w:tcBorders>
              <w:top w:val="single" w:sz="4" w:space="0" w:color="auto"/>
              <w:left w:val="nil"/>
              <w:bottom w:val="nil"/>
              <w:right w:val="nil"/>
            </w:tcBorders>
          </w:tcPr>
          <w:p w14:paraId="6A23D963"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w:t>
            </w:r>
          </w:p>
        </w:tc>
        <w:tc>
          <w:tcPr>
            <w:tcW w:w="1656" w:type="dxa"/>
            <w:tcBorders>
              <w:top w:val="single" w:sz="4" w:space="0" w:color="auto"/>
              <w:left w:val="nil"/>
              <w:bottom w:val="nil"/>
              <w:right w:val="nil"/>
            </w:tcBorders>
          </w:tcPr>
          <w:p w14:paraId="7C579C07"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(4)</w:t>
            </w:r>
          </w:p>
        </w:tc>
        <w:tc>
          <w:tcPr>
            <w:tcW w:w="1656" w:type="dxa"/>
            <w:tcBorders>
              <w:top w:val="single" w:sz="4" w:space="0" w:color="auto"/>
              <w:left w:val="nil"/>
              <w:bottom w:val="nil"/>
              <w:right w:val="nil"/>
            </w:tcBorders>
          </w:tcPr>
          <w:p w14:paraId="4809BC6B"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(5)</w:t>
            </w:r>
          </w:p>
        </w:tc>
      </w:tr>
      <w:tr w:rsidR="004631CC" w14:paraId="637E8287" w14:textId="77777777" w:rsidTr="004631CC">
        <w:tc>
          <w:tcPr>
            <w:tcW w:w="2136" w:type="dxa"/>
            <w:tcBorders>
              <w:top w:val="nil"/>
              <w:left w:val="nil"/>
              <w:bottom w:val="nil"/>
              <w:right w:val="nil"/>
            </w:tcBorders>
          </w:tcPr>
          <w:p w14:paraId="3FD6E27B"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1BB6944"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2006</w:t>
            </w:r>
          </w:p>
        </w:tc>
        <w:tc>
          <w:tcPr>
            <w:tcW w:w="1656" w:type="dxa"/>
            <w:tcBorders>
              <w:top w:val="nil"/>
              <w:left w:val="nil"/>
              <w:bottom w:val="nil"/>
              <w:right w:val="nil"/>
            </w:tcBorders>
          </w:tcPr>
          <w:p w14:paraId="7DC234B5"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2007</w:t>
            </w:r>
          </w:p>
        </w:tc>
        <w:tc>
          <w:tcPr>
            <w:tcW w:w="1656" w:type="dxa"/>
            <w:tcBorders>
              <w:top w:val="nil"/>
              <w:left w:val="nil"/>
              <w:bottom w:val="nil"/>
              <w:right w:val="nil"/>
            </w:tcBorders>
          </w:tcPr>
          <w:p w14:paraId="1E6D103F"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2008</w:t>
            </w:r>
          </w:p>
        </w:tc>
        <w:tc>
          <w:tcPr>
            <w:tcW w:w="1656" w:type="dxa"/>
            <w:tcBorders>
              <w:top w:val="nil"/>
              <w:left w:val="nil"/>
              <w:bottom w:val="nil"/>
              <w:right w:val="nil"/>
            </w:tcBorders>
          </w:tcPr>
          <w:p w14:paraId="59150A8A"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2009</w:t>
            </w:r>
          </w:p>
        </w:tc>
        <w:tc>
          <w:tcPr>
            <w:tcW w:w="1656" w:type="dxa"/>
            <w:tcBorders>
              <w:top w:val="nil"/>
              <w:left w:val="nil"/>
              <w:bottom w:val="nil"/>
              <w:right w:val="nil"/>
            </w:tcBorders>
          </w:tcPr>
          <w:p w14:paraId="17423F2E"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2010</w:t>
            </w:r>
          </w:p>
        </w:tc>
      </w:tr>
      <w:tr w:rsidR="004631CC" w14:paraId="0F544AE3" w14:textId="77777777" w:rsidTr="004631CC">
        <w:tc>
          <w:tcPr>
            <w:tcW w:w="2136" w:type="dxa"/>
            <w:tcBorders>
              <w:top w:val="single" w:sz="4" w:space="0" w:color="auto"/>
              <w:left w:val="nil"/>
              <w:bottom w:val="nil"/>
              <w:right w:val="nil"/>
            </w:tcBorders>
          </w:tcPr>
          <w:p w14:paraId="07626570"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Below benchmark, 2006</w:t>
            </w:r>
          </w:p>
        </w:tc>
        <w:tc>
          <w:tcPr>
            <w:tcW w:w="1656" w:type="dxa"/>
            <w:tcBorders>
              <w:top w:val="single" w:sz="4" w:space="0" w:color="auto"/>
              <w:left w:val="nil"/>
              <w:bottom w:val="nil"/>
              <w:right w:val="nil"/>
            </w:tcBorders>
          </w:tcPr>
          <w:p w14:paraId="64DA3ED8"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1.999</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23A9D769"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1.066</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45B9A30C"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0.630</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7DB0DD45"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0.483</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05259F13"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0.411</w:t>
            </w:r>
          </w:p>
        </w:tc>
      </w:tr>
      <w:tr w:rsidR="004631CC" w14:paraId="422D17FA" w14:textId="77777777" w:rsidTr="004631CC">
        <w:tc>
          <w:tcPr>
            <w:tcW w:w="2136" w:type="dxa"/>
            <w:tcBorders>
              <w:top w:val="nil"/>
              <w:left w:val="nil"/>
              <w:bottom w:val="nil"/>
              <w:right w:val="nil"/>
            </w:tcBorders>
          </w:tcPr>
          <w:p w14:paraId="2FC995AC"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37FAB98"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(0.318)</w:t>
            </w:r>
          </w:p>
        </w:tc>
        <w:tc>
          <w:tcPr>
            <w:tcW w:w="1656" w:type="dxa"/>
            <w:tcBorders>
              <w:top w:val="nil"/>
              <w:left w:val="nil"/>
              <w:bottom w:val="nil"/>
              <w:right w:val="nil"/>
            </w:tcBorders>
          </w:tcPr>
          <w:p w14:paraId="33E6C454"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(0.259)</w:t>
            </w:r>
          </w:p>
        </w:tc>
        <w:tc>
          <w:tcPr>
            <w:tcW w:w="1656" w:type="dxa"/>
            <w:tcBorders>
              <w:top w:val="nil"/>
              <w:left w:val="nil"/>
              <w:bottom w:val="nil"/>
              <w:right w:val="nil"/>
            </w:tcBorders>
          </w:tcPr>
          <w:p w14:paraId="3706A9C0"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(0.179)</w:t>
            </w:r>
          </w:p>
        </w:tc>
        <w:tc>
          <w:tcPr>
            <w:tcW w:w="1656" w:type="dxa"/>
            <w:tcBorders>
              <w:top w:val="nil"/>
              <w:left w:val="nil"/>
              <w:bottom w:val="nil"/>
              <w:right w:val="nil"/>
            </w:tcBorders>
          </w:tcPr>
          <w:p w14:paraId="15AAFF6C"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(0.219)</w:t>
            </w:r>
          </w:p>
        </w:tc>
        <w:tc>
          <w:tcPr>
            <w:tcW w:w="1656" w:type="dxa"/>
            <w:tcBorders>
              <w:top w:val="nil"/>
              <w:left w:val="nil"/>
              <w:bottom w:val="nil"/>
              <w:right w:val="nil"/>
            </w:tcBorders>
          </w:tcPr>
          <w:p w14:paraId="5C158F73"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(0.328)</w:t>
            </w:r>
          </w:p>
        </w:tc>
      </w:tr>
      <w:tr w:rsidR="004631CC" w14:paraId="65D81D9A" w14:textId="77777777" w:rsidTr="004631CC">
        <w:tc>
          <w:tcPr>
            <w:tcW w:w="2136" w:type="dxa"/>
            <w:tcBorders>
              <w:top w:val="nil"/>
              <w:left w:val="nil"/>
              <w:bottom w:val="single" w:sz="4" w:space="0" w:color="auto"/>
              <w:right w:val="nil"/>
            </w:tcBorders>
          </w:tcPr>
          <w:p w14:paraId="56FDAC8F"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5CD1C283"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76201040"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471C6056"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26A88B1A"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2AED1F57"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p>
        </w:tc>
      </w:tr>
      <w:tr w:rsidR="004631CC" w14:paraId="33CA148D" w14:textId="77777777" w:rsidTr="004631CC">
        <w:tc>
          <w:tcPr>
            <w:tcW w:w="2136" w:type="dxa"/>
            <w:tcBorders>
              <w:top w:val="single" w:sz="4" w:space="0" w:color="auto"/>
              <w:left w:val="nil"/>
              <w:bottom w:val="single" w:sz="4" w:space="0" w:color="auto"/>
              <w:right w:val="nil"/>
            </w:tcBorders>
          </w:tcPr>
          <w:p w14:paraId="5A04D765" w14:textId="77777777" w:rsidR="004631CC" w:rsidRPr="00210A2E" w:rsidRDefault="004631CC" w:rsidP="008200EB">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Observations</w:t>
            </w:r>
          </w:p>
        </w:tc>
        <w:tc>
          <w:tcPr>
            <w:tcW w:w="1656" w:type="dxa"/>
            <w:tcBorders>
              <w:top w:val="single" w:sz="4" w:space="0" w:color="auto"/>
              <w:left w:val="nil"/>
              <w:bottom w:val="single" w:sz="4" w:space="0" w:color="auto"/>
              <w:right w:val="nil"/>
            </w:tcBorders>
          </w:tcPr>
          <w:p w14:paraId="06C82971"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591</w:t>
            </w:r>
          </w:p>
        </w:tc>
        <w:tc>
          <w:tcPr>
            <w:tcW w:w="1656" w:type="dxa"/>
            <w:tcBorders>
              <w:top w:val="single" w:sz="4" w:space="0" w:color="auto"/>
              <w:left w:val="nil"/>
              <w:bottom w:val="single" w:sz="4" w:space="0" w:color="auto"/>
              <w:right w:val="nil"/>
            </w:tcBorders>
          </w:tcPr>
          <w:p w14:paraId="47EA8F2B"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529</w:t>
            </w:r>
          </w:p>
        </w:tc>
        <w:tc>
          <w:tcPr>
            <w:tcW w:w="1656" w:type="dxa"/>
            <w:tcBorders>
              <w:top w:val="single" w:sz="4" w:space="0" w:color="auto"/>
              <w:left w:val="nil"/>
              <w:bottom w:val="single" w:sz="4" w:space="0" w:color="auto"/>
              <w:right w:val="nil"/>
            </w:tcBorders>
          </w:tcPr>
          <w:p w14:paraId="0C834A87"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527</w:t>
            </w:r>
          </w:p>
        </w:tc>
        <w:tc>
          <w:tcPr>
            <w:tcW w:w="1656" w:type="dxa"/>
            <w:tcBorders>
              <w:top w:val="single" w:sz="4" w:space="0" w:color="auto"/>
              <w:left w:val="nil"/>
              <w:bottom w:val="single" w:sz="4" w:space="0" w:color="auto"/>
              <w:right w:val="nil"/>
            </w:tcBorders>
          </w:tcPr>
          <w:p w14:paraId="23CED1B8"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450</w:t>
            </w:r>
          </w:p>
        </w:tc>
        <w:tc>
          <w:tcPr>
            <w:tcW w:w="1656" w:type="dxa"/>
            <w:tcBorders>
              <w:top w:val="single" w:sz="4" w:space="0" w:color="auto"/>
              <w:left w:val="nil"/>
              <w:bottom w:val="single" w:sz="4" w:space="0" w:color="auto"/>
              <w:right w:val="nil"/>
            </w:tcBorders>
          </w:tcPr>
          <w:p w14:paraId="50504DEB" w14:textId="77777777" w:rsidR="004631CC" w:rsidRPr="00210A2E" w:rsidRDefault="004631CC"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387</w:t>
            </w:r>
          </w:p>
        </w:tc>
      </w:tr>
    </w:tbl>
    <w:p w14:paraId="6A833971" w14:textId="77777777" w:rsidR="004631CC" w:rsidRDefault="004631CC" w:rsidP="004631C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1% ** 5% * 10%</w:t>
      </w:r>
    </w:p>
    <w:p w14:paraId="473F842F" w14:textId="77777777" w:rsidR="004631CC" w:rsidRDefault="004631CC" w:rsidP="004631CC">
      <w:pPr>
        <w:widowControl w:val="0"/>
        <w:autoSpaceDE w:val="0"/>
        <w:autoSpaceDN w:val="0"/>
        <w:adjustRightInd w:val="0"/>
        <w:spacing w:after="0" w:line="240" w:lineRule="auto"/>
        <w:rPr>
          <w:rFonts w:ascii="Times New Roman" w:hAnsi="Times New Roman" w:cs="Times New Roman"/>
          <w:sz w:val="20"/>
          <w:szCs w:val="20"/>
        </w:rPr>
      </w:pPr>
    </w:p>
    <w:p w14:paraId="6ABEDAA2" w14:textId="77777777" w:rsidR="004631CC" w:rsidRDefault="004631CC" w:rsidP="004631CC">
      <w:pPr>
        <w:widowControl w:val="0"/>
        <w:autoSpaceDE w:val="0"/>
        <w:autoSpaceDN w:val="0"/>
        <w:adjustRightInd w:val="0"/>
        <w:spacing w:after="0" w:line="240" w:lineRule="auto"/>
        <w:rPr>
          <w:rFonts w:ascii="Times New Roman" w:hAnsi="Times New Roman" w:cs="Times New Roman"/>
          <w:sz w:val="20"/>
          <w:szCs w:val="20"/>
        </w:rPr>
      </w:pPr>
    </w:p>
    <w:p w14:paraId="36D677B5" w14:textId="77777777" w:rsidR="004631CC" w:rsidRDefault="004631CC" w:rsidP="004631CC">
      <w:pPr>
        <w:widowControl w:val="0"/>
        <w:autoSpaceDE w:val="0"/>
        <w:autoSpaceDN w:val="0"/>
        <w:adjustRightInd w:val="0"/>
        <w:spacing w:after="0" w:line="240" w:lineRule="auto"/>
        <w:rPr>
          <w:rFonts w:ascii="Times New Roman" w:hAnsi="Times New Roman" w:cs="Times New Roman"/>
          <w:sz w:val="24"/>
          <w:szCs w:val="24"/>
        </w:rPr>
      </w:pPr>
    </w:p>
    <w:p w14:paraId="66D1CBF9" w14:textId="78C5DF32" w:rsidR="00FC6287" w:rsidRDefault="00FC6287" w:rsidP="00FC6287">
      <w:pPr>
        <w:pStyle w:val="ListParagraph"/>
        <w:numPr>
          <w:ilvl w:val="0"/>
          <w:numId w:val="1"/>
        </w:numPr>
        <w:rPr>
          <w:rFonts w:ascii="Times New Roman" w:hAnsi="Times New Roman" w:cs="Times New Roman"/>
        </w:rPr>
      </w:pPr>
      <w:r w:rsidRPr="00BC4479">
        <w:rPr>
          <w:rFonts w:ascii="Times New Roman" w:hAnsi="Times New Roman" w:cs="Times New Roman"/>
        </w:rPr>
        <w:t>The table below provides the estimates for the effect of LIS benchmark status in 2006 on plan enrollment, re-estimated using data-driven bandwidth selection.</w:t>
      </w:r>
      <w:r w:rsidR="00A46368" w:rsidRPr="00BC4479">
        <w:rPr>
          <w:rFonts w:ascii="Times New Roman" w:hAnsi="Times New Roman" w:cs="Times New Roman"/>
        </w:rPr>
        <w:t xml:space="preserve"> Note:</w:t>
      </w:r>
      <w:r w:rsidRPr="00BC4479">
        <w:rPr>
          <w:rFonts w:ascii="Times New Roman" w:hAnsi="Times New Roman" w:cs="Times New Roman"/>
        </w:rPr>
        <w:t xml:space="preserve"> The signs are inverted because the original table presents the effect of being below the benchmark instead of being above the benchmark. </w:t>
      </w:r>
    </w:p>
    <w:p w14:paraId="5A106903" w14:textId="4DD69E0A" w:rsidR="00210A2E" w:rsidRDefault="00210A2E">
      <w:pPr>
        <w:rPr>
          <w:rFonts w:ascii="Times New Roman" w:hAnsi="Times New Roman" w:cs="Times New Roman"/>
        </w:rPr>
      </w:pPr>
      <w:r>
        <w:rPr>
          <w:rFonts w:ascii="Times New Roman" w:hAnsi="Times New Roman" w:cs="Times New Roman"/>
        </w:rPr>
        <w:br w:type="page"/>
      </w:r>
    </w:p>
    <w:p w14:paraId="2CF645A4" w14:textId="77777777" w:rsidR="00FC6287" w:rsidRPr="00BC4479" w:rsidRDefault="00FC6287" w:rsidP="00FC6287">
      <w:pPr>
        <w:keepNext/>
        <w:widowControl w:val="0"/>
        <w:autoSpaceDE w:val="0"/>
        <w:autoSpaceDN w:val="0"/>
        <w:adjustRightInd w:val="0"/>
        <w:spacing w:after="0" w:line="240" w:lineRule="auto"/>
        <w:rPr>
          <w:rFonts w:ascii="Times New Roman" w:hAnsi="Times New Roman" w:cs="Times New Roman"/>
          <w:b/>
          <w:sz w:val="24"/>
          <w:szCs w:val="24"/>
        </w:rPr>
      </w:pPr>
      <w:r w:rsidRPr="00BC4479">
        <w:rPr>
          <w:rFonts w:ascii="Times New Roman" w:hAnsi="Times New Roman" w:cs="Times New Roman"/>
          <w:b/>
          <w:sz w:val="24"/>
          <w:szCs w:val="24"/>
        </w:rPr>
        <w:lastRenderedPageBreak/>
        <w:t>Re-estimation of Effect of LIS Benchmark Status in 2006 on Plan Enrollment</w:t>
      </w:r>
    </w:p>
    <w:tbl>
      <w:tblPr>
        <w:tblW w:w="0" w:type="auto"/>
        <w:tblLayout w:type="fixed"/>
        <w:tblLook w:val="0000" w:firstRow="0" w:lastRow="0" w:firstColumn="0" w:lastColumn="0" w:noHBand="0" w:noVBand="0"/>
      </w:tblPr>
      <w:tblGrid>
        <w:gridCol w:w="1917"/>
        <w:gridCol w:w="1486"/>
        <w:gridCol w:w="1486"/>
        <w:gridCol w:w="1486"/>
        <w:gridCol w:w="1486"/>
        <w:gridCol w:w="1486"/>
      </w:tblGrid>
      <w:tr w:rsidR="00FC6287" w14:paraId="13A5D747" w14:textId="77777777" w:rsidTr="00FC6287">
        <w:trPr>
          <w:trHeight w:val="292"/>
        </w:trPr>
        <w:tc>
          <w:tcPr>
            <w:tcW w:w="1917" w:type="dxa"/>
            <w:tcBorders>
              <w:top w:val="single" w:sz="4" w:space="0" w:color="auto"/>
              <w:left w:val="nil"/>
              <w:bottom w:val="nil"/>
              <w:right w:val="nil"/>
            </w:tcBorders>
          </w:tcPr>
          <w:p w14:paraId="7EDA6AEF" w14:textId="77777777" w:rsidR="00FC6287" w:rsidRPr="00210A2E" w:rsidRDefault="00FC6287" w:rsidP="008200EB">
            <w:pPr>
              <w:widowControl w:val="0"/>
              <w:autoSpaceDE w:val="0"/>
              <w:autoSpaceDN w:val="0"/>
              <w:adjustRightInd w:val="0"/>
              <w:spacing w:after="0" w:line="240" w:lineRule="auto"/>
              <w:rPr>
                <w:rFonts w:ascii="Times New Roman" w:hAnsi="Times New Roman" w:cs="Times New Roman"/>
              </w:rPr>
            </w:pPr>
          </w:p>
        </w:tc>
        <w:tc>
          <w:tcPr>
            <w:tcW w:w="1486" w:type="dxa"/>
            <w:tcBorders>
              <w:top w:val="single" w:sz="4" w:space="0" w:color="auto"/>
              <w:left w:val="nil"/>
              <w:bottom w:val="nil"/>
              <w:right w:val="nil"/>
            </w:tcBorders>
          </w:tcPr>
          <w:p w14:paraId="1C45422C"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(1)</w:t>
            </w:r>
          </w:p>
        </w:tc>
        <w:tc>
          <w:tcPr>
            <w:tcW w:w="1486" w:type="dxa"/>
            <w:tcBorders>
              <w:top w:val="single" w:sz="4" w:space="0" w:color="auto"/>
              <w:left w:val="nil"/>
              <w:bottom w:val="nil"/>
              <w:right w:val="nil"/>
            </w:tcBorders>
          </w:tcPr>
          <w:p w14:paraId="28084277"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w:t>
            </w:r>
          </w:p>
        </w:tc>
        <w:tc>
          <w:tcPr>
            <w:tcW w:w="1486" w:type="dxa"/>
            <w:tcBorders>
              <w:top w:val="single" w:sz="4" w:space="0" w:color="auto"/>
              <w:left w:val="nil"/>
              <w:bottom w:val="nil"/>
              <w:right w:val="nil"/>
            </w:tcBorders>
          </w:tcPr>
          <w:p w14:paraId="5FEA96B6"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w:t>
            </w:r>
          </w:p>
        </w:tc>
        <w:tc>
          <w:tcPr>
            <w:tcW w:w="1486" w:type="dxa"/>
            <w:tcBorders>
              <w:top w:val="single" w:sz="4" w:space="0" w:color="auto"/>
              <w:left w:val="nil"/>
              <w:bottom w:val="nil"/>
              <w:right w:val="nil"/>
            </w:tcBorders>
          </w:tcPr>
          <w:p w14:paraId="45A4A8E5"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(4)</w:t>
            </w:r>
          </w:p>
        </w:tc>
        <w:tc>
          <w:tcPr>
            <w:tcW w:w="1486" w:type="dxa"/>
            <w:tcBorders>
              <w:top w:val="single" w:sz="4" w:space="0" w:color="auto"/>
              <w:left w:val="nil"/>
              <w:bottom w:val="nil"/>
              <w:right w:val="nil"/>
            </w:tcBorders>
          </w:tcPr>
          <w:p w14:paraId="58F03ECB"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(5)</w:t>
            </w:r>
          </w:p>
        </w:tc>
      </w:tr>
      <w:tr w:rsidR="00FC6287" w14:paraId="2EEA8AB7" w14:textId="77777777" w:rsidTr="00FC6287">
        <w:trPr>
          <w:trHeight w:val="292"/>
        </w:trPr>
        <w:tc>
          <w:tcPr>
            <w:tcW w:w="1917" w:type="dxa"/>
            <w:tcBorders>
              <w:top w:val="nil"/>
              <w:left w:val="nil"/>
              <w:bottom w:val="nil"/>
              <w:right w:val="nil"/>
            </w:tcBorders>
          </w:tcPr>
          <w:p w14:paraId="5C4076FD" w14:textId="77777777" w:rsidR="00FC6287" w:rsidRPr="00210A2E" w:rsidRDefault="00FC6287" w:rsidP="008200EB">
            <w:pPr>
              <w:widowControl w:val="0"/>
              <w:autoSpaceDE w:val="0"/>
              <w:autoSpaceDN w:val="0"/>
              <w:adjustRightInd w:val="0"/>
              <w:spacing w:after="0" w:line="240" w:lineRule="auto"/>
              <w:rPr>
                <w:rFonts w:ascii="Times New Roman" w:hAnsi="Times New Roman" w:cs="Times New Roman"/>
              </w:rPr>
            </w:pPr>
          </w:p>
        </w:tc>
        <w:tc>
          <w:tcPr>
            <w:tcW w:w="1486" w:type="dxa"/>
            <w:tcBorders>
              <w:top w:val="nil"/>
              <w:left w:val="nil"/>
              <w:bottom w:val="nil"/>
              <w:right w:val="nil"/>
            </w:tcBorders>
          </w:tcPr>
          <w:p w14:paraId="3021AA98"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2006</w:t>
            </w:r>
          </w:p>
        </w:tc>
        <w:tc>
          <w:tcPr>
            <w:tcW w:w="1486" w:type="dxa"/>
            <w:tcBorders>
              <w:top w:val="nil"/>
              <w:left w:val="nil"/>
              <w:bottom w:val="nil"/>
              <w:right w:val="nil"/>
            </w:tcBorders>
          </w:tcPr>
          <w:p w14:paraId="169A452A"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2007</w:t>
            </w:r>
          </w:p>
        </w:tc>
        <w:tc>
          <w:tcPr>
            <w:tcW w:w="1486" w:type="dxa"/>
            <w:tcBorders>
              <w:top w:val="nil"/>
              <w:left w:val="nil"/>
              <w:bottom w:val="nil"/>
              <w:right w:val="nil"/>
            </w:tcBorders>
          </w:tcPr>
          <w:p w14:paraId="375C1BB9"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2008</w:t>
            </w:r>
          </w:p>
        </w:tc>
        <w:tc>
          <w:tcPr>
            <w:tcW w:w="1486" w:type="dxa"/>
            <w:tcBorders>
              <w:top w:val="nil"/>
              <w:left w:val="nil"/>
              <w:bottom w:val="nil"/>
              <w:right w:val="nil"/>
            </w:tcBorders>
          </w:tcPr>
          <w:p w14:paraId="63A05C46"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2009</w:t>
            </w:r>
          </w:p>
        </w:tc>
        <w:tc>
          <w:tcPr>
            <w:tcW w:w="1486" w:type="dxa"/>
            <w:tcBorders>
              <w:top w:val="nil"/>
              <w:left w:val="nil"/>
              <w:bottom w:val="nil"/>
              <w:right w:val="nil"/>
            </w:tcBorders>
          </w:tcPr>
          <w:p w14:paraId="1A00E1FE"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2010</w:t>
            </w:r>
          </w:p>
        </w:tc>
      </w:tr>
      <w:tr w:rsidR="00FC6287" w14:paraId="3D4E82AB" w14:textId="77777777" w:rsidTr="00FC6287">
        <w:trPr>
          <w:trHeight w:val="309"/>
        </w:trPr>
        <w:tc>
          <w:tcPr>
            <w:tcW w:w="1917" w:type="dxa"/>
            <w:tcBorders>
              <w:top w:val="single" w:sz="4" w:space="0" w:color="auto"/>
              <w:left w:val="nil"/>
              <w:bottom w:val="nil"/>
              <w:right w:val="nil"/>
            </w:tcBorders>
          </w:tcPr>
          <w:p w14:paraId="76D86638" w14:textId="4A2B4369" w:rsidR="00FC6287" w:rsidRPr="00210A2E" w:rsidRDefault="00FC6287" w:rsidP="008200EB">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RD</w:t>
            </w:r>
            <w:r w:rsidR="00210A2E">
              <w:rPr>
                <w:rFonts w:ascii="Times New Roman" w:hAnsi="Times New Roman" w:cs="Times New Roman"/>
              </w:rPr>
              <w:t xml:space="preserve"> </w:t>
            </w:r>
            <w:r w:rsidRPr="00210A2E">
              <w:rPr>
                <w:rFonts w:ascii="Times New Roman" w:hAnsi="Times New Roman" w:cs="Times New Roman"/>
              </w:rPr>
              <w:t>Estimate</w:t>
            </w:r>
          </w:p>
        </w:tc>
        <w:tc>
          <w:tcPr>
            <w:tcW w:w="1486" w:type="dxa"/>
            <w:tcBorders>
              <w:top w:val="single" w:sz="4" w:space="0" w:color="auto"/>
              <w:left w:val="nil"/>
              <w:bottom w:val="nil"/>
              <w:right w:val="nil"/>
            </w:tcBorders>
          </w:tcPr>
          <w:p w14:paraId="66D66714"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-2.201</w:t>
            </w:r>
            <w:r w:rsidRPr="00210A2E">
              <w:rPr>
                <w:rFonts w:ascii="Times New Roman" w:hAnsi="Times New Roman" w:cs="Times New Roman"/>
                <w:vertAlign w:val="superscript"/>
              </w:rPr>
              <w:t>***</w:t>
            </w:r>
          </w:p>
        </w:tc>
        <w:tc>
          <w:tcPr>
            <w:tcW w:w="1486" w:type="dxa"/>
            <w:tcBorders>
              <w:top w:val="single" w:sz="4" w:space="0" w:color="auto"/>
              <w:left w:val="nil"/>
              <w:bottom w:val="nil"/>
              <w:right w:val="nil"/>
            </w:tcBorders>
          </w:tcPr>
          <w:p w14:paraId="4A3D6A78"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0.0912</w:t>
            </w:r>
          </w:p>
        </w:tc>
        <w:tc>
          <w:tcPr>
            <w:tcW w:w="1486" w:type="dxa"/>
            <w:tcBorders>
              <w:top w:val="single" w:sz="4" w:space="0" w:color="auto"/>
              <w:left w:val="nil"/>
              <w:bottom w:val="nil"/>
              <w:right w:val="nil"/>
            </w:tcBorders>
          </w:tcPr>
          <w:p w14:paraId="312A4F44"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-0.804</w:t>
            </w:r>
            <w:r w:rsidRPr="00210A2E">
              <w:rPr>
                <w:rFonts w:ascii="Times New Roman" w:hAnsi="Times New Roman" w:cs="Times New Roman"/>
                <w:vertAlign w:val="superscript"/>
              </w:rPr>
              <w:t>***</w:t>
            </w:r>
          </w:p>
        </w:tc>
        <w:tc>
          <w:tcPr>
            <w:tcW w:w="1486" w:type="dxa"/>
            <w:tcBorders>
              <w:top w:val="single" w:sz="4" w:space="0" w:color="auto"/>
              <w:left w:val="nil"/>
              <w:bottom w:val="nil"/>
              <w:right w:val="nil"/>
            </w:tcBorders>
          </w:tcPr>
          <w:p w14:paraId="3F2FBD18"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-0.746</w:t>
            </w:r>
            <w:r w:rsidRPr="00210A2E">
              <w:rPr>
                <w:rFonts w:ascii="Times New Roman" w:hAnsi="Times New Roman" w:cs="Times New Roman"/>
                <w:vertAlign w:val="superscript"/>
              </w:rPr>
              <w:t>**</w:t>
            </w:r>
          </w:p>
        </w:tc>
        <w:tc>
          <w:tcPr>
            <w:tcW w:w="1486" w:type="dxa"/>
            <w:tcBorders>
              <w:top w:val="single" w:sz="4" w:space="0" w:color="auto"/>
              <w:left w:val="nil"/>
              <w:bottom w:val="nil"/>
              <w:right w:val="nil"/>
            </w:tcBorders>
          </w:tcPr>
          <w:p w14:paraId="25760FF2"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-0.510</w:t>
            </w:r>
          </w:p>
        </w:tc>
      </w:tr>
      <w:tr w:rsidR="00FC6287" w14:paraId="4A105E6F" w14:textId="77777777" w:rsidTr="00FC6287">
        <w:trPr>
          <w:trHeight w:val="292"/>
        </w:trPr>
        <w:tc>
          <w:tcPr>
            <w:tcW w:w="1917" w:type="dxa"/>
            <w:tcBorders>
              <w:top w:val="nil"/>
              <w:left w:val="nil"/>
              <w:bottom w:val="single" w:sz="4" w:space="0" w:color="auto"/>
              <w:right w:val="nil"/>
            </w:tcBorders>
          </w:tcPr>
          <w:p w14:paraId="07F7A61A" w14:textId="77777777" w:rsidR="00FC6287" w:rsidRPr="00210A2E" w:rsidRDefault="00FC6287" w:rsidP="008200EB">
            <w:pPr>
              <w:widowControl w:val="0"/>
              <w:autoSpaceDE w:val="0"/>
              <w:autoSpaceDN w:val="0"/>
              <w:adjustRightInd w:val="0"/>
              <w:spacing w:after="0" w:line="240" w:lineRule="auto"/>
              <w:rPr>
                <w:rFonts w:ascii="Times New Roman" w:hAnsi="Times New Roman" w:cs="Times New Roman"/>
              </w:rPr>
            </w:pPr>
          </w:p>
        </w:tc>
        <w:tc>
          <w:tcPr>
            <w:tcW w:w="1486" w:type="dxa"/>
            <w:tcBorders>
              <w:top w:val="nil"/>
              <w:left w:val="nil"/>
              <w:bottom w:val="single" w:sz="4" w:space="0" w:color="auto"/>
              <w:right w:val="nil"/>
            </w:tcBorders>
          </w:tcPr>
          <w:p w14:paraId="42ABEDF7"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(0.260)</w:t>
            </w:r>
          </w:p>
        </w:tc>
        <w:tc>
          <w:tcPr>
            <w:tcW w:w="1486" w:type="dxa"/>
            <w:tcBorders>
              <w:top w:val="nil"/>
              <w:left w:val="nil"/>
              <w:bottom w:val="single" w:sz="4" w:space="0" w:color="auto"/>
              <w:right w:val="nil"/>
            </w:tcBorders>
          </w:tcPr>
          <w:p w14:paraId="58D4F140"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(0.278)</w:t>
            </w:r>
          </w:p>
        </w:tc>
        <w:tc>
          <w:tcPr>
            <w:tcW w:w="1486" w:type="dxa"/>
            <w:tcBorders>
              <w:top w:val="nil"/>
              <w:left w:val="nil"/>
              <w:bottom w:val="single" w:sz="4" w:space="0" w:color="auto"/>
              <w:right w:val="nil"/>
            </w:tcBorders>
          </w:tcPr>
          <w:p w14:paraId="7C37F9E4"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(0.267)</w:t>
            </w:r>
          </w:p>
        </w:tc>
        <w:tc>
          <w:tcPr>
            <w:tcW w:w="1486" w:type="dxa"/>
            <w:tcBorders>
              <w:top w:val="nil"/>
              <w:left w:val="nil"/>
              <w:bottom w:val="single" w:sz="4" w:space="0" w:color="auto"/>
              <w:right w:val="nil"/>
            </w:tcBorders>
          </w:tcPr>
          <w:p w14:paraId="0A7A9146"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(0.321)</w:t>
            </w:r>
          </w:p>
        </w:tc>
        <w:tc>
          <w:tcPr>
            <w:tcW w:w="1486" w:type="dxa"/>
            <w:tcBorders>
              <w:top w:val="nil"/>
              <w:left w:val="nil"/>
              <w:bottom w:val="single" w:sz="4" w:space="0" w:color="auto"/>
              <w:right w:val="nil"/>
            </w:tcBorders>
          </w:tcPr>
          <w:p w14:paraId="1B23DE35"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(0.366)</w:t>
            </w:r>
          </w:p>
        </w:tc>
      </w:tr>
      <w:tr w:rsidR="00FC6287" w14:paraId="61F0AA85" w14:textId="77777777" w:rsidTr="00FC6287">
        <w:trPr>
          <w:trHeight w:val="292"/>
        </w:trPr>
        <w:tc>
          <w:tcPr>
            <w:tcW w:w="1917" w:type="dxa"/>
            <w:tcBorders>
              <w:top w:val="nil"/>
              <w:left w:val="nil"/>
              <w:bottom w:val="single" w:sz="4" w:space="0" w:color="auto"/>
              <w:right w:val="nil"/>
            </w:tcBorders>
          </w:tcPr>
          <w:p w14:paraId="7103B797" w14:textId="77777777" w:rsidR="00FC6287" w:rsidRPr="00210A2E" w:rsidRDefault="00FC6287" w:rsidP="008200EB">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Observations</w:t>
            </w:r>
          </w:p>
        </w:tc>
        <w:tc>
          <w:tcPr>
            <w:tcW w:w="1486" w:type="dxa"/>
            <w:tcBorders>
              <w:top w:val="nil"/>
              <w:left w:val="nil"/>
              <w:bottom w:val="single" w:sz="4" w:space="0" w:color="auto"/>
              <w:right w:val="nil"/>
            </w:tcBorders>
          </w:tcPr>
          <w:p w14:paraId="36A711F1"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810</w:t>
            </w:r>
          </w:p>
        </w:tc>
        <w:tc>
          <w:tcPr>
            <w:tcW w:w="1486" w:type="dxa"/>
            <w:tcBorders>
              <w:top w:val="nil"/>
              <w:left w:val="nil"/>
              <w:bottom w:val="single" w:sz="4" w:space="0" w:color="auto"/>
              <w:right w:val="nil"/>
            </w:tcBorders>
          </w:tcPr>
          <w:p w14:paraId="42682E95"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564</w:t>
            </w:r>
          </w:p>
        </w:tc>
        <w:tc>
          <w:tcPr>
            <w:tcW w:w="1486" w:type="dxa"/>
            <w:tcBorders>
              <w:top w:val="nil"/>
              <w:left w:val="nil"/>
              <w:bottom w:val="single" w:sz="4" w:space="0" w:color="auto"/>
              <w:right w:val="nil"/>
            </w:tcBorders>
          </w:tcPr>
          <w:p w14:paraId="31CFD06A"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739</w:t>
            </w:r>
          </w:p>
        </w:tc>
        <w:tc>
          <w:tcPr>
            <w:tcW w:w="1486" w:type="dxa"/>
            <w:tcBorders>
              <w:top w:val="nil"/>
              <w:left w:val="nil"/>
              <w:bottom w:val="single" w:sz="4" w:space="0" w:color="auto"/>
              <w:right w:val="nil"/>
            </w:tcBorders>
          </w:tcPr>
          <w:p w14:paraId="0C7B3486"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652</w:t>
            </w:r>
          </w:p>
        </w:tc>
        <w:tc>
          <w:tcPr>
            <w:tcW w:w="1486" w:type="dxa"/>
            <w:tcBorders>
              <w:top w:val="nil"/>
              <w:left w:val="nil"/>
              <w:bottom w:val="single" w:sz="4" w:space="0" w:color="auto"/>
              <w:right w:val="nil"/>
            </w:tcBorders>
          </w:tcPr>
          <w:p w14:paraId="6D9AAD21" w14:textId="77777777" w:rsidR="00FC6287" w:rsidRPr="00210A2E" w:rsidRDefault="00FC6287" w:rsidP="008200EB">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557</w:t>
            </w:r>
          </w:p>
        </w:tc>
      </w:tr>
    </w:tbl>
    <w:p w14:paraId="68CAA0EE" w14:textId="77777777" w:rsidR="00FC6287" w:rsidRDefault="00FC6287" w:rsidP="00FC628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1% ** 5% * 10%</w:t>
      </w:r>
    </w:p>
    <w:p w14:paraId="408CCAE3" w14:textId="13D74282" w:rsidR="00FC6287" w:rsidRDefault="00FC6287" w:rsidP="00FC6287">
      <w:pPr>
        <w:widowControl w:val="0"/>
        <w:autoSpaceDE w:val="0"/>
        <w:autoSpaceDN w:val="0"/>
        <w:adjustRightInd w:val="0"/>
        <w:spacing w:after="0" w:line="240" w:lineRule="auto"/>
        <w:rPr>
          <w:rFonts w:ascii="Times New Roman" w:hAnsi="Times New Roman" w:cs="Times New Roman"/>
          <w:sz w:val="20"/>
          <w:szCs w:val="20"/>
        </w:rPr>
      </w:pPr>
    </w:p>
    <w:p w14:paraId="441F293A" w14:textId="4B566710" w:rsidR="00FC6287" w:rsidRPr="00BC4479" w:rsidRDefault="00DF65E8" w:rsidP="00FC6287">
      <w:pPr>
        <w:pStyle w:val="ListParagraph"/>
        <w:widowControl w:val="0"/>
        <w:numPr>
          <w:ilvl w:val="0"/>
          <w:numId w:val="1"/>
        </w:numPr>
        <w:autoSpaceDE w:val="0"/>
        <w:autoSpaceDN w:val="0"/>
        <w:adjustRightInd w:val="0"/>
        <w:spacing w:after="0" w:line="240" w:lineRule="auto"/>
        <w:rPr>
          <w:rFonts w:ascii="Times New Roman" w:hAnsi="Times New Roman" w:cs="Times New Roman"/>
          <w:szCs w:val="20"/>
        </w:rPr>
      </w:pPr>
      <w:r w:rsidRPr="00BC4479">
        <w:rPr>
          <w:rFonts w:ascii="Times New Roman" w:hAnsi="Times New Roman" w:cs="Times New Roman"/>
          <w:szCs w:val="20"/>
        </w:rPr>
        <w:t xml:space="preserve">The following table provides estimates of the effect of prior year enrollment on premiums, using below-benchmark status in the prior year as an instrument for enrollment. </w:t>
      </w:r>
      <w:r w:rsidR="00435B00" w:rsidRPr="00BC4479">
        <w:rPr>
          <w:rFonts w:ascii="Times New Roman" w:hAnsi="Times New Roman" w:cs="Times New Roman"/>
        </w:rPr>
        <w:t>It’s important to keep in mind that the Ericson results include the plans in their first year of existence in the analysis; inherently, plans that are in their first year of existence are excluded from the IV results because they do not have a value for prior year’s market share. This nearly halves the number of observations included in the analysis and also changes the reference category for year of existence.</w:t>
      </w:r>
    </w:p>
    <w:p w14:paraId="0CBF465B" w14:textId="77777777" w:rsidR="00DF65E8" w:rsidRDefault="00DF65E8" w:rsidP="00DF65E8">
      <w:pPr>
        <w:pStyle w:val="ListParagraph"/>
        <w:widowControl w:val="0"/>
        <w:autoSpaceDE w:val="0"/>
        <w:autoSpaceDN w:val="0"/>
        <w:adjustRightInd w:val="0"/>
        <w:spacing w:after="0" w:line="240" w:lineRule="auto"/>
        <w:rPr>
          <w:rFonts w:cstheme="minorHAnsi"/>
          <w:szCs w:val="20"/>
        </w:rPr>
      </w:pPr>
    </w:p>
    <w:p w14:paraId="68427D7F" w14:textId="77777777" w:rsidR="00DF65E8" w:rsidRPr="00BC4479" w:rsidRDefault="00DF65E8" w:rsidP="00ED4C43">
      <w:pPr>
        <w:keepNext/>
        <w:widowControl w:val="0"/>
        <w:autoSpaceDE w:val="0"/>
        <w:autoSpaceDN w:val="0"/>
        <w:adjustRightInd w:val="0"/>
        <w:spacing w:after="0" w:line="240" w:lineRule="auto"/>
        <w:ind w:left="1080"/>
        <w:rPr>
          <w:rFonts w:ascii="Times New Roman" w:hAnsi="Times New Roman" w:cs="Times New Roman"/>
          <w:b/>
          <w:sz w:val="24"/>
          <w:szCs w:val="24"/>
        </w:rPr>
      </w:pPr>
      <w:r w:rsidRPr="00BC4479">
        <w:rPr>
          <w:rFonts w:ascii="Times New Roman" w:hAnsi="Times New Roman" w:cs="Times New Roman"/>
          <w:b/>
          <w:sz w:val="24"/>
          <w:szCs w:val="24"/>
        </w:rPr>
        <w:t>IV Estimates</w:t>
      </w:r>
    </w:p>
    <w:tbl>
      <w:tblPr>
        <w:tblW w:w="0" w:type="auto"/>
        <w:jc w:val="center"/>
        <w:tblLayout w:type="fixed"/>
        <w:tblLook w:val="0000" w:firstRow="0" w:lastRow="0" w:firstColumn="0" w:lastColumn="0" w:noHBand="0" w:noVBand="0"/>
      </w:tblPr>
      <w:tblGrid>
        <w:gridCol w:w="2136"/>
        <w:gridCol w:w="1656"/>
        <w:gridCol w:w="1656"/>
        <w:gridCol w:w="1656"/>
      </w:tblGrid>
      <w:tr w:rsidR="00DF65E8" w14:paraId="5A8BEAAF" w14:textId="77777777" w:rsidTr="00ED4C43">
        <w:tblPrEx>
          <w:tblCellMar>
            <w:top w:w="0" w:type="dxa"/>
            <w:bottom w:w="0" w:type="dxa"/>
          </w:tblCellMar>
        </w:tblPrEx>
        <w:trPr>
          <w:jc w:val="center"/>
        </w:trPr>
        <w:tc>
          <w:tcPr>
            <w:tcW w:w="2136" w:type="dxa"/>
            <w:tcBorders>
              <w:top w:val="single" w:sz="4" w:space="0" w:color="auto"/>
              <w:left w:val="nil"/>
              <w:bottom w:val="nil"/>
              <w:right w:val="nil"/>
            </w:tcBorders>
          </w:tcPr>
          <w:p w14:paraId="59D55756"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single" w:sz="4" w:space="0" w:color="auto"/>
              <w:left w:val="nil"/>
              <w:bottom w:val="nil"/>
              <w:right w:val="nil"/>
            </w:tcBorders>
          </w:tcPr>
          <w:p w14:paraId="68847527"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(1)</w:t>
            </w:r>
          </w:p>
        </w:tc>
        <w:tc>
          <w:tcPr>
            <w:tcW w:w="1656" w:type="dxa"/>
            <w:tcBorders>
              <w:top w:val="single" w:sz="4" w:space="0" w:color="auto"/>
              <w:left w:val="nil"/>
              <w:bottom w:val="nil"/>
              <w:right w:val="nil"/>
            </w:tcBorders>
          </w:tcPr>
          <w:p w14:paraId="3C8F3D1F"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w:t>
            </w:r>
          </w:p>
        </w:tc>
        <w:tc>
          <w:tcPr>
            <w:tcW w:w="1656" w:type="dxa"/>
            <w:tcBorders>
              <w:top w:val="single" w:sz="4" w:space="0" w:color="auto"/>
              <w:left w:val="nil"/>
              <w:bottom w:val="nil"/>
              <w:right w:val="nil"/>
            </w:tcBorders>
          </w:tcPr>
          <w:p w14:paraId="5E28B3F0"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w:t>
            </w:r>
          </w:p>
        </w:tc>
      </w:tr>
      <w:tr w:rsidR="00DF65E8" w14:paraId="2AC7F49C" w14:textId="77777777" w:rsidTr="00ED4C43">
        <w:tblPrEx>
          <w:tblCellMar>
            <w:top w:w="0" w:type="dxa"/>
            <w:bottom w:w="0" w:type="dxa"/>
          </w:tblCellMar>
        </w:tblPrEx>
        <w:trPr>
          <w:jc w:val="center"/>
        </w:trPr>
        <w:tc>
          <w:tcPr>
            <w:tcW w:w="2136" w:type="dxa"/>
            <w:tcBorders>
              <w:top w:val="single" w:sz="4" w:space="0" w:color="auto"/>
              <w:left w:val="nil"/>
              <w:bottom w:val="nil"/>
              <w:right w:val="nil"/>
            </w:tcBorders>
          </w:tcPr>
          <w:p w14:paraId="29D2B777"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Market share in previous year</w:t>
            </w:r>
          </w:p>
        </w:tc>
        <w:tc>
          <w:tcPr>
            <w:tcW w:w="1656" w:type="dxa"/>
            <w:tcBorders>
              <w:top w:val="single" w:sz="4" w:space="0" w:color="auto"/>
              <w:left w:val="nil"/>
              <w:bottom w:val="nil"/>
              <w:right w:val="nil"/>
            </w:tcBorders>
          </w:tcPr>
          <w:p w14:paraId="13D520B5"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-0.0668</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72547660"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-0.0632</w:t>
            </w:r>
            <w:r w:rsidRPr="00210A2E">
              <w:rPr>
                <w:rFonts w:ascii="Times New Roman" w:hAnsi="Times New Roman" w:cs="Times New Roman"/>
                <w:vertAlign w:val="superscript"/>
              </w:rPr>
              <w:t>***</w:t>
            </w:r>
          </w:p>
        </w:tc>
        <w:tc>
          <w:tcPr>
            <w:tcW w:w="1656" w:type="dxa"/>
            <w:tcBorders>
              <w:top w:val="single" w:sz="4" w:space="0" w:color="auto"/>
              <w:left w:val="nil"/>
              <w:bottom w:val="nil"/>
              <w:right w:val="nil"/>
            </w:tcBorders>
          </w:tcPr>
          <w:p w14:paraId="2D4E2AAD"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0.0121</w:t>
            </w:r>
          </w:p>
        </w:tc>
      </w:tr>
      <w:tr w:rsidR="00DF65E8" w14:paraId="2B7F3505" w14:textId="77777777" w:rsidTr="00ED4C43">
        <w:tblPrEx>
          <w:tblCellMar>
            <w:top w:w="0" w:type="dxa"/>
            <w:bottom w:w="0" w:type="dxa"/>
          </w:tblCellMar>
        </w:tblPrEx>
        <w:trPr>
          <w:jc w:val="center"/>
        </w:trPr>
        <w:tc>
          <w:tcPr>
            <w:tcW w:w="2136" w:type="dxa"/>
            <w:tcBorders>
              <w:top w:val="nil"/>
              <w:left w:val="nil"/>
              <w:bottom w:val="nil"/>
              <w:right w:val="nil"/>
            </w:tcBorders>
          </w:tcPr>
          <w:p w14:paraId="53FFBC45"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4E6745E"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(0.0110)</w:t>
            </w:r>
          </w:p>
        </w:tc>
        <w:tc>
          <w:tcPr>
            <w:tcW w:w="1656" w:type="dxa"/>
            <w:tcBorders>
              <w:top w:val="nil"/>
              <w:left w:val="nil"/>
              <w:bottom w:val="nil"/>
              <w:right w:val="nil"/>
            </w:tcBorders>
          </w:tcPr>
          <w:p w14:paraId="680AF0B2"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(0.00823)</w:t>
            </w:r>
          </w:p>
        </w:tc>
        <w:tc>
          <w:tcPr>
            <w:tcW w:w="1656" w:type="dxa"/>
            <w:tcBorders>
              <w:top w:val="nil"/>
              <w:left w:val="nil"/>
              <w:bottom w:val="nil"/>
              <w:right w:val="nil"/>
            </w:tcBorders>
          </w:tcPr>
          <w:p w14:paraId="06C0BF80"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(0.0187)</w:t>
            </w:r>
          </w:p>
        </w:tc>
      </w:tr>
      <w:tr w:rsidR="00DF65E8" w14:paraId="37ACBD87" w14:textId="77777777" w:rsidTr="00ED4C43">
        <w:tblPrEx>
          <w:tblCellMar>
            <w:top w:w="0" w:type="dxa"/>
            <w:bottom w:w="0" w:type="dxa"/>
          </w:tblCellMar>
        </w:tblPrEx>
        <w:trPr>
          <w:jc w:val="center"/>
        </w:trPr>
        <w:tc>
          <w:tcPr>
            <w:tcW w:w="2136" w:type="dxa"/>
            <w:tcBorders>
              <w:top w:val="nil"/>
              <w:left w:val="nil"/>
              <w:bottom w:val="nil"/>
              <w:right w:val="nil"/>
            </w:tcBorders>
          </w:tcPr>
          <w:p w14:paraId="4A21B80A"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0A9E2C75"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11C294B"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0690334"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r>
      <w:tr w:rsidR="00DF65E8" w14:paraId="0E19C4C6" w14:textId="77777777" w:rsidTr="00ED4C43">
        <w:tblPrEx>
          <w:tblCellMar>
            <w:top w:w="0" w:type="dxa"/>
            <w:bottom w:w="0" w:type="dxa"/>
          </w:tblCellMar>
        </w:tblPrEx>
        <w:trPr>
          <w:jc w:val="center"/>
        </w:trPr>
        <w:tc>
          <w:tcPr>
            <w:tcW w:w="2136" w:type="dxa"/>
            <w:tcBorders>
              <w:top w:val="nil"/>
              <w:left w:val="nil"/>
              <w:bottom w:val="nil"/>
              <w:right w:val="nil"/>
            </w:tcBorders>
          </w:tcPr>
          <w:p w14:paraId="78EFC380"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Year of plan existence, Second</w:t>
            </w:r>
          </w:p>
        </w:tc>
        <w:tc>
          <w:tcPr>
            <w:tcW w:w="1656" w:type="dxa"/>
            <w:tcBorders>
              <w:top w:val="nil"/>
              <w:left w:val="nil"/>
              <w:bottom w:val="nil"/>
              <w:right w:val="nil"/>
            </w:tcBorders>
          </w:tcPr>
          <w:p w14:paraId="212BEF14"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-0.434</w:t>
            </w:r>
            <w:r w:rsidRPr="00210A2E">
              <w:rPr>
                <w:rFonts w:ascii="Times New Roman" w:hAnsi="Times New Roman" w:cs="Times New Roman"/>
                <w:vertAlign w:val="superscript"/>
              </w:rPr>
              <w:t>***</w:t>
            </w:r>
          </w:p>
        </w:tc>
        <w:tc>
          <w:tcPr>
            <w:tcW w:w="1656" w:type="dxa"/>
            <w:tcBorders>
              <w:top w:val="nil"/>
              <w:left w:val="nil"/>
              <w:bottom w:val="nil"/>
              <w:right w:val="nil"/>
            </w:tcBorders>
          </w:tcPr>
          <w:p w14:paraId="2D7F8332"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-0.414</w:t>
            </w:r>
            <w:r w:rsidRPr="00210A2E">
              <w:rPr>
                <w:rFonts w:ascii="Times New Roman" w:hAnsi="Times New Roman" w:cs="Times New Roman"/>
                <w:vertAlign w:val="superscript"/>
              </w:rPr>
              <w:t>***</w:t>
            </w:r>
          </w:p>
        </w:tc>
        <w:tc>
          <w:tcPr>
            <w:tcW w:w="1656" w:type="dxa"/>
            <w:tcBorders>
              <w:top w:val="nil"/>
              <w:left w:val="nil"/>
              <w:bottom w:val="nil"/>
              <w:right w:val="nil"/>
            </w:tcBorders>
          </w:tcPr>
          <w:p w14:paraId="0FD8E018"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-0.460</w:t>
            </w:r>
            <w:r w:rsidRPr="00210A2E">
              <w:rPr>
                <w:rFonts w:ascii="Times New Roman" w:hAnsi="Times New Roman" w:cs="Times New Roman"/>
                <w:vertAlign w:val="superscript"/>
              </w:rPr>
              <w:t>***</w:t>
            </w:r>
          </w:p>
        </w:tc>
      </w:tr>
      <w:tr w:rsidR="00DF65E8" w14:paraId="4496D09B" w14:textId="77777777" w:rsidTr="00ED4C43">
        <w:tblPrEx>
          <w:tblCellMar>
            <w:top w:w="0" w:type="dxa"/>
            <w:bottom w:w="0" w:type="dxa"/>
          </w:tblCellMar>
        </w:tblPrEx>
        <w:trPr>
          <w:jc w:val="center"/>
        </w:trPr>
        <w:tc>
          <w:tcPr>
            <w:tcW w:w="2136" w:type="dxa"/>
            <w:tcBorders>
              <w:top w:val="nil"/>
              <w:left w:val="nil"/>
              <w:bottom w:val="nil"/>
              <w:right w:val="nil"/>
            </w:tcBorders>
          </w:tcPr>
          <w:p w14:paraId="0D9EA16C"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9A35646"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(0.0859)</w:t>
            </w:r>
          </w:p>
        </w:tc>
        <w:tc>
          <w:tcPr>
            <w:tcW w:w="1656" w:type="dxa"/>
            <w:tcBorders>
              <w:top w:val="nil"/>
              <w:left w:val="nil"/>
              <w:bottom w:val="nil"/>
              <w:right w:val="nil"/>
            </w:tcBorders>
          </w:tcPr>
          <w:p w14:paraId="2A316B16"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(0.144)</w:t>
            </w:r>
          </w:p>
        </w:tc>
        <w:tc>
          <w:tcPr>
            <w:tcW w:w="1656" w:type="dxa"/>
            <w:tcBorders>
              <w:top w:val="nil"/>
              <w:left w:val="nil"/>
              <w:bottom w:val="nil"/>
              <w:right w:val="nil"/>
            </w:tcBorders>
          </w:tcPr>
          <w:p w14:paraId="44E5F28C"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(0.0902)</w:t>
            </w:r>
          </w:p>
        </w:tc>
      </w:tr>
      <w:tr w:rsidR="00DF65E8" w14:paraId="39186B5C" w14:textId="77777777" w:rsidTr="00ED4C43">
        <w:tblPrEx>
          <w:tblCellMar>
            <w:top w:w="0" w:type="dxa"/>
            <w:bottom w:w="0" w:type="dxa"/>
          </w:tblCellMar>
        </w:tblPrEx>
        <w:trPr>
          <w:jc w:val="center"/>
        </w:trPr>
        <w:tc>
          <w:tcPr>
            <w:tcW w:w="2136" w:type="dxa"/>
            <w:tcBorders>
              <w:top w:val="nil"/>
              <w:left w:val="nil"/>
              <w:bottom w:val="nil"/>
              <w:right w:val="nil"/>
            </w:tcBorders>
          </w:tcPr>
          <w:p w14:paraId="68CDABCA"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5444A49"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17E2AD8F"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E291506"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r>
      <w:tr w:rsidR="00DF65E8" w14:paraId="64545B17" w14:textId="77777777" w:rsidTr="00ED4C43">
        <w:tblPrEx>
          <w:tblCellMar>
            <w:top w:w="0" w:type="dxa"/>
            <w:bottom w:w="0" w:type="dxa"/>
          </w:tblCellMar>
        </w:tblPrEx>
        <w:trPr>
          <w:jc w:val="center"/>
        </w:trPr>
        <w:tc>
          <w:tcPr>
            <w:tcW w:w="2136" w:type="dxa"/>
            <w:tcBorders>
              <w:top w:val="nil"/>
              <w:left w:val="nil"/>
              <w:bottom w:val="nil"/>
              <w:right w:val="nil"/>
            </w:tcBorders>
          </w:tcPr>
          <w:p w14:paraId="78DB7CB7"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Year of plan existence, Third</w:t>
            </w:r>
          </w:p>
        </w:tc>
        <w:tc>
          <w:tcPr>
            <w:tcW w:w="1656" w:type="dxa"/>
            <w:tcBorders>
              <w:top w:val="nil"/>
              <w:left w:val="nil"/>
              <w:bottom w:val="nil"/>
              <w:right w:val="nil"/>
            </w:tcBorders>
          </w:tcPr>
          <w:p w14:paraId="174C5F96"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-0.352</w:t>
            </w:r>
            <w:r w:rsidRPr="00210A2E">
              <w:rPr>
                <w:rFonts w:ascii="Times New Roman" w:hAnsi="Times New Roman" w:cs="Times New Roman"/>
                <w:vertAlign w:val="superscript"/>
              </w:rPr>
              <w:t>***</w:t>
            </w:r>
          </w:p>
        </w:tc>
        <w:tc>
          <w:tcPr>
            <w:tcW w:w="1656" w:type="dxa"/>
            <w:tcBorders>
              <w:top w:val="nil"/>
              <w:left w:val="nil"/>
              <w:bottom w:val="nil"/>
              <w:right w:val="nil"/>
            </w:tcBorders>
          </w:tcPr>
          <w:p w14:paraId="67FBAE91"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-0.347</w:t>
            </w:r>
            <w:r w:rsidRPr="00210A2E">
              <w:rPr>
                <w:rFonts w:ascii="Times New Roman" w:hAnsi="Times New Roman" w:cs="Times New Roman"/>
                <w:vertAlign w:val="superscript"/>
              </w:rPr>
              <w:t>***</w:t>
            </w:r>
          </w:p>
        </w:tc>
        <w:tc>
          <w:tcPr>
            <w:tcW w:w="1656" w:type="dxa"/>
            <w:tcBorders>
              <w:top w:val="nil"/>
              <w:left w:val="nil"/>
              <w:bottom w:val="nil"/>
              <w:right w:val="nil"/>
            </w:tcBorders>
          </w:tcPr>
          <w:p w14:paraId="3D64EFE8"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-0.368</w:t>
            </w:r>
            <w:r w:rsidRPr="00210A2E">
              <w:rPr>
                <w:rFonts w:ascii="Times New Roman" w:hAnsi="Times New Roman" w:cs="Times New Roman"/>
                <w:vertAlign w:val="superscript"/>
              </w:rPr>
              <w:t>***</w:t>
            </w:r>
          </w:p>
        </w:tc>
      </w:tr>
      <w:tr w:rsidR="00DF65E8" w14:paraId="5F3C9C35" w14:textId="77777777" w:rsidTr="00ED4C43">
        <w:tblPrEx>
          <w:tblCellMar>
            <w:top w:w="0" w:type="dxa"/>
            <w:bottom w:w="0" w:type="dxa"/>
          </w:tblCellMar>
        </w:tblPrEx>
        <w:trPr>
          <w:jc w:val="center"/>
        </w:trPr>
        <w:tc>
          <w:tcPr>
            <w:tcW w:w="2136" w:type="dxa"/>
            <w:tcBorders>
              <w:top w:val="nil"/>
              <w:left w:val="nil"/>
              <w:bottom w:val="nil"/>
              <w:right w:val="nil"/>
            </w:tcBorders>
          </w:tcPr>
          <w:p w14:paraId="133769F5"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4FE8A55C"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(0.0925)</w:t>
            </w:r>
          </w:p>
        </w:tc>
        <w:tc>
          <w:tcPr>
            <w:tcW w:w="1656" w:type="dxa"/>
            <w:tcBorders>
              <w:top w:val="nil"/>
              <w:left w:val="nil"/>
              <w:bottom w:val="nil"/>
              <w:right w:val="nil"/>
            </w:tcBorders>
          </w:tcPr>
          <w:p w14:paraId="2B1C8D98"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(0.127)</w:t>
            </w:r>
          </w:p>
        </w:tc>
        <w:tc>
          <w:tcPr>
            <w:tcW w:w="1656" w:type="dxa"/>
            <w:tcBorders>
              <w:top w:val="nil"/>
              <w:left w:val="nil"/>
              <w:bottom w:val="nil"/>
              <w:right w:val="nil"/>
            </w:tcBorders>
          </w:tcPr>
          <w:p w14:paraId="0170CB87"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(0.131)</w:t>
            </w:r>
          </w:p>
        </w:tc>
      </w:tr>
      <w:tr w:rsidR="00DF65E8" w14:paraId="71B79482" w14:textId="77777777" w:rsidTr="00ED4C43">
        <w:tblPrEx>
          <w:tblCellMar>
            <w:top w:w="0" w:type="dxa"/>
            <w:bottom w:w="0" w:type="dxa"/>
          </w:tblCellMar>
        </w:tblPrEx>
        <w:trPr>
          <w:jc w:val="center"/>
        </w:trPr>
        <w:tc>
          <w:tcPr>
            <w:tcW w:w="2136" w:type="dxa"/>
            <w:tcBorders>
              <w:top w:val="nil"/>
              <w:left w:val="nil"/>
              <w:bottom w:val="nil"/>
              <w:right w:val="nil"/>
            </w:tcBorders>
          </w:tcPr>
          <w:p w14:paraId="334196DD"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76457A04"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6266F492"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22C16E77"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r>
      <w:tr w:rsidR="00DF65E8" w14:paraId="48D98C8C" w14:textId="77777777" w:rsidTr="00ED4C43">
        <w:tblPrEx>
          <w:tblCellMar>
            <w:top w:w="0" w:type="dxa"/>
            <w:bottom w:w="0" w:type="dxa"/>
          </w:tblCellMar>
        </w:tblPrEx>
        <w:trPr>
          <w:jc w:val="center"/>
        </w:trPr>
        <w:tc>
          <w:tcPr>
            <w:tcW w:w="2136" w:type="dxa"/>
            <w:tcBorders>
              <w:top w:val="nil"/>
              <w:left w:val="nil"/>
              <w:bottom w:val="nil"/>
              <w:right w:val="nil"/>
            </w:tcBorders>
          </w:tcPr>
          <w:p w14:paraId="2AC931CB"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Year of plan existence, Fourth</w:t>
            </w:r>
          </w:p>
        </w:tc>
        <w:tc>
          <w:tcPr>
            <w:tcW w:w="1656" w:type="dxa"/>
            <w:tcBorders>
              <w:top w:val="nil"/>
              <w:left w:val="nil"/>
              <w:bottom w:val="nil"/>
              <w:right w:val="nil"/>
            </w:tcBorders>
          </w:tcPr>
          <w:p w14:paraId="03880840"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-0.117</w:t>
            </w:r>
            <w:r w:rsidRPr="00210A2E">
              <w:rPr>
                <w:rFonts w:ascii="Times New Roman" w:hAnsi="Times New Roman" w:cs="Times New Roman"/>
                <w:vertAlign w:val="superscript"/>
              </w:rPr>
              <w:t>**</w:t>
            </w:r>
          </w:p>
        </w:tc>
        <w:tc>
          <w:tcPr>
            <w:tcW w:w="1656" w:type="dxa"/>
            <w:tcBorders>
              <w:top w:val="nil"/>
              <w:left w:val="nil"/>
              <w:bottom w:val="nil"/>
              <w:right w:val="nil"/>
            </w:tcBorders>
          </w:tcPr>
          <w:p w14:paraId="14B12804"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-0.0925</w:t>
            </w:r>
          </w:p>
        </w:tc>
        <w:tc>
          <w:tcPr>
            <w:tcW w:w="1656" w:type="dxa"/>
            <w:tcBorders>
              <w:top w:val="nil"/>
              <w:left w:val="nil"/>
              <w:bottom w:val="nil"/>
              <w:right w:val="nil"/>
            </w:tcBorders>
          </w:tcPr>
          <w:p w14:paraId="6B58CDBC"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-0.125</w:t>
            </w:r>
            <w:r w:rsidRPr="00210A2E">
              <w:rPr>
                <w:rFonts w:ascii="Times New Roman" w:hAnsi="Times New Roman" w:cs="Times New Roman"/>
                <w:vertAlign w:val="superscript"/>
              </w:rPr>
              <w:t>*</w:t>
            </w:r>
          </w:p>
        </w:tc>
      </w:tr>
      <w:tr w:rsidR="00DF65E8" w14:paraId="01A0D367" w14:textId="77777777" w:rsidTr="00ED4C43">
        <w:tblPrEx>
          <w:tblCellMar>
            <w:top w:w="0" w:type="dxa"/>
            <w:bottom w:w="0" w:type="dxa"/>
          </w:tblCellMar>
        </w:tblPrEx>
        <w:trPr>
          <w:jc w:val="center"/>
        </w:trPr>
        <w:tc>
          <w:tcPr>
            <w:tcW w:w="2136" w:type="dxa"/>
            <w:tcBorders>
              <w:top w:val="nil"/>
              <w:left w:val="nil"/>
              <w:bottom w:val="nil"/>
              <w:right w:val="nil"/>
            </w:tcBorders>
          </w:tcPr>
          <w:p w14:paraId="5CF1BC63"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40D50086"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(0.0476)</w:t>
            </w:r>
          </w:p>
        </w:tc>
        <w:tc>
          <w:tcPr>
            <w:tcW w:w="1656" w:type="dxa"/>
            <w:tcBorders>
              <w:top w:val="nil"/>
              <w:left w:val="nil"/>
              <w:bottom w:val="nil"/>
              <w:right w:val="nil"/>
            </w:tcBorders>
          </w:tcPr>
          <w:p w14:paraId="4681F75C"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(0.0783)</w:t>
            </w:r>
          </w:p>
        </w:tc>
        <w:tc>
          <w:tcPr>
            <w:tcW w:w="1656" w:type="dxa"/>
            <w:tcBorders>
              <w:top w:val="nil"/>
              <w:left w:val="nil"/>
              <w:bottom w:val="nil"/>
              <w:right w:val="nil"/>
            </w:tcBorders>
          </w:tcPr>
          <w:p w14:paraId="02FB66BB"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(0.0705)</w:t>
            </w:r>
          </w:p>
        </w:tc>
      </w:tr>
      <w:tr w:rsidR="00DF65E8" w14:paraId="4D13824B" w14:textId="77777777" w:rsidTr="00ED4C43">
        <w:tblPrEx>
          <w:tblCellMar>
            <w:top w:w="0" w:type="dxa"/>
            <w:bottom w:w="0" w:type="dxa"/>
          </w:tblCellMar>
        </w:tblPrEx>
        <w:trPr>
          <w:jc w:val="center"/>
        </w:trPr>
        <w:tc>
          <w:tcPr>
            <w:tcW w:w="2136" w:type="dxa"/>
            <w:tcBorders>
              <w:top w:val="nil"/>
              <w:left w:val="nil"/>
              <w:bottom w:val="nil"/>
              <w:right w:val="nil"/>
            </w:tcBorders>
          </w:tcPr>
          <w:p w14:paraId="197C88E4"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599C609A"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5F32E29D"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nil"/>
              <w:right w:val="nil"/>
            </w:tcBorders>
          </w:tcPr>
          <w:p w14:paraId="3E2C85BD"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r>
      <w:tr w:rsidR="00DF65E8" w14:paraId="70DC8A99" w14:textId="77777777" w:rsidTr="00ED4C43">
        <w:tblPrEx>
          <w:tblCellMar>
            <w:top w:w="0" w:type="dxa"/>
            <w:bottom w:w="0" w:type="dxa"/>
          </w:tblCellMar>
        </w:tblPrEx>
        <w:trPr>
          <w:jc w:val="center"/>
        </w:trPr>
        <w:tc>
          <w:tcPr>
            <w:tcW w:w="2136" w:type="dxa"/>
            <w:tcBorders>
              <w:top w:val="nil"/>
              <w:left w:val="nil"/>
              <w:bottom w:val="nil"/>
              <w:right w:val="nil"/>
            </w:tcBorders>
          </w:tcPr>
          <w:p w14:paraId="007A60E6"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Constant</w:t>
            </w:r>
          </w:p>
        </w:tc>
        <w:tc>
          <w:tcPr>
            <w:tcW w:w="1656" w:type="dxa"/>
            <w:tcBorders>
              <w:top w:val="nil"/>
              <w:left w:val="nil"/>
              <w:bottom w:val="nil"/>
              <w:right w:val="nil"/>
            </w:tcBorders>
          </w:tcPr>
          <w:p w14:paraId="71E40F60"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3.509</w:t>
            </w:r>
            <w:r w:rsidRPr="00210A2E">
              <w:rPr>
                <w:rFonts w:ascii="Times New Roman" w:hAnsi="Times New Roman" w:cs="Times New Roman"/>
                <w:vertAlign w:val="superscript"/>
              </w:rPr>
              <w:t>***</w:t>
            </w:r>
          </w:p>
        </w:tc>
        <w:tc>
          <w:tcPr>
            <w:tcW w:w="1656" w:type="dxa"/>
            <w:tcBorders>
              <w:top w:val="nil"/>
              <w:left w:val="nil"/>
              <w:bottom w:val="nil"/>
              <w:right w:val="nil"/>
            </w:tcBorders>
          </w:tcPr>
          <w:p w14:paraId="552EBC14"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3.445</w:t>
            </w:r>
            <w:r w:rsidRPr="00210A2E">
              <w:rPr>
                <w:rFonts w:ascii="Times New Roman" w:hAnsi="Times New Roman" w:cs="Times New Roman"/>
                <w:vertAlign w:val="superscript"/>
              </w:rPr>
              <w:t>***</w:t>
            </w:r>
          </w:p>
        </w:tc>
        <w:tc>
          <w:tcPr>
            <w:tcW w:w="1656" w:type="dxa"/>
            <w:tcBorders>
              <w:top w:val="nil"/>
              <w:left w:val="nil"/>
              <w:bottom w:val="nil"/>
              <w:right w:val="nil"/>
            </w:tcBorders>
          </w:tcPr>
          <w:p w14:paraId="7CF22759"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3.659</w:t>
            </w:r>
            <w:r w:rsidRPr="00210A2E">
              <w:rPr>
                <w:rFonts w:ascii="Times New Roman" w:hAnsi="Times New Roman" w:cs="Times New Roman"/>
                <w:vertAlign w:val="superscript"/>
              </w:rPr>
              <w:t>***</w:t>
            </w:r>
          </w:p>
        </w:tc>
      </w:tr>
      <w:tr w:rsidR="00DF65E8" w14:paraId="58606CB8" w14:textId="77777777" w:rsidTr="00ED4C43">
        <w:tblPrEx>
          <w:tblCellMar>
            <w:top w:w="0" w:type="dxa"/>
            <w:bottom w:w="0" w:type="dxa"/>
          </w:tblCellMar>
        </w:tblPrEx>
        <w:trPr>
          <w:jc w:val="center"/>
        </w:trPr>
        <w:tc>
          <w:tcPr>
            <w:tcW w:w="2136" w:type="dxa"/>
            <w:tcBorders>
              <w:top w:val="nil"/>
              <w:left w:val="nil"/>
              <w:bottom w:val="single" w:sz="4" w:space="0" w:color="auto"/>
              <w:right w:val="nil"/>
            </w:tcBorders>
          </w:tcPr>
          <w:p w14:paraId="57BE06CB"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p>
        </w:tc>
        <w:tc>
          <w:tcPr>
            <w:tcW w:w="1656" w:type="dxa"/>
            <w:tcBorders>
              <w:top w:val="nil"/>
              <w:left w:val="nil"/>
              <w:bottom w:val="single" w:sz="4" w:space="0" w:color="auto"/>
              <w:right w:val="nil"/>
            </w:tcBorders>
          </w:tcPr>
          <w:p w14:paraId="30177349"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(0.0639)</w:t>
            </w:r>
          </w:p>
        </w:tc>
        <w:tc>
          <w:tcPr>
            <w:tcW w:w="1656" w:type="dxa"/>
            <w:tcBorders>
              <w:top w:val="nil"/>
              <w:left w:val="nil"/>
              <w:bottom w:val="single" w:sz="4" w:space="0" w:color="auto"/>
              <w:right w:val="nil"/>
            </w:tcBorders>
          </w:tcPr>
          <w:p w14:paraId="0EAE93AF"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(0.0628)</w:t>
            </w:r>
          </w:p>
        </w:tc>
        <w:tc>
          <w:tcPr>
            <w:tcW w:w="1656" w:type="dxa"/>
            <w:tcBorders>
              <w:top w:val="nil"/>
              <w:left w:val="nil"/>
              <w:bottom w:val="single" w:sz="4" w:space="0" w:color="auto"/>
              <w:right w:val="nil"/>
            </w:tcBorders>
          </w:tcPr>
          <w:p w14:paraId="5A646415"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(0.0865)</w:t>
            </w:r>
          </w:p>
        </w:tc>
      </w:tr>
      <w:tr w:rsidR="00DF65E8" w14:paraId="6E036E91" w14:textId="77777777" w:rsidTr="00ED4C43">
        <w:tblPrEx>
          <w:tblCellMar>
            <w:top w:w="0" w:type="dxa"/>
            <w:bottom w:w="0" w:type="dxa"/>
          </w:tblCellMar>
        </w:tblPrEx>
        <w:trPr>
          <w:jc w:val="center"/>
        </w:trPr>
        <w:tc>
          <w:tcPr>
            <w:tcW w:w="2136" w:type="dxa"/>
            <w:tcBorders>
              <w:top w:val="nil"/>
              <w:left w:val="nil"/>
              <w:bottom w:val="single" w:sz="4" w:space="0" w:color="auto"/>
              <w:right w:val="nil"/>
            </w:tcBorders>
          </w:tcPr>
          <w:p w14:paraId="0637A8B0" w14:textId="77777777" w:rsidR="00DF65E8" w:rsidRPr="00210A2E" w:rsidRDefault="00DF65E8" w:rsidP="00AC0654">
            <w:pPr>
              <w:widowControl w:val="0"/>
              <w:autoSpaceDE w:val="0"/>
              <w:autoSpaceDN w:val="0"/>
              <w:adjustRightInd w:val="0"/>
              <w:spacing w:after="0" w:line="240" w:lineRule="auto"/>
              <w:rPr>
                <w:rFonts w:ascii="Times New Roman" w:hAnsi="Times New Roman" w:cs="Times New Roman"/>
              </w:rPr>
            </w:pPr>
            <w:r w:rsidRPr="00210A2E">
              <w:rPr>
                <w:rFonts w:ascii="Times New Roman" w:hAnsi="Times New Roman" w:cs="Times New Roman"/>
              </w:rPr>
              <w:t>Observations</w:t>
            </w:r>
          </w:p>
        </w:tc>
        <w:tc>
          <w:tcPr>
            <w:tcW w:w="1656" w:type="dxa"/>
            <w:tcBorders>
              <w:top w:val="nil"/>
              <w:left w:val="nil"/>
              <w:bottom w:val="single" w:sz="4" w:space="0" w:color="auto"/>
              <w:right w:val="nil"/>
            </w:tcBorders>
          </w:tcPr>
          <w:p w14:paraId="204F1340"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2725</w:t>
            </w:r>
          </w:p>
        </w:tc>
        <w:tc>
          <w:tcPr>
            <w:tcW w:w="1656" w:type="dxa"/>
            <w:tcBorders>
              <w:top w:val="nil"/>
              <w:left w:val="nil"/>
              <w:bottom w:val="single" w:sz="4" w:space="0" w:color="auto"/>
              <w:right w:val="nil"/>
            </w:tcBorders>
          </w:tcPr>
          <w:p w14:paraId="14A23147"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2725</w:t>
            </w:r>
          </w:p>
        </w:tc>
        <w:tc>
          <w:tcPr>
            <w:tcW w:w="1656" w:type="dxa"/>
            <w:tcBorders>
              <w:top w:val="nil"/>
              <w:left w:val="nil"/>
              <w:bottom w:val="single" w:sz="4" w:space="0" w:color="auto"/>
              <w:right w:val="nil"/>
            </w:tcBorders>
          </w:tcPr>
          <w:p w14:paraId="2D493F05" w14:textId="77777777" w:rsidR="00DF65E8" w:rsidRPr="00210A2E" w:rsidRDefault="00DF65E8" w:rsidP="00AC0654">
            <w:pPr>
              <w:widowControl w:val="0"/>
              <w:autoSpaceDE w:val="0"/>
              <w:autoSpaceDN w:val="0"/>
              <w:adjustRightInd w:val="0"/>
              <w:spacing w:after="0" w:line="240" w:lineRule="auto"/>
              <w:jc w:val="center"/>
              <w:rPr>
                <w:rFonts w:ascii="Times New Roman" w:hAnsi="Times New Roman" w:cs="Times New Roman"/>
              </w:rPr>
            </w:pPr>
            <w:r w:rsidRPr="00210A2E">
              <w:rPr>
                <w:rFonts w:ascii="Times New Roman" w:hAnsi="Times New Roman" w:cs="Times New Roman"/>
              </w:rPr>
              <w:t>2725</w:t>
            </w:r>
          </w:p>
        </w:tc>
      </w:tr>
    </w:tbl>
    <w:p w14:paraId="14B5A305" w14:textId="2063D41F" w:rsidR="00DF65E8" w:rsidRDefault="00DF65E8" w:rsidP="00ED4C43">
      <w:pPr>
        <w:widowControl w:val="0"/>
        <w:autoSpaceDE w:val="0"/>
        <w:autoSpaceDN w:val="0"/>
        <w:adjustRightInd w:val="0"/>
        <w:spacing w:after="0" w:line="240" w:lineRule="auto"/>
        <w:ind w:left="1080" w:right="990"/>
        <w:rPr>
          <w:rFonts w:ascii="Times New Roman" w:hAnsi="Times New Roman" w:cs="Times New Roman"/>
          <w:sz w:val="20"/>
          <w:szCs w:val="20"/>
        </w:rPr>
      </w:pPr>
      <w:r>
        <w:rPr>
          <w:rFonts w:ascii="Times New Roman" w:hAnsi="Times New Roman" w:cs="Times New Roman"/>
          <w:sz w:val="20"/>
          <w:szCs w:val="20"/>
        </w:rPr>
        <w:t>*** 1% ** 5% * 10%</w:t>
      </w:r>
    </w:p>
    <w:p w14:paraId="30CD5E50" w14:textId="5FC9C3E6" w:rsidR="00DF65E8" w:rsidRDefault="00DF65E8" w:rsidP="00ED4C43">
      <w:pPr>
        <w:widowControl w:val="0"/>
        <w:autoSpaceDE w:val="0"/>
        <w:autoSpaceDN w:val="0"/>
        <w:adjustRightInd w:val="0"/>
        <w:spacing w:after="0" w:line="240" w:lineRule="auto"/>
        <w:ind w:left="1080" w:right="990"/>
        <w:rPr>
          <w:rFonts w:ascii="Times New Roman" w:hAnsi="Times New Roman" w:cs="Times New Roman"/>
          <w:sz w:val="20"/>
          <w:szCs w:val="20"/>
        </w:rPr>
      </w:pPr>
      <w:r>
        <w:rPr>
          <w:rFonts w:ascii="Times New Roman" w:hAnsi="Times New Roman" w:cs="Times New Roman"/>
          <w:sz w:val="20"/>
          <w:szCs w:val="20"/>
        </w:rPr>
        <w:t>All models contain year and state interaction fixed effects, are limited to basic plans, and have standard errors clustered at the firm level. Model 2 contains whether the firm offers a Medicare Advantage plan as a covariate. Models 2 and 3 contain covariates relating to the type of basic</w:t>
      </w:r>
      <w:bookmarkStart w:id="1" w:name="_GoBack"/>
      <w:bookmarkEnd w:id="1"/>
      <w:r>
        <w:rPr>
          <w:rFonts w:ascii="Times New Roman" w:hAnsi="Times New Roman" w:cs="Times New Roman"/>
          <w:sz w:val="20"/>
          <w:szCs w:val="20"/>
        </w:rPr>
        <w:t xml:space="preserve"> plan. Model 3 adds firm-level fixed effects.</w:t>
      </w:r>
    </w:p>
    <w:p w14:paraId="173BB17D" w14:textId="77777777" w:rsidR="00DF65E8" w:rsidRDefault="00DF65E8" w:rsidP="00DF65E8">
      <w:pPr>
        <w:widowControl w:val="0"/>
        <w:autoSpaceDE w:val="0"/>
        <w:autoSpaceDN w:val="0"/>
        <w:adjustRightInd w:val="0"/>
        <w:spacing w:after="0" w:line="240" w:lineRule="auto"/>
        <w:rPr>
          <w:rFonts w:ascii="Times New Roman" w:hAnsi="Times New Roman" w:cs="Times New Roman"/>
          <w:sz w:val="20"/>
          <w:szCs w:val="20"/>
        </w:rPr>
      </w:pPr>
    </w:p>
    <w:p w14:paraId="6814C480" w14:textId="77777777" w:rsidR="00DF65E8" w:rsidRDefault="00DF65E8" w:rsidP="00DF65E8">
      <w:pPr>
        <w:widowControl w:val="0"/>
        <w:autoSpaceDE w:val="0"/>
        <w:autoSpaceDN w:val="0"/>
        <w:adjustRightInd w:val="0"/>
        <w:spacing w:after="0" w:line="240" w:lineRule="auto"/>
        <w:rPr>
          <w:rFonts w:ascii="Times New Roman" w:hAnsi="Times New Roman" w:cs="Times New Roman"/>
          <w:sz w:val="20"/>
          <w:szCs w:val="20"/>
        </w:rPr>
      </w:pPr>
    </w:p>
    <w:p w14:paraId="7FC35643" w14:textId="77777777" w:rsidR="00DF65E8" w:rsidRDefault="00DF65E8" w:rsidP="00DF65E8">
      <w:pPr>
        <w:widowControl w:val="0"/>
        <w:autoSpaceDE w:val="0"/>
        <w:autoSpaceDN w:val="0"/>
        <w:adjustRightInd w:val="0"/>
        <w:spacing w:after="0" w:line="240" w:lineRule="auto"/>
        <w:rPr>
          <w:rFonts w:ascii="Times New Roman" w:hAnsi="Times New Roman" w:cs="Times New Roman"/>
          <w:sz w:val="24"/>
          <w:szCs w:val="24"/>
        </w:rPr>
      </w:pPr>
    </w:p>
    <w:p w14:paraId="325DA206" w14:textId="15F48729" w:rsidR="00DF65E8" w:rsidRPr="00BC4479" w:rsidRDefault="00A46368" w:rsidP="00A46368">
      <w:pPr>
        <w:pStyle w:val="ListParagraph"/>
        <w:widowControl w:val="0"/>
        <w:numPr>
          <w:ilvl w:val="0"/>
          <w:numId w:val="1"/>
        </w:numPr>
        <w:autoSpaceDE w:val="0"/>
        <w:autoSpaceDN w:val="0"/>
        <w:adjustRightInd w:val="0"/>
        <w:spacing w:after="0" w:line="240" w:lineRule="auto"/>
        <w:rPr>
          <w:rFonts w:ascii="Times New Roman" w:hAnsi="Times New Roman" w:cs="Times New Roman"/>
          <w:szCs w:val="20"/>
        </w:rPr>
      </w:pPr>
      <w:r w:rsidRPr="00BC4479">
        <w:rPr>
          <w:rFonts w:ascii="Times New Roman" w:hAnsi="Times New Roman" w:cs="Times New Roman"/>
        </w:rPr>
        <w:t>The results of adjusting the bin width for the figures does not change the overall story told by the graphs. The smoothest graphs may be easier interpret, but the overall finding of the discontinuity is the same. Changing the bandwidth has differing effects depending on the magnitude of the change. A</w:t>
      </w:r>
      <w:r w:rsidRPr="00BC4479">
        <w:rPr>
          <w:rFonts w:ascii="Times New Roman" w:hAnsi="Times New Roman" w:cs="Times New Roman"/>
        </w:rPr>
        <w:t>fter reversing the sign to handle the slight specification change</w:t>
      </w:r>
      <w:r w:rsidRPr="00BC4479">
        <w:rPr>
          <w:rFonts w:ascii="Times New Roman" w:hAnsi="Times New Roman" w:cs="Times New Roman"/>
        </w:rPr>
        <w:t xml:space="preserve">, most </w:t>
      </w:r>
      <w:r w:rsidRPr="00BC4479">
        <w:rPr>
          <w:rFonts w:ascii="Times New Roman" w:hAnsi="Times New Roman" w:cs="Times New Roman"/>
        </w:rPr>
        <w:t xml:space="preserve">of the new estimates are similar in magnitude to the original Ericson estimates; the one exception is 2007. </w:t>
      </w:r>
      <w:r w:rsidRPr="00BC4479">
        <w:rPr>
          <w:rFonts w:ascii="Times New Roman" w:hAnsi="Times New Roman" w:cs="Times New Roman"/>
        </w:rPr>
        <w:lastRenderedPageBreak/>
        <w:t>The data-driven bandwidths for the other years ranged from 3.6 to 4.5. In contrast, the bandwidth for 2007 was 2.4. Unsurprisingly, the bandwidth that differed the most from the original</w:t>
      </w:r>
      <w:r w:rsidRPr="00BC4479">
        <w:rPr>
          <w:rFonts w:ascii="Times New Roman" w:hAnsi="Times New Roman" w:cs="Times New Roman"/>
        </w:rPr>
        <w:t>ly chosen</w:t>
      </w:r>
      <w:r w:rsidRPr="00BC4479">
        <w:rPr>
          <w:rFonts w:ascii="Times New Roman" w:hAnsi="Times New Roman" w:cs="Times New Roman"/>
        </w:rPr>
        <w:t xml:space="preserve"> bandwidth produced the most divergent result.</w:t>
      </w:r>
    </w:p>
    <w:p w14:paraId="0C6DCF83" w14:textId="665696EC" w:rsidR="004631CC" w:rsidRPr="00BC4479" w:rsidRDefault="00FC6287" w:rsidP="00FC6287">
      <w:pPr>
        <w:ind w:left="360"/>
        <w:rPr>
          <w:rFonts w:ascii="Times New Roman" w:hAnsi="Times New Roman" w:cs="Times New Roman"/>
        </w:rPr>
      </w:pPr>
      <w:r w:rsidRPr="00BC4479">
        <w:rPr>
          <w:rFonts w:ascii="Times New Roman" w:hAnsi="Times New Roman" w:cs="Times New Roman"/>
        </w:rPr>
        <w:t xml:space="preserve">  </w:t>
      </w:r>
    </w:p>
    <w:p w14:paraId="53F00B41" w14:textId="00D84E61" w:rsidR="00435B00" w:rsidRPr="00BC4479" w:rsidRDefault="00543145" w:rsidP="00BC4479">
      <w:pPr>
        <w:ind w:left="720"/>
        <w:rPr>
          <w:rFonts w:ascii="Times New Roman" w:hAnsi="Times New Roman" w:cs="Times New Roman"/>
        </w:rPr>
      </w:pPr>
      <w:r w:rsidRPr="00BC4479">
        <w:rPr>
          <w:rFonts w:ascii="Times New Roman" w:hAnsi="Times New Roman" w:cs="Times New Roman"/>
        </w:rPr>
        <w:t xml:space="preserve">The IV results provide an interesting </w:t>
      </w:r>
      <w:r w:rsidR="00435B00" w:rsidRPr="00BC4479">
        <w:rPr>
          <w:rFonts w:ascii="Times New Roman" w:hAnsi="Times New Roman" w:cs="Times New Roman"/>
        </w:rPr>
        <w:t>addition</w:t>
      </w:r>
      <w:r w:rsidRPr="00BC4479">
        <w:rPr>
          <w:rFonts w:ascii="Times New Roman" w:hAnsi="Times New Roman" w:cs="Times New Roman"/>
        </w:rPr>
        <w:t xml:space="preserve"> to the results presented in the paper</w:t>
      </w:r>
      <w:r w:rsidR="00435B00" w:rsidRPr="00BC4479">
        <w:rPr>
          <w:rFonts w:ascii="Times New Roman" w:hAnsi="Times New Roman" w:cs="Times New Roman"/>
        </w:rPr>
        <w:t>. Among the plans in their second or later year of existence, the majority of the variation in premiums is within plan variation, as opposed to between-plan variation. When plan-level fixed effects are included, the effect of market share in the prior year becomes insignificant. However, plans still appear to be charging lower premiums in their earlier years of existence relative to the fifth year of existence. This is in line with the “invest then harvest” strategy.</w:t>
      </w:r>
    </w:p>
    <w:p w14:paraId="22E8BA39" w14:textId="5616FF8B" w:rsidR="00543145" w:rsidRDefault="00543145" w:rsidP="00543145">
      <w:pPr>
        <w:ind w:left="720"/>
      </w:pPr>
    </w:p>
    <w:sectPr w:rsidR="0054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F43D7"/>
    <w:multiLevelType w:val="hybridMultilevel"/>
    <w:tmpl w:val="5C10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B9"/>
    <w:rsid w:val="00140420"/>
    <w:rsid w:val="001445AE"/>
    <w:rsid w:val="00210A2E"/>
    <w:rsid w:val="00435B00"/>
    <w:rsid w:val="004631CC"/>
    <w:rsid w:val="004A20B9"/>
    <w:rsid w:val="00543145"/>
    <w:rsid w:val="00617D58"/>
    <w:rsid w:val="006C20C6"/>
    <w:rsid w:val="007A22E0"/>
    <w:rsid w:val="008A17AC"/>
    <w:rsid w:val="008D1F65"/>
    <w:rsid w:val="00937281"/>
    <w:rsid w:val="009E6600"/>
    <w:rsid w:val="00A46368"/>
    <w:rsid w:val="00BC4479"/>
    <w:rsid w:val="00C07DA0"/>
    <w:rsid w:val="00DA77D3"/>
    <w:rsid w:val="00DF65E8"/>
    <w:rsid w:val="00E46A07"/>
    <w:rsid w:val="00ED4C43"/>
    <w:rsid w:val="00FB37DE"/>
    <w:rsid w:val="00FC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8515"/>
  <w15:chartTrackingRefBased/>
  <w15:docId w15:val="{23D15E18-0506-448F-97B7-E29C286F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0996B9F2C0914698A59D675A587C52" ma:contentTypeVersion="12" ma:contentTypeDescription="Create a new document." ma:contentTypeScope="" ma:versionID="9f1ab9e2540e10a450ccb4c916bc6ae6">
  <xsd:schema xmlns:xsd="http://www.w3.org/2001/XMLSchema" xmlns:xs="http://www.w3.org/2001/XMLSchema" xmlns:p="http://schemas.microsoft.com/office/2006/metadata/properties" xmlns:ns3="e9229b6d-0f48-4484-9403-a12ac9dfd3ab" xmlns:ns4="8c67efb5-b33f-4ecf-a5c9-bb89c8bec919" targetNamespace="http://schemas.microsoft.com/office/2006/metadata/properties" ma:root="true" ma:fieldsID="836cb5aa8572530f7ef3d7b0e0b094c8" ns3:_="" ns4:_="">
    <xsd:import namespace="e9229b6d-0f48-4484-9403-a12ac9dfd3ab"/>
    <xsd:import namespace="8c67efb5-b33f-4ecf-a5c9-bb89c8bec9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229b6d-0f48-4484-9403-a12ac9dfd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67efb5-b33f-4ecf-a5c9-bb89c8bec9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A12F92-2A73-4CE1-A1E8-17FF6AC28428}">
  <ds:schemaRefs>
    <ds:schemaRef ds:uri="http://schemas.microsoft.com/sharepoint/v3/contenttype/forms"/>
  </ds:schemaRefs>
</ds:datastoreItem>
</file>

<file path=customXml/itemProps2.xml><?xml version="1.0" encoding="utf-8"?>
<ds:datastoreItem xmlns:ds="http://schemas.openxmlformats.org/officeDocument/2006/customXml" ds:itemID="{D6FE6A16-A906-4288-B2D7-43DA857980FD}">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e9229b6d-0f48-4484-9403-a12ac9dfd3ab"/>
    <ds:schemaRef ds:uri="8c67efb5-b33f-4ecf-a5c9-bb89c8bec919"/>
    <ds:schemaRef ds:uri="http://www.w3.org/XML/1998/namespace"/>
    <ds:schemaRef ds:uri="http://purl.org/dc/elements/1.1/"/>
  </ds:schemaRefs>
</ds:datastoreItem>
</file>

<file path=customXml/itemProps3.xml><?xml version="1.0" encoding="utf-8"?>
<ds:datastoreItem xmlns:ds="http://schemas.openxmlformats.org/officeDocument/2006/customXml" ds:itemID="{AF5CF254-C90D-4C36-8FA9-741FC4E8E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229b6d-0f48-4484-9403-a12ac9dfd3ab"/>
    <ds:schemaRef ds:uri="8c67efb5-b33f-4ecf-a5c9-bb89c8bec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6</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Martha</dc:creator>
  <cp:keywords/>
  <dc:description/>
  <cp:lastModifiedBy>Wetzel, Martha</cp:lastModifiedBy>
  <cp:revision>14</cp:revision>
  <dcterms:created xsi:type="dcterms:W3CDTF">2022-10-31T23:58:00Z</dcterms:created>
  <dcterms:modified xsi:type="dcterms:W3CDTF">2022-11-04T17:26:00Z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0x010100A70996B9F2C0914698A59D675A587C52</vt:lpwstr>
  </property>
</Properties>
</file>