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B5D6" w14:textId="77777777" w:rsidR="00DE5A2D" w:rsidRPr="00112AA8" w:rsidRDefault="00895E60" w:rsidP="00895E60">
      <w:pPr>
        <w:ind w:left="7380"/>
        <w:rPr>
          <w:rFonts w:cstheme="minorHAnsi"/>
        </w:rPr>
      </w:pPr>
      <w:r w:rsidRPr="00112AA8">
        <w:rPr>
          <w:rFonts w:cstheme="minorHAnsi"/>
        </w:rPr>
        <w:t>Martha Wetzel</w:t>
      </w:r>
    </w:p>
    <w:p w14:paraId="2D7C7A61" w14:textId="77777777" w:rsidR="00895E60" w:rsidRPr="00112AA8" w:rsidRDefault="00895E60" w:rsidP="00895E60">
      <w:pPr>
        <w:ind w:left="7380"/>
        <w:rPr>
          <w:rFonts w:cstheme="minorHAnsi"/>
        </w:rPr>
      </w:pPr>
      <w:r w:rsidRPr="00112AA8">
        <w:rPr>
          <w:rFonts w:cstheme="minorHAnsi"/>
        </w:rPr>
        <w:t>ECON 771</w:t>
      </w:r>
    </w:p>
    <w:p w14:paraId="1B6FB874" w14:textId="77777777" w:rsidR="00895E60" w:rsidRPr="00112AA8" w:rsidRDefault="00895E60" w:rsidP="00895E60">
      <w:pPr>
        <w:ind w:left="7380"/>
        <w:rPr>
          <w:rFonts w:cstheme="minorHAnsi"/>
        </w:rPr>
      </w:pPr>
      <w:r w:rsidRPr="00112AA8">
        <w:rPr>
          <w:rFonts w:cstheme="minorHAnsi"/>
        </w:rPr>
        <w:t>Assignment 1</w:t>
      </w:r>
    </w:p>
    <w:p w14:paraId="2803F79F" w14:textId="63DAAEC6" w:rsidR="00895E60" w:rsidRPr="00112AA8" w:rsidRDefault="00895E60" w:rsidP="00895E60">
      <w:pPr>
        <w:pStyle w:val="ListParagraph"/>
        <w:numPr>
          <w:ilvl w:val="0"/>
          <w:numId w:val="1"/>
        </w:numPr>
        <w:rPr>
          <w:rFonts w:cstheme="minorHAnsi"/>
        </w:rPr>
      </w:pPr>
      <w:r w:rsidRPr="00112AA8">
        <w:rPr>
          <w:rFonts w:cstheme="minorHAnsi"/>
        </w:rPr>
        <w:t>Table 1 shows descriptive statistics for hospital revenues and uncompensated care over time.</w:t>
      </w:r>
      <w:r w:rsidR="004D2F2A" w:rsidRPr="00112AA8">
        <w:rPr>
          <w:rFonts w:cstheme="minorHAnsi"/>
        </w:rPr>
        <w:t xml:space="preserve"> In general, uncompensated care costs varied widely among hospitals, ranging from $0 to over $800 million. </w:t>
      </w:r>
      <w:r w:rsidR="00354176" w:rsidRPr="00112AA8">
        <w:rPr>
          <w:rFonts w:cstheme="minorHAnsi"/>
        </w:rPr>
        <w:t xml:space="preserve">Uncompensated care costs </w:t>
      </w:r>
      <w:r w:rsidR="004D2F2A" w:rsidRPr="00112AA8">
        <w:rPr>
          <w:rFonts w:cstheme="minorHAnsi"/>
        </w:rPr>
        <w:t xml:space="preserve">were higher in the 2010s than in the 2000s, </w:t>
      </w:r>
      <w:r w:rsidR="00354176" w:rsidRPr="00112AA8">
        <w:rPr>
          <w:rFonts w:cstheme="minorHAnsi"/>
        </w:rPr>
        <w:t>with the means peaking at $10 million in 2012-2013</w:t>
      </w:r>
      <w:r w:rsidR="004D2F2A" w:rsidRPr="00112AA8">
        <w:rPr>
          <w:rFonts w:cstheme="minorHAnsi"/>
        </w:rPr>
        <w:t>.</w:t>
      </w:r>
      <w:r w:rsidR="00354176" w:rsidRPr="00112AA8">
        <w:rPr>
          <w:rFonts w:cstheme="minorHAnsi"/>
        </w:rPr>
        <w:t xml:space="preserve"> In contrast, mean total revenue strictly increased </w:t>
      </w:r>
      <w:r w:rsidR="003617EA" w:rsidRPr="00112AA8">
        <w:rPr>
          <w:rFonts w:cstheme="minorHAnsi"/>
        </w:rPr>
        <w:t>between 2003 and 2019.</w:t>
      </w:r>
      <w:r w:rsidR="004D2F2A" w:rsidRPr="00112AA8">
        <w:rPr>
          <w:rFonts w:cstheme="minorHAnsi"/>
        </w:rPr>
        <w:t xml:space="preserve"> </w:t>
      </w:r>
    </w:p>
    <w:tbl>
      <w:tblPr>
        <w:tblW w:w="0" w:type="auto"/>
        <w:tblInd w:w="502" w:type="dxa"/>
        <w:tblLayout w:type="fixed"/>
        <w:tblLook w:val="0420" w:firstRow="1" w:lastRow="0" w:firstColumn="0" w:lastColumn="0" w:noHBand="0" w:noVBand="1"/>
      </w:tblPr>
      <w:tblGrid>
        <w:gridCol w:w="1530"/>
        <w:gridCol w:w="1080"/>
        <w:gridCol w:w="1350"/>
        <w:gridCol w:w="1350"/>
        <w:gridCol w:w="1350"/>
        <w:gridCol w:w="1710"/>
      </w:tblGrid>
      <w:tr w:rsidR="00C00A4A" w:rsidRPr="00112AA8" w14:paraId="5D938649" w14:textId="77777777" w:rsidTr="0031549F">
        <w:trPr>
          <w:tblHeader/>
        </w:trPr>
        <w:tc>
          <w:tcPr>
            <w:tcW w:w="153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B3F56CE" w14:textId="77777777" w:rsidR="00C00A4A" w:rsidRPr="00112AA8" w:rsidRDefault="00C00A4A" w:rsidP="00C00A4A">
            <w:pPr>
              <w:spacing w:after="0"/>
              <w:jc w:val="center"/>
              <w:rPr>
                <w:rFonts w:cstheme="minorHAnsi"/>
              </w:rPr>
            </w:pPr>
            <w:r w:rsidRPr="00112AA8">
              <w:rPr>
                <w:rFonts w:cstheme="minorHAnsi"/>
                <w:b/>
              </w:rPr>
              <w:t>Year</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7F1FC56" w14:textId="77777777" w:rsidR="00C00A4A" w:rsidRPr="00112AA8" w:rsidRDefault="00C00A4A" w:rsidP="00C00A4A">
            <w:pPr>
              <w:spacing w:after="0"/>
              <w:jc w:val="center"/>
              <w:rPr>
                <w:rFonts w:cstheme="minorHAnsi"/>
              </w:rPr>
            </w:pPr>
            <w:r w:rsidRPr="00112AA8">
              <w:rPr>
                <w:rFonts w:cstheme="minorHAnsi"/>
                <w:b/>
              </w:rPr>
              <w:t>N</w:t>
            </w:r>
          </w:p>
        </w:tc>
        <w:tc>
          <w:tcPr>
            <w:tcW w:w="135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96A22CA" w14:textId="77777777" w:rsidR="00C00A4A" w:rsidRPr="00112AA8" w:rsidRDefault="00C00A4A" w:rsidP="00C00A4A">
            <w:pPr>
              <w:spacing w:after="0"/>
              <w:jc w:val="center"/>
              <w:rPr>
                <w:rFonts w:cstheme="minorHAnsi"/>
              </w:rPr>
            </w:pPr>
            <w:r w:rsidRPr="00112AA8">
              <w:rPr>
                <w:rFonts w:cstheme="minorHAnsi"/>
                <w:b/>
              </w:rPr>
              <w:t>Mean</w:t>
            </w:r>
          </w:p>
        </w:tc>
        <w:tc>
          <w:tcPr>
            <w:tcW w:w="135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7C59E63" w14:textId="77777777" w:rsidR="00C00A4A" w:rsidRPr="00112AA8" w:rsidRDefault="00C00A4A" w:rsidP="00C00A4A">
            <w:pPr>
              <w:spacing w:after="0"/>
              <w:jc w:val="center"/>
              <w:rPr>
                <w:rFonts w:cstheme="minorHAnsi"/>
              </w:rPr>
            </w:pPr>
            <w:r w:rsidRPr="00112AA8">
              <w:rPr>
                <w:rFonts w:cstheme="minorHAnsi"/>
                <w:b/>
              </w:rPr>
              <w:t>SD</w:t>
            </w:r>
          </w:p>
        </w:tc>
        <w:tc>
          <w:tcPr>
            <w:tcW w:w="135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35A113B" w14:textId="77777777" w:rsidR="00C00A4A" w:rsidRPr="00112AA8" w:rsidRDefault="00C00A4A" w:rsidP="00C00A4A">
            <w:pPr>
              <w:spacing w:after="0"/>
              <w:jc w:val="center"/>
              <w:rPr>
                <w:rFonts w:cstheme="minorHAnsi"/>
              </w:rPr>
            </w:pPr>
            <w:r w:rsidRPr="00112AA8">
              <w:rPr>
                <w:rFonts w:cstheme="minorHAnsi"/>
                <w:b/>
              </w:rPr>
              <w:t>Min</w:t>
            </w:r>
          </w:p>
        </w:tc>
        <w:tc>
          <w:tcPr>
            <w:tcW w:w="171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53F966" w14:textId="77777777" w:rsidR="00C00A4A" w:rsidRPr="00112AA8" w:rsidRDefault="00C00A4A" w:rsidP="00C00A4A">
            <w:pPr>
              <w:spacing w:after="0"/>
              <w:jc w:val="center"/>
              <w:rPr>
                <w:rFonts w:cstheme="minorHAnsi"/>
              </w:rPr>
            </w:pPr>
            <w:r w:rsidRPr="00112AA8">
              <w:rPr>
                <w:rFonts w:cstheme="minorHAnsi"/>
                <w:b/>
              </w:rPr>
              <w:t>Max</w:t>
            </w:r>
          </w:p>
        </w:tc>
      </w:tr>
      <w:tr w:rsidR="00C00A4A" w:rsidRPr="00112AA8" w14:paraId="5812AC5E" w14:textId="77777777" w:rsidTr="00C00A4A">
        <w:tc>
          <w:tcPr>
            <w:tcW w:w="8370" w:type="dxa"/>
            <w:gridSpan w:val="6"/>
            <w:tcBorders>
              <w:top w:val="single" w:sz="18" w:space="0" w:color="666666"/>
              <w:left w:val="nil"/>
              <w:bottom w:val="nil"/>
              <w:right w:val="nil"/>
            </w:tcBorders>
            <w:shd w:val="clear" w:color="auto" w:fill="F2F2F2" w:themeFill="background1" w:themeFillShade="F2"/>
            <w:tcMar>
              <w:top w:w="0" w:type="dxa"/>
              <w:left w:w="0" w:type="dxa"/>
              <w:bottom w:w="0" w:type="dxa"/>
              <w:right w:w="0" w:type="dxa"/>
            </w:tcMar>
            <w:vAlign w:val="center"/>
          </w:tcPr>
          <w:p w14:paraId="7F937C40" w14:textId="41F9693A" w:rsidR="00C00A4A" w:rsidRPr="00112AA8" w:rsidRDefault="00C00A4A" w:rsidP="00C00A4A">
            <w:pPr>
              <w:spacing w:after="0"/>
              <w:rPr>
                <w:rFonts w:cstheme="minorHAnsi"/>
                <w:b/>
              </w:rPr>
            </w:pPr>
            <w:r w:rsidRPr="00112AA8">
              <w:rPr>
                <w:rFonts w:cstheme="minorHAnsi"/>
                <w:b/>
              </w:rPr>
              <w:t xml:space="preserve">Uncompensated Care </w:t>
            </w:r>
            <w:r w:rsidR="004D2F2A" w:rsidRPr="00112AA8">
              <w:rPr>
                <w:rFonts w:cstheme="minorHAnsi"/>
                <w:b/>
              </w:rPr>
              <w:t>Costs</w:t>
            </w:r>
          </w:p>
        </w:tc>
      </w:tr>
      <w:tr w:rsidR="00C00A4A" w:rsidRPr="00112AA8" w14:paraId="7C5B4414" w14:textId="77777777" w:rsidTr="0031549F">
        <w:tc>
          <w:tcPr>
            <w:tcW w:w="153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5F6B7B92" w14:textId="77777777" w:rsidR="00C00A4A" w:rsidRPr="00112AA8" w:rsidRDefault="00C00A4A" w:rsidP="00C00A4A">
            <w:pPr>
              <w:rPr>
                <w:rFonts w:cstheme="minorHAnsi"/>
              </w:rPr>
            </w:pPr>
            <w:r w:rsidRPr="00112AA8">
              <w:rPr>
                <w:rFonts w:cstheme="minorHAnsi"/>
              </w:rPr>
              <w:t>2003</w:t>
            </w:r>
          </w:p>
        </w:tc>
        <w:tc>
          <w:tcPr>
            <w:tcW w:w="108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39707FAF" w14:textId="77777777" w:rsidR="00C00A4A" w:rsidRPr="00112AA8" w:rsidRDefault="00C00A4A" w:rsidP="00C00A4A">
            <w:pPr>
              <w:rPr>
                <w:rFonts w:cstheme="minorHAnsi"/>
              </w:rPr>
            </w:pPr>
            <w:r w:rsidRPr="00112AA8">
              <w:rPr>
                <w:rFonts w:cstheme="minorHAnsi"/>
              </w:rPr>
              <w:t>2,787</w:t>
            </w:r>
          </w:p>
        </w:tc>
        <w:tc>
          <w:tcPr>
            <w:tcW w:w="135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2BDF28C7" w14:textId="77777777" w:rsidR="00C00A4A" w:rsidRPr="00112AA8" w:rsidRDefault="00C00A4A" w:rsidP="00C00A4A">
            <w:pPr>
              <w:jc w:val="right"/>
              <w:rPr>
                <w:rFonts w:cstheme="minorHAnsi"/>
              </w:rPr>
            </w:pPr>
            <w:r w:rsidRPr="00112AA8">
              <w:rPr>
                <w:rFonts w:cstheme="minorHAnsi"/>
              </w:rPr>
              <w:t>5,201,727</w:t>
            </w:r>
          </w:p>
        </w:tc>
        <w:tc>
          <w:tcPr>
            <w:tcW w:w="135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2B2C29B8" w14:textId="77777777" w:rsidR="00C00A4A" w:rsidRPr="00112AA8" w:rsidRDefault="00C00A4A" w:rsidP="00C00A4A">
            <w:pPr>
              <w:jc w:val="right"/>
              <w:rPr>
                <w:rFonts w:cstheme="minorHAnsi"/>
              </w:rPr>
            </w:pPr>
            <w:r w:rsidRPr="00112AA8">
              <w:rPr>
                <w:rFonts w:cstheme="minorHAnsi"/>
              </w:rPr>
              <w:t>17,027,331</w:t>
            </w:r>
          </w:p>
        </w:tc>
        <w:tc>
          <w:tcPr>
            <w:tcW w:w="135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58494000" w14:textId="77777777" w:rsidR="00C00A4A" w:rsidRPr="00112AA8" w:rsidRDefault="00C00A4A" w:rsidP="00C00A4A">
            <w:pPr>
              <w:jc w:val="right"/>
              <w:rPr>
                <w:rFonts w:cstheme="minorHAnsi"/>
              </w:rPr>
            </w:pPr>
            <w:r w:rsidRPr="00112AA8">
              <w:rPr>
                <w:rFonts w:cstheme="minorHAnsi"/>
              </w:rPr>
              <w:t>0</w:t>
            </w:r>
          </w:p>
        </w:tc>
        <w:tc>
          <w:tcPr>
            <w:tcW w:w="171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0D2916C5" w14:textId="77777777" w:rsidR="00C00A4A" w:rsidRPr="00112AA8" w:rsidRDefault="00C00A4A" w:rsidP="00C00A4A">
            <w:pPr>
              <w:jc w:val="right"/>
              <w:rPr>
                <w:rFonts w:cstheme="minorHAnsi"/>
              </w:rPr>
            </w:pPr>
            <w:r w:rsidRPr="00112AA8">
              <w:rPr>
                <w:rFonts w:cstheme="minorHAnsi"/>
              </w:rPr>
              <w:t>540,531,731</w:t>
            </w:r>
          </w:p>
        </w:tc>
      </w:tr>
      <w:tr w:rsidR="00C00A4A" w:rsidRPr="00112AA8" w14:paraId="008F9EEF"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544F9C2A" w14:textId="77777777" w:rsidR="00C00A4A" w:rsidRPr="00112AA8" w:rsidRDefault="00C00A4A" w:rsidP="00C00A4A">
            <w:pPr>
              <w:rPr>
                <w:rFonts w:cstheme="minorHAnsi"/>
              </w:rPr>
            </w:pPr>
            <w:r w:rsidRPr="00112AA8">
              <w:rPr>
                <w:rFonts w:cstheme="minorHAnsi"/>
              </w:rPr>
              <w:t>2004</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0D26DC7D" w14:textId="77777777" w:rsidR="00C00A4A" w:rsidRPr="00112AA8" w:rsidRDefault="00C00A4A" w:rsidP="00C00A4A">
            <w:pPr>
              <w:rPr>
                <w:rFonts w:cstheme="minorHAnsi"/>
              </w:rPr>
            </w:pPr>
            <w:r w:rsidRPr="00112AA8">
              <w:rPr>
                <w:rFonts w:cstheme="minorHAnsi"/>
              </w:rPr>
              <w:t>2,721</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26E56A19" w14:textId="77777777" w:rsidR="00C00A4A" w:rsidRPr="00112AA8" w:rsidRDefault="00C00A4A" w:rsidP="00C00A4A">
            <w:pPr>
              <w:jc w:val="right"/>
              <w:rPr>
                <w:rFonts w:cstheme="minorHAnsi"/>
              </w:rPr>
            </w:pPr>
            <w:r w:rsidRPr="00112AA8">
              <w:rPr>
                <w:rFonts w:cstheme="minorHAnsi"/>
              </w:rPr>
              <w:t>5,383,004</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4A240DE2" w14:textId="77777777" w:rsidR="00C00A4A" w:rsidRPr="00112AA8" w:rsidRDefault="00C00A4A" w:rsidP="00C00A4A">
            <w:pPr>
              <w:jc w:val="right"/>
              <w:rPr>
                <w:rFonts w:cstheme="minorHAnsi"/>
              </w:rPr>
            </w:pPr>
            <w:r w:rsidRPr="00112AA8">
              <w:rPr>
                <w:rFonts w:cstheme="minorHAnsi"/>
              </w:rPr>
              <w:t>14,918,444</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643577E8" w14:textId="77777777" w:rsidR="00C00A4A" w:rsidRPr="00112AA8" w:rsidRDefault="00C00A4A" w:rsidP="00C00A4A">
            <w:pPr>
              <w:jc w:val="right"/>
              <w:rPr>
                <w:rFonts w:cstheme="minorHAnsi"/>
              </w:rPr>
            </w:pPr>
            <w:r w:rsidRPr="00112AA8">
              <w:rPr>
                <w:rFonts w:cstheme="minorHAnsi"/>
              </w:rPr>
              <w:t>0</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7245F331" w14:textId="77777777" w:rsidR="00C00A4A" w:rsidRPr="00112AA8" w:rsidRDefault="00C00A4A" w:rsidP="00C00A4A">
            <w:pPr>
              <w:jc w:val="right"/>
              <w:rPr>
                <w:rFonts w:cstheme="minorHAnsi"/>
              </w:rPr>
            </w:pPr>
            <w:r w:rsidRPr="00112AA8">
              <w:rPr>
                <w:rFonts w:cstheme="minorHAnsi"/>
              </w:rPr>
              <w:t>383,115,254</w:t>
            </w:r>
          </w:p>
        </w:tc>
      </w:tr>
      <w:tr w:rsidR="00C00A4A" w:rsidRPr="00112AA8" w14:paraId="07FAF541"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20D0DB51" w14:textId="77777777" w:rsidR="00C00A4A" w:rsidRPr="00112AA8" w:rsidRDefault="00C00A4A" w:rsidP="00C00A4A">
            <w:pPr>
              <w:rPr>
                <w:rFonts w:cstheme="minorHAnsi"/>
              </w:rPr>
            </w:pPr>
            <w:r w:rsidRPr="00112AA8">
              <w:rPr>
                <w:rFonts w:cstheme="minorHAnsi"/>
              </w:rPr>
              <w:t>2005</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077A7784" w14:textId="77777777" w:rsidR="00C00A4A" w:rsidRPr="00112AA8" w:rsidRDefault="00C00A4A" w:rsidP="00C00A4A">
            <w:pPr>
              <w:rPr>
                <w:rFonts w:cstheme="minorHAnsi"/>
              </w:rPr>
            </w:pPr>
            <w:r w:rsidRPr="00112AA8">
              <w:rPr>
                <w:rFonts w:cstheme="minorHAnsi"/>
              </w:rPr>
              <w:t>2,542</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0047ADB4" w14:textId="77777777" w:rsidR="00C00A4A" w:rsidRPr="00112AA8" w:rsidRDefault="00C00A4A" w:rsidP="00C00A4A">
            <w:pPr>
              <w:jc w:val="right"/>
              <w:rPr>
                <w:rFonts w:cstheme="minorHAnsi"/>
              </w:rPr>
            </w:pPr>
            <w:r w:rsidRPr="00112AA8">
              <w:rPr>
                <w:rFonts w:cstheme="minorHAnsi"/>
              </w:rPr>
              <w:t>5,768,353</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58DF8AB3" w14:textId="77777777" w:rsidR="00C00A4A" w:rsidRPr="00112AA8" w:rsidRDefault="00C00A4A" w:rsidP="00C00A4A">
            <w:pPr>
              <w:jc w:val="right"/>
              <w:rPr>
                <w:rFonts w:cstheme="minorHAnsi"/>
              </w:rPr>
            </w:pPr>
            <w:r w:rsidRPr="00112AA8">
              <w:rPr>
                <w:rFonts w:cstheme="minorHAnsi"/>
              </w:rPr>
              <w:t>12,728,605</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12D8CEFC" w14:textId="77777777" w:rsidR="00C00A4A" w:rsidRPr="00112AA8" w:rsidRDefault="00C00A4A" w:rsidP="00C00A4A">
            <w:pPr>
              <w:jc w:val="right"/>
              <w:rPr>
                <w:rFonts w:cstheme="minorHAnsi"/>
              </w:rPr>
            </w:pPr>
            <w:r w:rsidRPr="00112AA8">
              <w:rPr>
                <w:rFonts w:cstheme="minorHAnsi"/>
              </w:rPr>
              <w:t>0</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22894A7A" w14:textId="77777777" w:rsidR="00C00A4A" w:rsidRPr="00112AA8" w:rsidRDefault="00C00A4A" w:rsidP="00C00A4A">
            <w:pPr>
              <w:jc w:val="right"/>
              <w:rPr>
                <w:rFonts w:cstheme="minorHAnsi"/>
              </w:rPr>
            </w:pPr>
            <w:r w:rsidRPr="00112AA8">
              <w:rPr>
                <w:rFonts w:cstheme="minorHAnsi"/>
              </w:rPr>
              <w:t>262,513,310</w:t>
            </w:r>
          </w:p>
        </w:tc>
      </w:tr>
      <w:tr w:rsidR="00C00A4A" w:rsidRPr="00112AA8" w14:paraId="44239FF1"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419F644D" w14:textId="77777777" w:rsidR="00C00A4A" w:rsidRPr="00112AA8" w:rsidRDefault="00C00A4A" w:rsidP="00C00A4A">
            <w:pPr>
              <w:rPr>
                <w:rFonts w:cstheme="minorHAnsi"/>
              </w:rPr>
            </w:pPr>
            <w:r w:rsidRPr="00112AA8">
              <w:rPr>
                <w:rFonts w:cstheme="minorHAnsi"/>
              </w:rPr>
              <w:t>2006</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1AD7C5D3" w14:textId="77777777" w:rsidR="00C00A4A" w:rsidRPr="00112AA8" w:rsidRDefault="00C00A4A" w:rsidP="00C00A4A">
            <w:pPr>
              <w:rPr>
                <w:rFonts w:cstheme="minorHAnsi"/>
              </w:rPr>
            </w:pPr>
            <w:r w:rsidRPr="00112AA8">
              <w:rPr>
                <w:rFonts w:cstheme="minorHAnsi"/>
              </w:rPr>
              <w:t>2,419</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62CD000C" w14:textId="77777777" w:rsidR="00C00A4A" w:rsidRPr="00112AA8" w:rsidRDefault="00C00A4A" w:rsidP="00C00A4A">
            <w:pPr>
              <w:jc w:val="right"/>
              <w:rPr>
                <w:rFonts w:cstheme="minorHAnsi"/>
              </w:rPr>
            </w:pPr>
            <w:r w:rsidRPr="00112AA8">
              <w:rPr>
                <w:rFonts w:cstheme="minorHAnsi"/>
              </w:rPr>
              <w:t>6,811,845</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6D87C8BD" w14:textId="77777777" w:rsidR="00C00A4A" w:rsidRPr="00112AA8" w:rsidRDefault="00C00A4A" w:rsidP="00C00A4A">
            <w:pPr>
              <w:jc w:val="right"/>
              <w:rPr>
                <w:rFonts w:cstheme="minorHAnsi"/>
              </w:rPr>
            </w:pPr>
            <w:r w:rsidRPr="00112AA8">
              <w:rPr>
                <w:rFonts w:cstheme="minorHAnsi"/>
              </w:rPr>
              <w:t>15,739,458</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0D2CE895" w14:textId="77777777" w:rsidR="00C00A4A" w:rsidRPr="00112AA8" w:rsidRDefault="00C00A4A" w:rsidP="00C00A4A">
            <w:pPr>
              <w:jc w:val="right"/>
              <w:rPr>
                <w:rFonts w:cstheme="minorHAnsi"/>
              </w:rPr>
            </w:pPr>
            <w:r w:rsidRPr="00112AA8">
              <w:rPr>
                <w:rFonts w:cstheme="minorHAnsi"/>
              </w:rPr>
              <w:t>169</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0EE36197" w14:textId="77777777" w:rsidR="00C00A4A" w:rsidRPr="00112AA8" w:rsidRDefault="00C00A4A" w:rsidP="00C00A4A">
            <w:pPr>
              <w:jc w:val="right"/>
              <w:rPr>
                <w:rFonts w:cstheme="minorHAnsi"/>
              </w:rPr>
            </w:pPr>
            <w:r w:rsidRPr="00112AA8">
              <w:rPr>
                <w:rFonts w:cstheme="minorHAnsi"/>
              </w:rPr>
              <w:t>290,672,092</w:t>
            </w:r>
          </w:p>
        </w:tc>
      </w:tr>
      <w:tr w:rsidR="00C00A4A" w:rsidRPr="00112AA8" w14:paraId="5F250C62"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25BBC256" w14:textId="77777777" w:rsidR="00C00A4A" w:rsidRPr="00112AA8" w:rsidRDefault="00C00A4A" w:rsidP="00C00A4A">
            <w:pPr>
              <w:rPr>
                <w:rFonts w:cstheme="minorHAnsi"/>
              </w:rPr>
            </w:pPr>
            <w:r w:rsidRPr="00112AA8">
              <w:rPr>
                <w:rFonts w:cstheme="minorHAnsi"/>
              </w:rPr>
              <w:t>2007</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2F1B124B" w14:textId="77777777" w:rsidR="00C00A4A" w:rsidRPr="00112AA8" w:rsidRDefault="00C00A4A" w:rsidP="00C00A4A">
            <w:pPr>
              <w:rPr>
                <w:rFonts w:cstheme="minorHAnsi"/>
              </w:rPr>
            </w:pPr>
            <w:r w:rsidRPr="00112AA8">
              <w:rPr>
                <w:rFonts w:cstheme="minorHAnsi"/>
              </w:rPr>
              <w:t>2,414</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3C9991CD" w14:textId="77777777" w:rsidR="00C00A4A" w:rsidRPr="00112AA8" w:rsidRDefault="00C00A4A" w:rsidP="00C00A4A">
            <w:pPr>
              <w:jc w:val="right"/>
              <w:rPr>
                <w:rFonts w:cstheme="minorHAnsi"/>
              </w:rPr>
            </w:pPr>
            <w:r w:rsidRPr="00112AA8">
              <w:rPr>
                <w:rFonts w:cstheme="minorHAnsi"/>
              </w:rPr>
              <w:t>7,108,987</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6A7B350B" w14:textId="77777777" w:rsidR="00C00A4A" w:rsidRPr="00112AA8" w:rsidRDefault="00C00A4A" w:rsidP="00C00A4A">
            <w:pPr>
              <w:jc w:val="right"/>
              <w:rPr>
                <w:rFonts w:cstheme="minorHAnsi"/>
              </w:rPr>
            </w:pPr>
            <w:r w:rsidRPr="00112AA8">
              <w:rPr>
                <w:rFonts w:cstheme="minorHAnsi"/>
              </w:rPr>
              <w:t>14,708,297</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13AEE374" w14:textId="77777777" w:rsidR="00C00A4A" w:rsidRPr="00112AA8" w:rsidRDefault="00C00A4A" w:rsidP="00C00A4A">
            <w:pPr>
              <w:jc w:val="right"/>
              <w:rPr>
                <w:rFonts w:cstheme="minorHAnsi"/>
              </w:rPr>
            </w:pPr>
            <w:r w:rsidRPr="00112AA8">
              <w:rPr>
                <w:rFonts w:cstheme="minorHAnsi"/>
              </w:rPr>
              <w:t>1</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3758A7AB" w14:textId="77777777" w:rsidR="00C00A4A" w:rsidRPr="00112AA8" w:rsidRDefault="00C00A4A" w:rsidP="00C00A4A">
            <w:pPr>
              <w:jc w:val="right"/>
              <w:rPr>
                <w:rFonts w:cstheme="minorHAnsi"/>
              </w:rPr>
            </w:pPr>
            <w:r w:rsidRPr="00112AA8">
              <w:rPr>
                <w:rFonts w:cstheme="minorHAnsi"/>
              </w:rPr>
              <w:t>320,766,779</w:t>
            </w:r>
          </w:p>
        </w:tc>
      </w:tr>
      <w:tr w:rsidR="00C00A4A" w:rsidRPr="00112AA8" w14:paraId="4197DA92"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2B58ED76" w14:textId="77777777" w:rsidR="00C00A4A" w:rsidRPr="00112AA8" w:rsidRDefault="00C00A4A" w:rsidP="00C00A4A">
            <w:pPr>
              <w:rPr>
                <w:rFonts w:cstheme="minorHAnsi"/>
              </w:rPr>
            </w:pPr>
            <w:r w:rsidRPr="00112AA8">
              <w:rPr>
                <w:rFonts w:cstheme="minorHAnsi"/>
              </w:rPr>
              <w:t>2008</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0D9A83E3" w14:textId="77777777" w:rsidR="00C00A4A" w:rsidRPr="00112AA8" w:rsidRDefault="00C00A4A" w:rsidP="00C00A4A">
            <w:pPr>
              <w:rPr>
                <w:rFonts w:cstheme="minorHAnsi"/>
              </w:rPr>
            </w:pPr>
            <w:r w:rsidRPr="00112AA8">
              <w:rPr>
                <w:rFonts w:cstheme="minorHAnsi"/>
              </w:rPr>
              <w:t>2,474</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7BC261E5" w14:textId="77777777" w:rsidR="00C00A4A" w:rsidRPr="00112AA8" w:rsidRDefault="00C00A4A" w:rsidP="00C00A4A">
            <w:pPr>
              <w:jc w:val="right"/>
              <w:rPr>
                <w:rFonts w:cstheme="minorHAnsi"/>
              </w:rPr>
            </w:pPr>
            <w:r w:rsidRPr="00112AA8">
              <w:rPr>
                <w:rFonts w:cstheme="minorHAnsi"/>
              </w:rPr>
              <w:t>8,043,861</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6B328480" w14:textId="77777777" w:rsidR="00C00A4A" w:rsidRPr="00112AA8" w:rsidRDefault="00C00A4A" w:rsidP="00C00A4A">
            <w:pPr>
              <w:jc w:val="right"/>
              <w:rPr>
                <w:rFonts w:cstheme="minorHAnsi"/>
              </w:rPr>
            </w:pPr>
            <w:r w:rsidRPr="00112AA8">
              <w:rPr>
                <w:rFonts w:cstheme="minorHAnsi"/>
              </w:rPr>
              <w:t>17,440,082</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0C121B83" w14:textId="77777777" w:rsidR="00C00A4A" w:rsidRPr="00112AA8" w:rsidRDefault="00C00A4A" w:rsidP="00C00A4A">
            <w:pPr>
              <w:jc w:val="right"/>
              <w:rPr>
                <w:rFonts w:cstheme="minorHAnsi"/>
              </w:rPr>
            </w:pPr>
            <w:r w:rsidRPr="00112AA8">
              <w:rPr>
                <w:rFonts w:cstheme="minorHAnsi"/>
              </w:rPr>
              <w:t>0</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2DB6318E" w14:textId="77777777" w:rsidR="00C00A4A" w:rsidRPr="00112AA8" w:rsidRDefault="00C00A4A" w:rsidP="00C00A4A">
            <w:pPr>
              <w:jc w:val="right"/>
              <w:rPr>
                <w:rFonts w:cstheme="minorHAnsi"/>
              </w:rPr>
            </w:pPr>
            <w:r w:rsidRPr="00112AA8">
              <w:rPr>
                <w:rFonts w:cstheme="minorHAnsi"/>
              </w:rPr>
              <w:t>356,080,833</w:t>
            </w:r>
          </w:p>
        </w:tc>
      </w:tr>
      <w:tr w:rsidR="00C00A4A" w:rsidRPr="00112AA8" w14:paraId="16405EBA"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79A8DF8A" w14:textId="77777777" w:rsidR="00C00A4A" w:rsidRPr="00112AA8" w:rsidRDefault="00C00A4A" w:rsidP="00C00A4A">
            <w:pPr>
              <w:rPr>
                <w:rFonts w:cstheme="minorHAnsi"/>
              </w:rPr>
            </w:pPr>
            <w:r w:rsidRPr="00112AA8">
              <w:rPr>
                <w:rFonts w:cstheme="minorHAnsi"/>
              </w:rPr>
              <w:t>2009</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5E949C6E" w14:textId="77777777" w:rsidR="00C00A4A" w:rsidRPr="00112AA8" w:rsidRDefault="00C00A4A" w:rsidP="00C00A4A">
            <w:pPr>
              <w:rPr>
                <w:rFonts w:cstheme="minorHAnsi"/>
              </w:rPr>
            </w:pPr>
            <w:r w:rsidRPr="00112AA8">
              <w:rPr>
                <w:rFonts w:cstheme="minorHAnsi"/>
              </w:rPr>
              <w:t>2,528</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06420600" w14:textId="77777777" w:rsidR="00C00A4A" w:rsidRPr="00112AA8" w:rsidRDefault="00C00A4A" w:rsidP="00C00A4A">
            <w:pPr>
              <w:jc w:val="right"/>
              <w:rPr>
                <w:rFonts w:cstheme="minorHAnsi"/>
              </w:rPr>
            </w:pPr>
            <w:r w:rsidRPr="00112AA8">
              <w:rPr>
                <w:rFonts w:cstheme="minorHAnsi"/>
              </w:rPr>
              <w:t>7,871,083</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2DECDFE7" w14:textId="77777777" w:rsidR="00C00A4A" w:rsidRPr="00112AA8" w:rsidRDefault="00C00A4A" w:rsidP="00C00A4A">
            <w:pPr>
              <w:jc w:val="right"/>
              <w:rPr>
                <w:rFonts w:cstheme="minorHAnsi"/>
              </w:rPr>
            </w:pPr>
            <w:r w:rsidRPr="00112AA8">
              <w:rPr>
                <w:rFonts w:cstheme="minorHAnsi"/>
              </w:rPr>
              <w:t>14,584,458</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735679B5" w14:textId="77777777" w:rsidR="00C00A4A" w:rsidRPr="00112AA8" w:rsidRDefault="00C00A4A" w:rsidP="00C00A4A">
            <w:pPr>
              <w:jc w:val="right"/>
              <w:rPr>
                <w:rFonts w:cstheme="minorHAnsi"/>
              </w:rPr>
            </w:pPr>
            <w:r w:rsidRPr="00112AA8">
              <w:rPr>
                <w:rFonts w:cstheme="minorHAnsi"/>
              </w:rPr>
              <w:t>0</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5787F7F5" w14:textId="77777777" w:rsidR="00C00A4A" w:rsidRPr="00112AA8" w:rsidRDefault="00C00A4A" w:rsidP="00C00A4A">
            <w:pPr>
              <w:jc w:val="right"/>
              <w:rPr>
                <w:rFonts w:cstheme="minorHAnsi"/>
              </w:rPr>
            </w:pPr>
            <w:r w:rsidRPr="00112AA8">
              <w:rPr>
                <w:rFonts w:cstheme="minorHAnsi"/>
              </w:rPr>
              <w:t>350,066,973</w:t>
            </w:r>
          </w:p>
        </w:tc>
      </w:tr>
      <w:tr w:rsidR="00C00A4A" w:rsidRPr="00112AA8" w14:paraId="6C0C46BF"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3E7ECE8D" w14:textId="77777777" w:rsidR="00C00A4A" w:rsidRPr="00112AA8" w:rsidRDefault="00C00A4A" w:rsidP="00C00A4A">
            <w:pPr>
              <w:rPr>
                <w:rFonts w:cstheme="minorHAnsi"/>
              </w:rPr>
            </w:pPr>
            <w:r w:rsidRPr="00112AA8">
              <w:rPr>
                <w:rFonts w:cstheme="minorHAnsi"/>
              </w:rPr>
              <w:t>2010</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21C6CDEB" w14:textId="77777777" w:rsidR="00C00A4A" w:rsidRPr="00112AA8" w:rsidRDefault="00C00A4A" w:rsidP="00C00A4A">
            <w:pPr>
              <w:rPr>
                <w:rFonts w:cstheme="minorHAnsi"/>
              </w:rPr>
            </w:pPr>
            <w:r w:rsidRPr="00112AA8">
              <w:rPr>
                <w:rFonts w:cstheme="minorHAnsi"/>
              </w:rPr>
              <w:t>2,781</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62D669EA" w14:textId="77777777" w:rsidR="00C00A4A" w:rsidRPr="00112AA8" w:rsidRDefault="00C00A4A" w:rsidP="00C00A4A">
            <w:pPr>
              <w:jc w:val="right"/>
              <w:rPr>
                <w:rFonts w:cstheme="minorHAnsi"/>
              </w:rPr>
            </w:pPr>
            <w:r w:rsidRPr="00112AA8">
              <w:rPr>
                <w:rFonts w:cstheme="minorHAnsi"/>
              </w:rPr>
              <w:t>8,259,195</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56AA2307" w14:textId="77777777" w:rsidR="00C00A4A" w:rsidRPr="00112AA8" w:rsidRDefault="00C00A4A" w:rsidP="00C00A4A">
            <w:pPr>
              <w:jc w:val="right"/>
              <w:rPr>
                <w:rFonts w:cstheme="minorHAnsi"/>
              </w:rPr>
            </w:pPr>
            <w:r w:rsidRPr="00112AA8">
              <w:rPr>
                <w:rFonts w:cstheme="minorHAnsi"/>
              </w:rPr>
              <w:t>20,576,701</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580EA865" w14:textId="77777777" w:rsidR="00C00A4A" w:rsidRPr="00112AA8" w:rsidRDefault="00C00A4A" w:rsidP="00C00A4A">
            <w:pPr>
              <w:jc w:val="right"/>
              <w:rPr>
                <w:rFonts w:cstheme="minorHAnsi"/>
              </w:rPr>
            </w:pPr>
            <w:r w:rsidRPr="00112AA8">
              <w:rPr>
                <w:rFonts w:cstheme="minorHAnsi"/>
              </w:rPr>
              <w:t>0</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455F1743" w14:textId="77777777" w:rsidR="00C00A4A" w:rsidRPr="00112AA8" w:rsidRDefault="00C00A4A" w:rsidP="00C00A4A">
            <w:pPr>
              <w:jc w:val="right"/>
              <w:rPr>
                <w:rFonts w:cstheme="minorHAnsi"/>
              </w:rPr>
            </w:pPr>
            <w:r w:rsidRPr="00112AA8">
              <w:rPr>
                <w:rFonts w:cstheme="minorHAnsi"/>
              </w:rPr>
              <w:t>806,862,611</w:t>
            </w:r>
          </w:p>
        </w:tc>
      </w:tr>
      <w:tr w:rsidR="00C00A4A" w:rsidRPr="00112AA8" w14:paraId="59060A51"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2E02EC53" w14:textId="77777777" w:rsidR="00C00A4A" w:rsidRPr="00112AA8" w:rsidRDefault="00C00A4A" w:rsidP="00C00A4A">
            <w:pPr>
              <w:rPr>
                <w:rFonts w:cstheme="minorHAnsi"/>
              </w:rPr>
            </w:pPr>
            <w:r w:rsidRPr="00112AA8">
              <w:rPr>
                <w:rFonts w:cstheme="minorHAnsi"/>
              </w:rPr>
              <w:t>2011</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4130E506" w14:textId="77777777" w:rsidR="00C00A4A" w:rsidRPr="00112AA8" w:rsidRDefault="00C00A4A" w:rsidP="00C00A4A">
            <w:pPr>
              <w:rPr>
                <w:rFonts w:cstheme="minorHAnsi"/>
              </w:rPr>
            </w:pPr>
            <w:r w:rsidRPr="00112AA8">
              <w:rPr>
                <w:rFonts w:cstheme="minorHAnsi"/>
              </w:rPr>
              <w:t>2,292</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0BCEEBDA" w14:textId="77777777" w:rsidR="00C00A4A" w:rsidRPr="00112AA8" w:rsidRDefault="00C00A4A" w:rsidP="00C00A4A">
            <w:pPr>
              <w:jc w:val="right"/>
              <w:rPr>
                <w:rFonts w:cstheme="minorHAnsi"/>
              </w:rPr>
            </w:pPr>
            <w:r w:rsidRPr="00112AA8">
              <w:rPr>
                <w:rFonts w:cstheme="minorHAnsi"/>
              </w:rPr>
              <w:t>9,834,141</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1C3AC76A" w14:textId="77777777" w:rsidR="00C00A4A" w:rsidRPr="00112AA8" w:rsidRDefault="00C00A4A" w:rsidP="00C00A4A">
            <w:pPr>
              <w:jc w:val="right"/>
              <w:rPr>
                <w:rFonts w:cstheme="minorHAnsi"/>
              </w:rPr>
            </w:pPr>
            <w:r w:rsidRPr="00112AA8">
              <w:rPr>
                <w:rFonts w:cstheme="minorHAnsi"/>
              </w:rPr>
              <w:t>22,313,430</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1600F059" w14:textId="77777777" w:rsidR="00C00A4A" w:rsidRPr="00112AA8" w:rsidRDefault="00C00A4A" w:rsidP="00C00A4A">
            <w:pPr>
              <w:jc w:val="right"/>
              <w:rPr>
                <w:rFonts w:cstheme="minorHAnsi"/>
              </w:rPr>
            </w:pPr>
            <w:r w:rsidRPr="00112AA8">
              <w:rPr>
                <w:rFonts w:cstheme="minorHAnsi"/>
              </w:rPr>
              <w:t>7,866</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3D113AB5" w14:textId="77777777" w:rsidR="00C00A4A" w:rsidRPr="00112AA8" w:rsidRDefault="00C00A4A" w:rsidP="00C00A4A">
            <w:pPr>
              <w:jc w:val="right"/>
              <w:rPr>
                <w:rFonts w:cstheme="minorHAnsi"/>
              </w:rPr>
            </w:pPr>
            <w:r w:rsidRPr="00112AA8">
              <w:rPr>
                <w:rFonts w:cstheme="minorHAnsi"/>
              </w:rPr>
              <w:t>651,015,035</w:t>
            </w:r>
          </w:p>
        </w:tc>
      </w:tr>
      <w:tr w:rsidR="00C00A4A" w:rsidRPr="00112AA8" w14:paraId="3044DD63"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57C6BA17" w14:textId="77777777" w:rsidR="00C00A4A" w:rsidRPr="00112AA8" w:rsidRDefault="00C00A4A" w:rsidP="00C00A4A">
            <w:pPr>
              <w:rPr>
                <w:rFonts w:cstheme="minorHAnsi"/>
              </w:rPr>
            </w:pPr>
            <w:r w:rsidRPr="00112AA8">
              <w:rPr>
                <w:rFonts w:cstheme="minorHAnsi"/>
              </w:rPr>
              <w:t>2012</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7DDDD713" w14:textId="77777777" w:rsidR="00C00A4A" w:rsidRPr="00112AA8" w:rsidRDefault="00C00A4A" w:rsidP="00C00A4A">
            <w:pPr>
              <w:rPr>
                <w:rFonts w:cstheme="minorHAnsi"/>
              </w:rPr>
            </w:pPr>
            <w:r w:rsidRPr="00112AA8">
              <w:rPr>
                <w:rFonts w:cstheme="minorHAnsi"/>
              </w:rPr>
              <w:t>2,565</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4290E21F" w14:textId="77777777" w:rsidR="00C00A4A" w:rsidRPr="00112AA8" w:rsidRDefault="00C00A4A" w:rsidP="00C00A4A">
            <w:pPr>
              <w:jc w:val="right"/>
              <w:rPr>
                <w:rFonts w:cstheme="minorHAnsi"/>
              </w:rPr>
            </w:pPr>
            <w:r w:rsidRPr="00112AA8">
              <w:rPr>
                <w:rFonts w:cstheme="minorHAnsi"/>
              </w:rPr>
              <w:t>10,011,277</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4B3FA098" w14:textId="77777777" w:rsidR="00C00A4A" w:rsidRPr="00112AA8" w:rsidRDefault="00C00A4A" w:rsidP="00C00A4A">
            <w:pPr>
              <w:jc w:val="right"/>
              <w:rPr>
                <w:rFonts w:cstheme="minorHAnsi"/>
              </w:rPr>
            </w:pPr>
            <w:r w:rsidRPr="00112AA8">
              <w:rPr>
                <w:rFonts w:cstheme="minorHAnsi"/>
              </w:rPr>
              <w:t>23,829,541</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6300BF2F" w14:textId="77777777" w:rsidR="00C00A4A" w:rsidRPr="00112AA8" w:rsidRDefault="00C00A4A" w:rsidP="00C00A4A">
            <w:pPr>
              <w:jc w:val="right"/>
              <w:rPr>
                <w:rFonts w:cstheme="minorHAnsi"/>
              </w:rPr>
            </w:pPr>
            <w:r w:rsidRPr="00112AA8">
              <w:rPr>
                <w:rFonts w:cstheme="minorHAnsi"/>
              </w:rPr>
              <w:t>24,517</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2EB3515B" w14:textId="77777777" w:rsidR="00C00A4A" w:rsidRPr="00112AA8" w:rsidRDefault="00C00A4A" w:rsidP="00C00A4A">
            <w:pPr>
              <w:jc w:val="right"/>
              <w:rPr>
                <w:rFonts w:cstheme="minorHAnsi"/>
              </w:rPr>
            </w:pPr>
            <w:r w:rsidRPr="00112AA8">
              <w:rPr>
                <w:rFonts w:cstheme="minorHAnsi"/>
              </w:rPr>
              <w:t>586,404,093</w:t>
            </w:r>
          </w:p>
        </w:tc>
      </w:tr>
      <w:tr w:rsidR="00C00A4A" w:rsidRPr="00112AA8" w14:paraId="658B891D"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5CEDE3D3" w14:textId="77777777" w:rsidR="00C00A4A" w:rsidRPr="00112AA8" w:rsidRDefault="00C00A4A" w:rsidP="00C00A4A">
            <w:pPr>
              <w:rPr>
                <w:rFonts w:cstheme="minorHAnsi"/>
              </w:rPr>
            </w:pPr>
            <w:r w:rsidRPr="00112AA8">
              <w:rPr>
                <w:rFonts w:cstheme="minorHAnsi"/>
              </w:rPr>
              <w:t>2013</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2D49ECB8" w14:textId="77777777" w:rsidR="00C00A4A" w:rsidRPr="00112AA8" w:rsidRDefault="00C00A4A" w:rsidP="00C00A4A">
            <w:pPr>
              <w:rPr>
                <w:rFonts w:cstheme="minorHAnsi"/>
              </w:rPr>
            </w:pPr>
            <w:r w:rsidRPr="00112AA8">
              <w:rPr>
                <w:rFonts w:cstheme="minorHAnsi"/>
              </w:rPr>
              <w:t>2,661</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080B2B3C" w14:textId="77777777" w:rsidR="00C00A4A" w:rsidRPr="00112AA8" w:rsidRDefault="00C00A4A" w:rsidP="00C00A4A">
            <w:pPr>
              <w:jc w:val="right"/>
              <w:rPr>
                <w:rFonts w:cstheme="minorHAnsi"/>
              </w:rPr>
            </w:pPr>
            <w:r w:rsidRPr="00112AA8">
              <w:rPr>
                <w:rFonts w:cstheme="minorHAnsi"/>
              </w:rPr>
              <w:t>10,017,196</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2F864EDA" w14:textId="77777777" w:rsidR="00C00A4A" w:rsidRPr="00112AA8" w:rsidRDefault="00C00A4A" w:rsidP="00C00A4A">
            <w:pPr>
              <w:jc w:val="right"/>
              <w:rPr>
                <w:rFonts w:cstheme="minorHAnsi"/>
              </w:rPr>
            </w:pPr>
            <w:r w:rsidRPr="00112AA8">
              <w:rPr>
                <w:rFonts w:cstheme="minorHAnsi"/>
              </w:rPr>
              <w:t>21,164,845</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4E8BC18F" w14:textId="77777777" w:rsidR="00C00A4A" w:rsidRPr="00112AA8" w:rsidRDefault="00C00A4A" w:rsidP="00C00A4A">
            <w:pPr>
              <w:jc w:val="right"/>
              <w:rPr>
                <w:rFonts w:cstheme="minorHAnsi"/>
              </w:rPr>
            </w:pPr>
            <w:r w:rsidRPr="00112AA8">
              <w:rPr>
                <w:rFonts w:cstheme="minorHAnsi"/>
              </w:rPr>
              <w:t>18,992</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628D65E9" w14:textId="77777777" w:rsidR="00C00A4A" w:rsidRPr="00112AA8" w:rsidRDefault="00C00A4A" w:rsidP="00C00A4A">
            <w:pPr>
              <w:jc w:val="right"/>
              <w:rPr>
                <w:rFonts w:cstheme="minorHAnsi"/>
              </w:rPr>
            </w:pPr>
            <w:r w:rsidRPr="00112AA8">
              <w:rPr>
                <w:rFonts w:cstheme="minorHAnsi"/>
              </w:rPr>
              <w:t>504,095,890</w:t>
            </w:r>
          </w:p>
        </w:tc>
      </w:tr>
      <w:tr w:rsidR="00C00A4A" w:rsidRPr="00112AA8" w14:paraId="2A4B6E94"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351805D6" w14:textId="77777777" w:rsidR="00C00A4A" w:rsidRPr="00112AA8" w:rsidRDefault="00C00A4A" w:rsidP="00C00A4A">
            <w:pPr>
              <w:rPr>
                <w:rFonts w:cstheme="minorHAnsi"/>
              </w:rPr>
            </w:pPr>
            <w:r w:rsidRPr="00112AA8">
              <w:rPr>
                <w:rFonts w:cstheme="minorHAnsi"/>
              </w:rPr>
              <w:t>2014</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75A4B696" w14:textId="77777777" w:rsidR="00C00A4A" w:rsidRPr="00112AA8" w:rsidRDefault="00C00A4A" w:rsidP="00C00A4A">
            <w:pPr>
              <w:rPr>
                <w:rFonts w:cstheme="minorHAnsi"/>
              </w:rPr>
            </w:pPr>
            <w:r w:rsidRPr="00112AA8">
              <w:rPr>
                <w:rFonts w:cstheme="minorHAnsi"/>
              </w:rPr>
              <w:t>2,623</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4AFD7C26" w14:textId="77777777" w:rsidR="00C00A4A" w:rsidRPr="00112AA8" w:rsidRDefault="00C00A4A" w:rsidP="00C00A4A">
            <w:pPr>
              <w:jc w:val="right"/>
              <w:rPr>
                <w:rFonts w:cstheme="minorHAnsi"/>
              </w:rPr>
            </w:pPr>
            <w:r w:rsidRPr="00112AA8">
              <w:rPr>
                <w:rFonts w:cstheme="minorHAnsi"/>
              </w:rPr>
              <w:t>9,211,892</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799087C1" w14:textId="77777777" w:rsidR="00C00A4A" w:rsidRPr="00112AA8" w:rsidRDefault="00C00A4A" w:rsidP="00C00A4A">
            <w:pPr>
              <w:jc w:val="right"/>
              <w:rPr>
                <w:rFonts w:cstheme="minorHAnsi"/>
              </w:rPr>
            </w:pPr>
            <w:r w:rsidRPr="00112AA8">
              <w:rPr>
                <w:rFonts w:cstheme="minorHAnsi"/>
              </w:rPr>
              <w:t>23,638,733</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38B50208" w14:textId="77777777" w:rsidR="00C00A4A" w:rsidRPr="00112AA8" w:rsidRDefault="00C00A4A" w:rsidP="00C00A4A">
            <w:pPr>
              <w:jc w:val="right"/>
              <w:rPr>
                <w:rFonts w:cstheme="minorHAnsi"/>
              </w:rPr>
            </w:pPr>
            <w:r w:rsidRPr="00112AA8">
              <w:rPr>
                <w:rFonts w:cstheme="minorHAnsi"/>
              </w:rPr>
              <w:t>17,294</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131BBDC2" w14:textId="77777777" w:rsidR="00C00A4A" w:rsidRPr="00112AA8" w:rsidRDefault="00C00A4A" w:rsidP="00C00A4A">
            <w:pPr>
              <w:jc w:val="right"/>
              <w:rPr>
                <w:rFonts w:cstheme="minorHAnsi"/>
              </w:rPr>
            </w:pPr>
            <w:r w:rsidRPr="00112AA8">
              <w:rPr>
                <w:rFonts w:cstheme="minorHAnsi"/>
              </w:rPr>
              <w:t>698,389,486</w:t>
            </w:r>
          </w:p>
        </w:tc>
      </w:tr>
      <w:tr w:rsidR="00C00A4A" w:rsidRPr="00112AA8" w14:paraId="0C9C0697"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2ADDF8F6" w14:textId="77777777" w:rsidR="00C00A4A" w:rsidRPr="00112AA8" w:rsidRDefault="00C00A4A" w:rsidP="00C00A4A">
            <w:pPr>
              <w:rPr>
                <w:rFonts w:cstheme="minorHAnsi"/>
              </w:rPr>
            </w:pPr>
            <w:r w:rsidRPr="00112AA8">
              <w:rPr>
                <w:rFonts w:cstheme="minorHAnsi"/>
              </w:rPr>
              <w:t>2015</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20A4BD00" w14:textId="77777777" w:rsidR="00C00A4A" w:rsidRPr="00112AA8" w:rsidRDefault="00C00A4A" w:rsidP="00C00A4A">
            <w:pPr>
              <w:rPr>
                <w:rFonts w:cstheme="minorHAnsi"/>
              </w:rPr>
            </w:pPr>
            <w:r w:rsidRPr="00112AA8">
              <w:rPr>
                <w:rFonts w:cstheme="minorHAnsi"/>
              </w:rPr>
              <w:t>2,652</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6AF3755A" w14:textId="77777777" w:rsidR="00C00A4A" w:rsidRPr="00112AA8" w:rsidRDefault="00C00A4A" w:rsidP="00C00A4A">
            <w:pPr>
              <w:jc w:val="right"/>
              <w:rPr>
                <w:rFonts w:cstheme="minorHAnsi"/>
              </w:rPr>
            </w:pPr>
            <w:r w:rsidRPr="00112AA8">
              <w:rPr>
                <w:rFonts w:cstheme="minorHAnsi"/>
              </w:rPr>
              <w:t>8,158,868</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18E9DB0F" w14:textId="77777777" w:rsidR="00C00A4A" w:rsidRPr="00112AA8" w:rsidRDefault="00C00A4A" w:rsidP="00C00A4A">
            <w:pPr>
              <w:jc w:val="right"/>
              <w:rPr>
                <w:rFonts w:cstheme="minorHAnsi"/>
              </w:rPr>
            </w:pPr>
            <w:r w:rsidRPr="00112AA8">
              <w:rPr>
                <w:rFonts w:cstheme="minorHAnsi"/>
              </w:rPr>
              <w:t>22,752,802</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5E858E83" w14:textId="77777777" w:rsidR="00C00A4A" w:rsidRPr="00112AA8" w:rsidRDefault="00C00A4A" w:rsidP="00C00A4A">
            <w:pPr>
              <w:jc w:val="right"/>
              <w:rPr>
                <w:rFonts w:cstheme="minorHAnsi"/>
              </w:rPr>
            </w:pPr>
            <w:r w:rsidRPr="00112AA8">
              <w:rPr>
                <w:rFonts w:cstheme="minorHAnsi"/>
              </w:rPr>
              <w:t>19,066</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44B91D0B" w14:textId="77777777" w:rsidR="00C00A4A" w:rsidRPr="00112AA8" w:rsidRDefault="00C00A4A" w:rsidP="00C00A4A">
            <w:pPr>
              <w:jc w:val="right"/>
              <w:rPr>
                <w:rFonts w:cstheme="minorHAnsi"/>
              </w:rPr>
            </w:pPr>
            <w:r w:rsidRPr="00112AA8">
              <w:rPr>
                <w:rFonts w:cstheme="minorHAnsi"/>
              </w:rPr>
              <w:t>660,578,943</w:t>
            </w:r>
          </w:p>
        </w:tc>
      </w:tr>
      <w:tr w:rsidR="00C00A4A" w:rsidRPr="00112AA8" w14:paraId="6EA0C445"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58B58F4B" w14:textId="77777777" w:rsidR="00C00A4A" w:rsidRPr="00112AA8" w:rsidRDefault="00C00A4A" w:rsidP="00C00A4A">
            <w:pPr>
              <w:rPr>
                <w:rFonts w:cstheme="minorHAnsi"/>
              </w:rPr>
            </w:pPr>
            <w:r w:rsidRPr="00112AA8">
              <w:rPr>
                <w:rFonts w:cstheme="minorHAnsi"/>
              </w:rPr>
              <w:t>2016</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4847122D" w14:textId="77777777" w:rsidR="00C00A4A" w:rsidRPr="00112AA8" w:rsidRDefault="00C00A4A" w:rsidP="00C00A4A">
            <w:pPr>
              <w:rPr>
                <w:rFonts w:cstheme="minorHAnsi"/>
              </w:rPr>
            </w:pPr>
            <w:r w:rsidRPr="00112AA8">
              <w:rPr>
                <w:rFonts w:cstheme="minorHAnsi"/>
              </w:rPr>
              <w:t>2,721</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699131B2" w14:textId="77777777" w:rsidR="00C00A4A" w:rsidRPr="00112AA8" w:rsidRDefault="00C00A4A" w:rsidP="00C00A4A">
            <w:pPr>
              <w:jc w:val="right"/>
              <w:rPr>
                <w:rFonts w:cstheme="minorHAnsi"/>
              </w:rPr>
            </w:pPr>
            <w:r w:rsidRPr="00112AA8">
              <w:rPr>
                <w:rFonts w:cstheme="minorHAnsi"/>
              </w:rPr>
              <w:t>8,687,950</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022C6258" w14:textId="77777777" w:rsidR="00C00A4A" w:rsidRPr="00112AA8" w:rsidRDefault="00C00A4A" w:rsidP="00C00A4A">
            <w:pPr>
              <w:jc w:val="right"/>
              <w:rPr>
                <w:rFonts w:cstheme="minorHAnsi"/>
              </w:rPr>
            </w:pPr>
            <w:r w:rsidRPr="00112AA8">
              <w:rPr>
                <w:rFonts w:cstheme="minorHAnsi"/>
              </w:rPr>
              <w:t>23,251,986</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7BC573ED" w14:textId="77777777" w:rsidR="00C00A4A" w:rsidRPr="00112AA8" w:rsidRDefault="00C00A4A" w:rsidP="00C00A4A">
            <w:pPr>
              <w:jc w:val="right"/>
              <w:rPr>
                <w:rFonts w:cstheme="minorHAnsi"/>
              </w:rPr>
            </w:pPr>
            <w:r w:rsidRPr="00112AA8">
              <w:rPr>
                <w:rFonts w:cstheme="minorHAnsi"/>
              </w:rPr>
              <w:t>26,549</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60FD4083" w14:textId="77777777" w:rsidR="00C00A4A" w:rsidRPr="00112AA8" w:rsidRDefault="00C00A4A" w:rsidP="00C00A4A">
            <w:pPr>
              <w:jc w:val="right"/>
              <w:rPr>
                <w:rFonts w:cstheme="minorHAnsi"/>
              </w:rPr>
            </w:pPr>
            <w:r w:rsidRPr="00112AA8">
              <w:rPr>
                <w:rFonts w:cstheme="minorHAnsi"/>
              </w:rPr>
              <w:t>634,588,297</w:t>
            </w:r>
          </w:p>
        </w:tc>
      </w:tr>
      <w:tr w:rsidR="00C00A4A" w:rsidRPr="00112AA8" w14:paraId="7530345A"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28966D60" w14:textId="77777777" w:rsidR="00C00A4A" w:rsidRPr="00112AA8" w:rsidRDefault="00C00A4A" w:rsidP="00C00A4A">
            <w:pPr>
              <w:rPr>
                <w:rFonts w:cstheme="minorHAnsi"/>
              </w:rPr>
            </w:pPr>
            <w:r w:rsidRPr="00112AA8">
              <w:rPr>
                <w:rFonts w:cstheme="minorHAnsi"/>
              </w:rPr>
              <w:t>2017</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2DEEBB57" w14:textId="77777777" w:rsidR="00C00A4A" w:rsidRPr="00112AA8" w:rsidRDefault="00C00A4A" w:rsidP="00C00A4A">
            <w:pPr>
              <w:rPr>
                <w:rFonts w:cstheme="minorHAnsi"/>
              </w:rPr>
            </w:pPr>
            <w:r w:rsidRPr="00112AA8">
              <w:rPr>
                <w:rFonts w:cstheme="minorHAnsi"/>
              </w:rPr>
              <w:t>2,485</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3A95CCAD" w14:textId="77777777" w:rsidR="00C00A4A" w:rsidRPr="00112AA8" w:rsidRDefault="00C00A4A" w:rsidP="00C00A4A">
            <w:pPr>
              <w:jc w:val="right"/>
              <w:rPr>
                <w:rFonts w:cstheme="minorHAnsi"/>
              </w:rPr>
            </w:pPr>
            <w:r w:rsidRPr="00112AA8">
              <w:rPr>
                <w:rFonts w:cstheme="minorHAnsi"/>
              </w:rPr>
              <w:t>9,181,995</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1FD9DB0C" w14:textId="77777777" w:rsidR="00C00A4A" w:rsidRPr="00112AA8" w:rsidRDefault="00C00A4A" w:rsidP="00C00A4A">
            <w:pPr>
              <w:jc w:val="right"/>
              <w:rPr>
                <w:rFonts w:cstheme="minorHAnsi"/>
              </w:rPr>
            </w:pPr>
            <w:r w:rsidRPr="00112AA8">
              <w:rPr>
                <w:rFonts w:cstheme="minorHAnsi"/>
              </w:rPr>
              <w:t>24,361,367</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03B518CE" w14:textId="77777777" w:rsidR="00C00A4A" w:rsidRPr="00112AA8" w:rsidRDefault="00C00A4A" w:rsidP="00C00A4A">
            <w:pPr>
              <w:jc w:val="right"/>
              <w:rPr>
                <w:rFonts w:cstheme="minorHAnsi"/>
              </w:rPr>
            </w:pPr>
            <w:r w:rsidRPr="00112AA8">
              <w:rPr>
                <w:rFonts w:cstheme="minorHAnsi"/>
              </w:rPr>
              <w:t>5,667</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55854836" w14:textId="77777777" w:rsidR="00C00A4A" w:rsidRPr="00112AA8" w:rsidRDefault="00C00A4A" w:rsidP="00C00A4A">
            <w:pPr>
              <w:jc w:val="right"/>
              <w:rPr>
                <w:rFonts w:cstheme="minorHAnsi"/>
              </w:rPr>
            </w:pPr>
            <w:r w:rsidRPr="00112AA8">
              <w:rPr>
                <w:rFonts w:cstheme="minorHAnsi"/>
              </w:rPr>
              <w:t>666,583,690</w:t>
            </w:r>
          </w:p>
        </w:tc>
      </w:tr>
      <w:tr w:rsidR="00C00A4A" w:rsidRPr="00112AA8" w14:paraId="519F214E"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555560BF" w14:textId="77777777" w:rsidR="00C00A4A" w:rsidRPr="00112AA8" w:rsidRDefault="00C00A4A" w:rsidP="00C00A4A">
            <w:pPr>
              <w:rPr>
                <w:rFonts w:cstheme="minorHAnsi"/>
              </w:rPr>
            </w:pPr>
            <w:r w:rsidRPr="00112AA8">
              <w:rPr>
                <w:rFonts w:cstheme="minorHAnsi"/>
              </w:rPr>
              <w:t>2018</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476D698F" w14:textId="77777777" w:rsidR="00C00A4A" w:rsidRPr="00112AA8" w:rsidRDefault="00C00A4A" w:rsidP="00C00A4A">
            <w:pPr>
              <w:rPr>
                <w:rFonts w:cstheme="minorHAnsi"/>
              </w:rPr>
            </w:pPr>
            <w:r w:rsidRPr="00112AA8">
              <w:rPr>
                <w:rFonts w:cstheme="minorHAnsi"/>
              </w:rPr>
              <w:t>1,969</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4B777B8C" w14:textId="77777777" w:rsidR="00C00A4A" w:rsidRPr="00112AA8" w:rsidRDefault="00C00A4A" w:rsidP="00C00A4A">
            <w:pPr>
              <w:jc w:val="right"/>
              <w:rPr>
                <w:rFonts w:cstheme="minorHAnsi"/>
              </w:rPr>
            </w:pPr>
            <w:r w:rsidRPr="00112AA8">
              <w:rPr>
                <w:rFonts w:cstheme="minorHAnsi"/>
              </w:rPr>
              <w:t>8,656,675</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41CB9994" w14:textId="77777777" w:rsidR="00C00A4A" w:rsidRPr="00112AA8" w:rsidRDefault="00C00A4A" w:rsidP="00C00A4A">
            <w:pPr>
              <w:jc w:val="right"/>
              <w:rPr>
                <w:rFonts w:cstheme="minorHAnsi"/>
              </w:rPr>
            </w:pPr>
            <w:r w:rsidRPr="00112AA8">
              <w:rPr>
                <w:rFonts w:cstheme="minorHAnsi"/>
              </w:rPr>
              <w:t>21,216,947</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3ACF95F0" w14:textId="77777777" w:rsidR="00C00A4A" w:rsidRPr="00112AA8" w:rsidRDefault="00C00A4A" w:rsidP="00C00A4A">
            <w:pPr>
              <w:jc w:val="right"/>
              <w:rPr>
                <w:rFonts w:cstheme="minorHAnsi"/>
              </w:rPr>
            </w:pPr>
            <w:r w:rsidRPr="00112AA8">
              <w:rPr>
                <w:rFonts w:cstheme="minorHAnsi"/>
              </w:rPr>
              <w:t>3,846</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48B7E37D" w14:textId="77777777" w:rsidR="00C00A4A" w:rsidRPr="00112AA8" w:rsidRDefault="00C00A4A" w:rsidP="00C00A4A">
            <w:pPr>
              <w:jc w:val="right"/>
              <w:rPr>
                <w:rFonts w:cstheme="minorHAnsi"/>
              </w:rPr>
            </w:pPr>
            <w:r w:rsidRPr="00112AA8">
              <w:rPr>
                <w:rFonts w:cstheme="minorHAnsi"/>
              </w:rPr>
              <w:t>520,583,623</w:t>
            </w:r>
          </w:p>
        </w:tc>
      </w:tr>
      <w:tr w:rsidR="00C00A4A" w:rsidRPr="00112AA8" w14:paraId="64F8BE0C" w14:textId="77777777" w:rsidTr="0031549F">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14:paraId="60CD8094" w14:textId="77777777" w:rsidR="00C00A4A" w:rsidRPr="00112AA8" w:rsidRDefault="00C00A4A" w:rsidP="00C00A4A">
            <w:pPr>
              <w:rPr>
                <w:rFonts w:cstheme="minorHAnsi"/>
              </w:rPr>
            </w:pPr>
            <w:r w:rsidRPr="00112AA8">
              <w:rPr>
                <w:rFonts w:cstheme="minorHAnsi"/>
              </w:rPr>
              <w:t>2019</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46CAA666" w14:textId="77777777" w:rsidR="00C00A4A" w:rsidRPr="00112AA8" w:rsidRDefault="00C00A4A" w:rsidP="00C00A4A">
            <w:pPr>
              <w:rPr>
                <w:rFonts w:cstheme="minorHAnsi"/>
              </w:rPr>
            </w:pPr>
            <w:r w:rsidRPr="00112AA8">
              <w:rPr>
                <w:rFonts w:cstheme="minorHAnsi"/>
              </w:rPr>
              <w:t>1,665</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675E81D3" w14:textId="77777777" w:rsidR="00C00A4A" w:rsidRPr="00112AA8" w:rsidRDefault="00C00A4A" w:rsidP="00C00A4A">
            <w:pPr>
              <w:jc w:val="right"/>
              <w:rPr>
                <w:rFonts w:cstheme="minorHAnsi"/>
              </w:rPr>
            </w:pPr>
            <w:r w:rsidRPr="00112AA8">
              <w:rPr>
                <w:rFonts w:cstheme="minorHAnsi"/>
              </w:rPr>
              <w:t>9,921,281</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2FA775A3" w14:textId="77777777" w:rsidR="00C00A4A" w:rsidRPr="00112AA8" w:rsidRDefault="00C00A4A" w:rsidP="00C00A4A">
            <w:pPr>
              <w:jc w:val="right"/>
              <w:rPr>
                <w:rFonts w:cstheme="minorHAnsi"/>
              </w:rPr>
            </w:pPr>
            <w:r w:rsidRPr="00112AA8">
              <w:rPr>
                <w:rFonts w:cstheme="minorHAnsi"/>
              </w:rPr>
              <w:t>23,329,359</w:t>
            </w:r>
          </w:p>
        </w:tc>
        <w:tc>
          <w:tcPr>
            <w:tcW w:w="1350" w:type="dxa"/>
            <w:tcBorders>
              <w:top w:val="nil"/>
              <w:left w:val="nil"/>
              <w:bottom w:val="nil"/>
              <w:right w:val="nil"/>
            </w:tcBorders>
            <w:shd w:val="clear" w:color="auto" w:fill="FFFFFF"/>
            <w:tcMar>
              <w:top w:w="0" w:type="dxa"/>
              <w:left w:w="0" w:type="dxa"/>
              <w:bottom w:w="0" w:type="dxa"/>
              <w:right w:w="0" w:type="dxa"/>
            </w:tcMar>
            <w:vAlign w:val="center"/>
            <w:hideMark/>
          </w:tcPr>
          <w:p w14:paraId="4658BCF7" w14:textId="77777777" w:rsidR="00C00A4A" w:rsidRPr="00112AA8" w:rsidRDefault="00C00A4A" w:rsidP="00C00A4A">
            <w:pPr>
              <w:jc w:val="right"/>
              <w:rPr>
                <w:rFonts w:cstheme="minorHAnsi"/>
              </w:rPr>
            </w:pPr>
            <w:r w:rsidRPr="00112AA8">
              <w:rPr>
                <w:rFonts w:cstheme="minorHAnsi"/>
              </w:rPr>
              <w:t>9,484</w:t>
            </w:r>
          </w:p>
        </w:tc>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555625E6" w14:textId="77777777" w:rsidR="00C00A4A" w:rsidRPr="00112AA8" w:rsidRDefault="00C00A4A" w:rsidP="00C00A4A">
            <w:pPr>
              <w:jc w:val="right"/>
              <w:rPr>
                <w:rFonts w:cstheme="minorHAnsi"/>
              </w:rPr>
            </w:pPr>
            <w:r w:rsidRPr="00112AA8">
              <w:rPr>
                <w:rFonts w:cstheme="minorHAnsi"/>
              </w:rPr>
              <w:t>480,815,058</w:t>
            </w:r>
          </w:p>
        </w:tc>
      </w:tr>
      <w:tr w:rsidR="00C00A4A" w:rsidRPr="00112AA8" w14:paraId="4B10C184" w14:textId="77777777" w:rsidTr="00C00A4A">
        <w:tc>
          <w:tcPr>
            <w:tcW w:w="8370" w:type="dxa"/>
            <w:gridSpan w:val="6"/>
            <w:tcBorders>
              <w:top w:val="nil"/>
              <w:left w:val="nil"/>
              <w:bottom w:val="nil"/>
              <w:right w:val="nil"/>
            </w:tcBorders>
            <w:shd w:val="clear" w:color="auto" w:fill="F2F2F2" w:themeFill="background1" w:themeFillShade="F2"/>
            <w:tcMar>
              <w:top w:w="0" w:type="dxa"/>
              <w:left w:w="0" w:type="dxa"/>
              <w:bottom w:w="0" w:type="dxa"/>
              <w:right w:w="0" w:type="dxa"/>
            </w:tcMar>
            <w:vAlign w:val="center"/>
          </w:tcPr>
          <w:p w14:paraId="359FB5DD" w14:textId="77777777" w:rsidR="00C00A4A" w:rsidRPr="00112AA8" w:rsidRDefault="00C00A4A" w:rsidP="00C00A4A">
            <w:pPr>
              <w:spacing w:after="0"/>
              <w:rPr>
                <w:rFonts w:cstheme="minorHAnsi"/>
                <w:b/>
              </w:rPr>
            </w:pPr>
            <w:r w:rsidRPr="00112AA8">
              <w:rPr>
                <w:rFonts w:cstheme="minorHAnsi"/>
                <w:b/>
              </w:rPr>
              <w:t>Total Revenue (in Millions)</w:t>
            </w:r>
          </w:p>
        </w:tc>
      </w:tr>
      <w:tr w:rsidR="00C00A4A" w:rsidRPr="00112AA8" w14:paraId="324BE46B" w14:textId="77777777" w:rsidTr="0031549F">
        <w:tblPrEx>
          <w:tblLook w:val="04A0" w:firstRow="1" w:lastRow="0" w:firstColumn="1" w:lastColumn="0" w:noHBand="0" w:noVBand="1"/>
        </w:tblPrEx>
        <w:tc>
          <w:tcPr>
            <w:tcW w:w="1530" w:type="dxa"/>
            <w:hideMark/>
          </w:tcPr>
          <w:p w14:paraId="5CDCC3D0" w14:textId="77777777" w:rsidR="00C00A4A" w:rsidRPr="00112AA8" w:rsidRDefault="00C00A4A" w:rsidP="00C00A4A">
            <w:pPr>
              <w:rPr>
                <w:rFonts w:cstheme="minorHAnsi"/>
              </w:rPr>
            </w:pPr>
            <w:r w:rsidRPr="00112AA8">
              <w:rPr>
                <w:rFonts w:cstheme="minorHAnsi"/>
              </w:rPr>
              <w:t>2003</w:t>
            </w:r>
          </w:p>
        </w:tc>
        <w:tc>
          <w:tcPr>
            <w:tcW w:w="1080" w:type="dxa"/>
            <w:hideMark/>
          </w:tcPr>
          <w:p w14:paraId="1C50DAC1" w14:textId="77777777" w:rsidR="00C00A4A" w:rsidRPr="00112AA8" w:rsidRDefault="00C00A4A" w:rsidP="00C00A4A">
            <w:pPr>
              <w:rPr>
                <w:rFonts w:cstheme="minorHAnsi"/>
              </w:rPr>
            </w:pPr>
            <w:r w:rsidRPr="00112AA8">
              <w:rPr>
                <w:rFonts w:cstheme="minorHAnsi"/>
              </w:rPr>
              <w:t>5,721</w:t>
            </w:r>
          </w:p>
        </w:tc>
        <w:tc>
          <w:tcPr>
            <w:tcW w:w="1350" w:type="dxa"/>
            <w:hideMark/>
          </w:tcPr>
          <w:p w14:paraId="64E4EFEF" w14:textId="77777777" w:rsidR="00C00A4A" w:rsidRPr="00112AA8" w:rsidRDefault="00C00A4A" w:rsidP="00C00A4A">
            <w:pPr>
              <w:jc w:val="right"/>
              <w:rPr>
                <w:rFonts w:cstheme="minorHAnsi"/>
              </w:rPr>
            </w:pPr>
            <w:r w:rsidRPr="00112AA8">
              <w:rPr>
                <w:rFonts w:cstheme="minorHAnsi"/>
              </w:rPr>
              <w:t>198</w:t>
            </w:r>
          </w:p>
        </w:tc>
        <w:tc>
          <w:tcPr>
            <w:tcW w:w="1350" w:type="dxa"/>
            <w:hideMark/>
          </w:tcPr>
          <w:p w14:paraId="3DD58B27" w14:textId="77777777" w:rsidR="00C00A4A" w:rsidRPr="00112AA8" w:rsidRDefault="00C00A4A" w:rsidP="00C00A4A">
            <w:pPr>
              <w:jc w:val="right"/>
              <w:rPr>
                <w:rFonts w:cstheme="minorHAnsi"/>
              </w:rPr>
            </w:pPr>
            <w:r w:rsidRPr="00112AA8">
              <w:rPr>
                <w:rFonts w:cstheme="minorHAnsi"/>
              </w:rPr>
              <w:t>339.85</w:t>
            </w:r>
          </w:p>
        </w:tc>
        <w:tc>
          <w:tcPr>
            <w:tcW w:w="1350" w:type="dxa"/>
            <w:hideMark/>
          </w:tcPr>
          <w:p w14:paraId="44481D27" w14:textId="77777777" w:rsidR="00C00A4A" w:rsidRPr="00112AA8" w:rsidRDefault="00C00A4A" w:rsidP="00C00A4A">
            <w:pPr>
              <w:jc w:val="right"/>
              <w:rPr>
                <w:rFonts w:cstheme="minorHAnsi"/>
              </w:rPr>
            </w:pPr>
            <w:r w:rsidRPr="00112AA8">
              <w:rPr>
                <w:rFonts w:cstheme="minorHAnsi"/>
              </w:rPr>
              <w:t>-2</w:t>
            </w:r>
          </w:p>
        </w:tc>
        <w:tc>
          <w:tcPr>
            <w:tcW w:w="1710" w:type="dxa"/>
            <w:hideMark/>
          </w:tcPr>
          <w:p w14:paraId="1D932DAC" w14:textId="77777777" w:rsidR="00C00A4A" w:rsidRPr="00112AA8" w:rsidRDefault="00C00A4A" w:rsidP="00C00A4A">
            <w:pPr>
              <w:jc w:val="right"/>
              <w:rPr>
                <w:rFonts w:cstheme="minorHAnsi"/>
              </w:rPr>
            </w:pPr>
            <w:r w:rsidRPr="00112AA8">
              <w:rPr>
                <w:rFonts w:cstheme="minorHAnsi"/>
              </w:rPr>
              <w:t>4,723</w:t>
            </w:r>
          </w:p>
        </w:tc>
      </w:tr>
      <w:tr w:rsidR="00C00A4A" w:rsidRPr="00112AA8" w14:paraId="1286C8AC" w14:textId="77777777" w:rsidTr="0031549F">
        <w:tblPrEx>
          <w:tblLook w:val="04A0" w:firstRow="1" w:lastRow="0" w:firstColumn="1" w:lastColumn="0" w:noHBand="0" w:noVBand="1"/>
        </w:tblPrEx>
        <w:tc>
          <w:tcPr>
            <w:tcW w:w="1530" w:type="dxa"/>
            <w:hideMark/>
          </w:tcPr>
          <w:p w14:paraId="2486BAE8" w14:textId="77777777" w:rsidR="00C00A4A" w:rsidRPr="00112AA8" w:rsidRDefault="00C00A4A" w:rsidP="00C00A4A">
            <w:pPr>
              <w:rPr>
                <w:rFonts w:cstheme="minorHAnsi"/>
              </w:rPr>
            </w:pPr>
            <w:r w:rsidRPr="00112AA8">
              <w:rPr>
                <w:rFonts w:cstheme="minorHAnsi"/>
              </w:rPr>
              <w:t>2004</w:t>
            </w:r>
          </w:p>
        </w:tc>
        <w:tc>
          <w:tcPr>
            <w:tcW w:w="1080" w:type="dxa"/>
            <w:hideMark/>
          </w:tcPr>
          <w:p w14:paraId="5FBD2E8C" w14:textId="77777777" w:rsidR="00C00A4A" w:rsidRPr="00112AA8" w:rsidRDefault="00C00A4A" w:rsidP="00C00A4A">
            <w:pPr>
              <w:rPr>
                <w:rFonts w:cstheme="minorHAnsi"/>
              </w:rPr>
            </w:pPr>
            <w:r w:rsidRPr="00112AA8">
              <w:rPr>
                <w:rFonts w:cstheme="minorHAnsi"/>
              </w:rPr>
              <w:t>5,796</w:t>
            </w:r>
          </w:p>
        </w:tc>
        <w:tc>
          <w:tcPr>
            <w:tcW w:w="1350" w:type="dxa"/>
            <w:hideMark/>
          </w:tcPr>
          <w:p w14:paraId="77AF89A5" w14:textId="77777777" w:rsidR="00C00A4A" w:rsidRPr="00112AA8" w:rsidRDefault="00C00A4A" w:rsidP="00C00A4A">
            <w:pPr>
              <w:jc w:val="right"/>
              <w:rPr>
                <w:rFonts w:cstheme="minorHAnsi"/>
              </w:rPr>
            </w:pPr>
            <w:r w:rsidRPr="00112AA8">
              <w:rPr>
                <w:rFonts w:cstheme="minorHAnsi"/>
              </w:rPr>
              <w:t>219</w:t>
            </w:r>
          </w:p>
        </w:tc>
        <w:tc>
          <w:tcPr>
            <w:tcW w:w="1350" w:type="dxa"/>
            <w:hideMark/>
          </w:tcPr>
          <w:p w14:paraId="24408883" w14:textId="77777777" w:rsidR="00C00A4A" w:rsidRPr="00112AA8" w:rsidRDefault="00C00A4A" w:rsidP="00C00A4A">
            <w:pPr>
              <w:jc w:val="right"/>
              <w:rPr>
                <w:rFonts w:cstheme="minorHAnsi"/>
              </w:rPr>
            </w:pPr>
            <w:r w:rsidRPr="00112AA8">
              <w:rPr>
                <w:rFonts w:cstheme="minorHAnsi"/>
              </w:rPr>
              <w:t>380.47</w:t>
            </w:r>
          </w:p>
        </w:tc>
        <w:tc>
          <w:tcPr>
            <w:tcW w:w="1350" w:type="dxa"/>
            <w:hideMark/>
          </w:tcPr>
          <w:p w14:paraId="5AC1CFF2"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58536642" w14:textId="77777777" w:rsidR="00C00A4A" w:rsidRPr="00112AA8" w:rsidRDefault="00C00A4A" w:rsidP="00C00A4A">
            <w:pPr>
              <w:jc w:val="right"/>
              <w:rPr>
                <w:rFonts w:cstheme="minorHAnsi"/>
              </w:rPr>
            </w:pPr>
            <w:r w:rsidRPr="00112AA8">
              <w:rPr>
                <w:rFonts w:cstheme="minorHAnsi"/>
              </w:rPr>
              <w:t>5,526</w:t>
            </w:r>
          </w:p>
        </w:tc>
      </w:tr>
      <w:tr w:rsidR="00C00A4A" w:rsidRPr="00112AA8" w14:paraId="0F6AA630" w14:textId="77777777" w:rsidTr="0031549F">
        <w:tblPrEx>
          <w:tblLook w:val="04A0" w:firstRow="1" w:lastRow="0" w:firstColumn="1" w:lastColumn="0" w:noHBand="0" w:noVBand="1"/>
        </w:tblPrEx>
        <w:tc>
          <w:tcPr>
            <w:tcW w:w="1530" w:type="dxa"/>
            <w:hideMark/>
          </w:tcPr>
          <w:p w14:paraId="57CD2807" w14:textId="77777777" w:rsidR="00C00A4A" w:rsidRPr="00112AA8" w:rsidRDefault="00C00A4A" w:rsidP="00C00A4A">
            <w:pPr>
              <w:rPr>
                <w:rFonts w:cstheme="minorHAnsi"/>
              </w:rPr>
            </w:pPr>
            <w:r w:rsidRPr="00112AA8">
              <w:rPr>
                <w:rFonts w:cstheme="minorHAnsi"/>
              </w:rPr>
              <w:t>2005</w:t>
            </w:r>
          </w:p>
        </w:tc>
        <w:tc>
          <w:tcPr>
            <w:tcW w:w="1080" w:type="dxa"/>
            <w:hideMark/>
          </w:tcPr>
          <w:p w14:paraId="74858190" w14:textId="77777777" w:rsidR="00C00A4A" w:rsidRPr="00112AA8" w:rsidRDefault="00C00A4A" w:rsidP="00C00A4A">
            <w:pPr>
              <w:rPr>
                <w:rFonts w:cstheme="minorHAnsi"/>
              </w:rPr>
            </w:pPr>
            <w:r w:rsidRPr="00112AA8">
              <w:rPr>
                <w:rFonts w:cstheme="minorHAnsi"/>
              </w:rPr>
              <w:t>5,829</w:t>
            </w:r>
          </w:p>
        </w:tc>
        <w:tc>
          <w:tcPr>
            <w:tcW w:w="1350" w:type="dxa"/>
            <w:hideMark/>
          </w:tcPr>
          <w:p w14:paraId="40C8562B" w14:textId="77777777" w:rsidR="00C00A4A" w:rsidRPr="00112AA8" w:rsidRDefault="00C00A4A" w:rsidP="00C00A4A">
            <w:pPr>
              <w:jc w:val="right"/>
              <w:rPr>
                <w:rFonts w:cstheme="minorHAnsi"/>
              </w:rPr>
            </w:pPr>
            <w:r w:rsidRPr="00112AA8">
              <w:rPr>
                <w:rFonts w:cstheme="minorHAnsi"/>
              </w:rPr>
              <w:t>240</w:t>
            </w:r>
          </w:p>
        </w:tc>
        <w:tc>
          <w:tcPr>
            <w:tcW w:w="1350" w:type="dxa"/>
            <w:hideMark/>
          </w:tcPr>
          <w:p w14:paraId="609E75FA" w14:textId="77777777" w:rsidR="00C00A4A" w:rsidRPr="00112AA8" w:rsidRDefault="00C00A4A" w:rsidP="00C00A4A">
            <w:pPr>
              <w:jc w:val="right"/>
              <w:rPr>
                <w:rFonts w:cstheme="minorHAnsi"/>
              </w:rPr>
            </w:pPr>
            <w:r w:rsidRPr="00112AA8">
              <w:rPr>
                <w:rFonts w:cstheme="minorHAnsi"/>
              </w:rPr>
              <w:t>420.91</w:t>
            </w:r>
          </w:p>
        </w:tc>
        <w:tc>
          <w:tcPr>
            <w:tcW w:w="1350" w:type="dxa"/>
            <w:hideMark/>
          </w:tcPr>
          <w:p w14:paraId="3A20E72A"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1B510CF4" w14:textId="77777777" w:rsidR="00C00A4A" w:rsidRPr="00112AA8" w:rsidRDefault="00C00A4A" w:rsidP="00C00A4A">
            <w:pPr>
              <w:jc w:val="right"/>
              <w:rPr>
                <w:rFonts w:cstheme="minorHAnsi"/>
              </w:rPr>
            </w:pPr>
            <w:r w:rsidRPr="00112AA8">
              <w:rPr>
                <w:rFonts w:cstheme="minorHAnsi"/>
              </w:rPr>
              <w:t>6,399</w:t>
            </w:r>
          </w:p>
        </w:tc>
      </w:tr>
      <w:tr w:rsidR="00C00A4A" w:rsidRPr="00112AA8" w14:paraId="220E48A4" w14:textId="77777777" w:rsidTr="0031549F">
        <w:tblPrEx>
          <w:tblLook w:val="04A0" w:firstRow="1" w:lastRow="0" w:firstColumn="1" w:lastColumn="0" w:noHBand="0" w:noVBand="1"/>
        </w:tblPrEx>
        <w:tc>
          <w:tcPr>
            <w:tcW w:w="1530" w:type="dxa"/>
            <w:hideMark/>
          </w:tcPr>
          <w:p w14:paraId="09764619" w14:textId="77777777" w:rsidR="00C00A4A" w:rsidRPr="00112AA8" w:rsidRDefault="00C00A4A" w:rsidP="00C00A4A">
            <w:pPr>
              <w:rPr>
                <w:rFonts w:cstheme="minorHAnsi"/>
              </w:rPr>
            </w:pPr>
            <w:r w:rsidRPr="00112AA8">
              <w:rPr>
                <w:rFonts w:cstheme="minorHAnsi"/>
              </w:rPr>
              <w:t>2006</w:t>
            </w:r>
          </w:p>
        </w:tc>
        <w:tc>
          <w:tcPr>
            <w:tcW w:w="1080" w:type="dxa"/>
            <w:hideMark/>
          </w:tcPr>
          <w:p w14:paraId="196BEB93" w14:textId="77777777" w:rsidR="00C00A4A" w:rsidRPr="00112AA8" w:rsidRDefault="00C00A4A" w:rsidP="00C00A4A">
            <w:pPr>
              <w:rPr>
                <w:rFonts w:cstheme="minorHAnsi"/>
              </w:rPr>
            </w:pPr>
            <w:r w:rsidRPr="00112AA8">
              <w:rPr>
                <w:rFonts w:cstheme="minorHAnsi"/>
              </w:rPr>
              <w:t>5,791</w:t>
            </w:r>
          </w:p>
        </w:tc>
        <w:tc>
          <w:tcPr>
            <w:tcW w:w="1350" w:type="dxa"/>
            <w:hideMark/>
          </w:tcPr>
          <w:p w14:paraId="5C392C9C" w14:textId="77777777" w:rsidR="00C00A4A" w:rsidRPr="00112AA8" w:rsidRDefault="00C00A4A" w:rsidP="00C00A4A">
            <w:pPr>
              <w:jc w:val="right"/>
              <w:rPr>
                <w:rFonts w:cstheme="minorHAnsi"/>
              </w:rPr>
            </w:pPr>
            <w:r w:rsidRPr="00112AA8">
              <w:rPr>
                <w:rFonts w:cstheme="minorHAnsi"/>
              </w:rPr>
              <w:t>265</w:t>
            </w:r>
          </w:p>
        </w:tc>
        <w:tc>
          <w:tcPr>
            <w:tcW w:w="1350" w:type="dxa"/>
            <w:hideMark/>
          </w:tcPr>
          <w:p w14:paraId="18713E15" w14:textId="77777777" w:rsidR="00C00A4A" w:rsidRPr="00112AA8" w:rsidRDefault="00C00A4A" w:rsidP="00C00A4A">
            <w:pPr>
              <w:jc w:val="right"/>
              <w:rPr>
                <w:rFonts w:cstheme="minorHAnsi"/>
              </w:rPr>
            </w:pPr>
            <w:r w:rsidRPr="00112AA8">
              <w:rPr>
                <w:rFonts w:cstheme="minorHAnsi"/>
              </w:rPr>
              <w:t>466.14</w:t>
            </w:r>
          </w:p>
        </w:tc>
        <w:tc>
          <w:tcPr>
            <w:tcW w:w="1350" w:type="dxa"/>
            <w:hideMark/>
          </w:tcPr>
          <w:p w14:paraId="4B676433"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587BD7AF" w14:textId="77777777" w:rsidR="00C00A4A" w:rsidRPr="00112AA8" w:rsidRDefault="00C00A4A" w:rsidP="00C00A4A">
            <w:pPr>
              <w:jc w:val="right"/>
              <w:rPr>
                <w:rFonts w:cstheme="minorHAnsi"/>
              </w:rPr>
            </w:pPr>
            <w:r w:rsidRPr="00112AA8">
              <w:rPr>
                <w:rFonts w:cstheme="minorHAnsi"/>
              </w:rPr>
              <w:t>7,784</w:t>
            </w:r>
          </w:p>
        </w:tc>
      </w:tr>
      <w:tr w:rsidR="00C00A4A" w:rsidRPr="00112AA8" w14:paraId="124C19A0" w14:textId="77777777" w:rsidTr="0031549F">
        <w:tblPrEx>
          <w:tblLook w:val="04A0" w:firstRow="1" w:lastRow="0" w:firstColumn="1" w:lastColumn="0" w:noHBand="0" w:noVBand="1"/>
        </w:tblPrEx>
        <w:tc>
          <w:tcPr>
            <w:tcW w:w="1530" w:type="dxa"/>
            <w:hideMark/>
          </w:tcPr>
          <w:p w14:paraId="19057CEB" w14:textId="77777777" w:rsidR="00C00A4A" w:rsidRPr="00112AA8" w:rsidRDefault="00C00A4A" w:rsidP="00C00A4A">
            <w:pPr>
              <w:rPr>
                <w:rFonts w:cstheme="minorHAnsi"/>
              </w:rPr>
            </w:pPr>
            <w:r w:rsidRPr="00112AA8">
              <w:rPr>
                <w:rFonts w:cstheme="minorHAnsi"/>
              </w:rPr>
              <w:lastRenderedPageBreak/>
              <w:t>2007</w:t>
            </w:r>
          </w:p>
        </w:tc>
        <w:tc>
          <w:tcPr>
            <w:tcW w:w="1080" w:type="dxa"/>
            <w:hideMark/>
          </w:tcPr>
          <w:p w14:paraId="029605D6" w14:textId="77777777" w:rsidR="00C00A4A" w:rsidRPr="00112AA8" w:rsidRDefault="00C00A4A" w:rsidP="00C00A4A">
            <w:pPr>
              <w:rPr>
                <w:rFonts w:cstheme="minorHAnsi"/>
              </w:rPr>
            </w:pPr>
            <w:r w:rsidRPr="00112AA8">
              <w:rPr>
                <w:rFonts w:cstheme="minorHAnsi"/>
              </w:rPr>
              <w:t>5,763</w:t>
            </w:r>
          </w:p>
        </w:tc>
        <w:tc>
          <w:tcPr>
            <w:tcW w:w="1350" w:type="dxa"/>
            <w:hideMark/>
          </w:tcPr>
          <w:p w14:paraId="506A9AA3" w14:textId="77777777" w:rsidR="00C00A4A" w:rsidRPr="00112AA8" w:rsidRDefault="00C00A4A" w:rsidP="00C00A4A">
            <w:pPr>
              <w:jc w:val="right"/>
              <w:rPr>
                <w:rFonts w:cstheme="minorHAnsi"/>
              </w:rPr>
            </w:pPr>
            <w:r w:rsidRPr="00112AA8">
              <w:rPr>
                <w:rFonts w:cstheme="minorHAnsi"/>
              </w:rPr>
              <w:t>289</w:t>
            </w:r>
          </w:p>
        </w:tc>
        <w:tc>
          <w:tcPr>
            <w:tcW w:w="1350" w:type="dxa"/>
            <w:hideMark/>
          </w:tcPr>
          <w:p w14:paraId="24BB4C64" w14:textId="77777777" w:rsidR="00C00A4A" w:rsidRPr="00112AA8" w:rsidRDefault="00C00A4A" w:rsidP="00C00A4A">
            <w:pPr>
              <w:jc w:val="right"/>
              <w:rPr>
                <w:rFonts w:cstheme="minorHAnsi"/>
              </w:rPr>
            </w:pPr>
            <w:r w:rsidRPr="00112AA8">
              <w:rPr>
                <w:rFonts w:cstheme="minorHAnsi"/>
              </w:rPr>
              <w:t>510.38</w:t>
            </w:r>
          </w:p>
        </w:tc>
        <w:tc>
          <w:tcPr>
            <w:tcW w:w="1350" w:type="dxa"/>
            <w:hideMark/>
          </w:tcPr>
          <w:p w14:paraId="406E5565"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63CEDEF4" w14:textId="77777777" w:rsidR="00C00A4A" w:rsidRPr="00112AA8" w:rsidRDefault="00C00A4A" w:rsidP="00C00A4A">
            <w:pPr>
              <w:jc w:val="right"/>
              <w:rPr>
                <w:rFonts w:cstheme="minorHAnsi"/>
              </w:rPr>
            </w:pPr>
            <w:r w:rsidRPr="00112AA8">
              <w:rPr>
                <w:rFonts w:cstheme="minorHAnsi"/>
              </w:rPr>
              <w:t>8,577</w:t>
            </w:r>
          </w:p>
        </w:tc>
      </w:tr>
      <w:tr w:rsidR="00C00A4A" w:rsidRPr="00112AA8" w14:paraId="093BE51E" w14:textId="77777777" w:rsidTr="0031549F">
        <w:tblPrEx>
          <w:tblLook w:val="04A0" w:firstRow="1" w:lastRow="0" w:firstColumn="1" w:lastColumn="0" w:noHBand="0" w:noVBand="1"/>
        </w:tblPrEx>
        <w:tc>
          <w:tcPr>
            <w:tcW w:w="1530" w:type="dxa"/>
            <w:hideMark/>
          </w:tcPr>
          <w:p w14:paraId="0C7FC095" w14:textId="77777777" w:rsidR="00C00A4A" w:rsidRPr="00112AA8" w:rsidRDefault="00C00A4A" w:rsidP="00C00A4A">
            <w:pPr>
              <w:rPr>
                <w:rFonts w:cstheme="minorHAnsi"/>
              </w:rPr>
            </w:pPr>
            <w:r w:rsidRPr="00112AA8">
              <w:rPr>
                <w:rFonts w:cstheme="minorHAnsi"/>
              </w:rPr>
              <w:t>2008</w:t>
            </w:r>
          </w:p>
        </w:tc>
        <w:tc>
          <w:tcPr>
            <w:tcW w:w="1080" w:type="dxa"/>
            <w:hideMark/>
          </w:tcPr>
          <w:p w14:paraId="1C0BC31D" w14:textId="77777777" w:rsidR="00C00A4A" w:rsidRPr="00112AA8" w:rsidRDefault="00C00A4A" w:rsidP="00C00A4A">
            <w:pPr>
              <w:rPr>
                <w:rFonts w:cstheme="minorHAnsi"/>
              </w:rPr>
            </w:pPr>
            <w:r w:rsidRPr="00112AA8">
              <w:rPr>
                <w:rFonts w:cstheme="minorHAnsi"/>
              </w:rPr>
              <w:t>5,783</w:t>
            </w:r>
          </w:p>
        </w:tc>
        <w:tc>
          <w:tcPr>
            <w:tcW w:w="1350" w:type="dxa"/>
            <w:hideMark/>
          </w:tcPr>
          <w:p w14:paraId="0A48DEBE" w14:textId="77777777" w:rsidR="00C00A4A" w:rsidRPr="00112AA8" w:rsidRDefault="00C00A4A" w:rsidP="00C00A4A">
            <w:pPr>
              <w:jc w:val="right"/>
              <w:rPr>
                <w:rFonts w:cstheme="minorHAnsi"/>
              </w:rPr>
            </w:pPr>
            <w:r w:rsidRPr="00112AA8">
              <w:rPr>
                <w:rFonts w:cstheme="minorHAnsi"/>
              </w:rPr>
              <w:t>314</w:t>
            </w:r>
          </w:p>
        </w:tc>
        <w:tc>
          <w:tcPr>
            <w:tcW w:w="1350" w:type="dxa"/>
            <w:hideMark/>
          </w:tcPr>
          <w:p w14:paraId="2895E323" w14:textId="77777777" w:rsidR="00C00A4A" w:rsidRPr="00112AA8" w:rsidRDefault="00C00A4A" w:rsidP="00C00A4A">
            <w:pPr>
              <w:jc w:val="right"/>
              <w:rPr>
                <w:rFonts w:cstheme="minorHAnsi"/>
              </w:rPr>
            </w:pPr>
            <w:r w:rsidRPr="00112AA8">
              <w:rPr>
                <w:rFonts w:cstheme="minorHAnsi"/>
              </w:rPr>
              <w:t>558.56</w:t>
            </w:r>
          </w:p>
        </w:tc>
        <w:tc>
          <w:tcPr>
            <w:tcW w:w="1350" w:type="dxa"/>
            <w:hideMark/>
          </w:tcPr>
          <w:p w14:paraId="19376D77"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7E6F2719" w14:textId="77777777" w:rsidR="00C00A4A" w:rsidRPr="00112AA8" w:rsidRDefault="00C00A4A" w:rsidP="00C00A4A">
            <w:pPr>
              <w:jc w:val="right"/>
              <w:rPr>
                <w:rFonts w:cstheme="minorHAnsi"/>
              </w:rPr>
            </w:pPr>
            <w:r w:rsidRPr="00112AA8">
              <w:rPr>
                <w:rFonts w:cstheme="minorHAnsi"/>
              </w:rPr>
              <w:t>9,294</w:t>
            </w:r>
          </w:p>
        </w:tc>
      </w:tr>
      <w:tr w:rsidR="00C00A4A" w:rsidRPr="00112AA8" w14:paraId="2996D103" w14:textId="77777777" w:rsidTr="0031549F">
        <w:tblPrEx>
          <w:tblLook w:val="04A0" w:firstRow="1" w:lastRow="0" w:firstColumn="1" w:lastColumn="0" w:noHBand="0" w:noVBand="1"/>
        </w:tblPrEx>
        <w:tc>
          <w:tcPr>
            <w:tcW w:w="1530" w:type="dxa"/>
            <w:hideMark/>
          </w:tcPr>
          <w:p w14:paraId="59D16D43" w14:textId="77777777" w:rsidR="00C00A4A" w:rsidRPr="00112AA8" w:rsidRDefault="00C00A4A" w:rsidP="00C00A4A">
            <w:pPr>
              <w:rPr>
                <w:rFonts w:cstheme="minorHAnsi"/>
              </w:rPr>
            </w:pPr>
            <w:r w:rsidRPr="00112AA8">
              <w:rPr>
                <w:rFonts w:cstheme="minorHAnsi"/>
              </w:rPr>
              <w:t>2009</w:t>
            </w:r>
          </w:p>
        </w:tc>
        <w:tc>
          <w:tcPr>
            <w:tcW w:w="1080" w:type="dxa"/>
            <w:hideMark/>
          </w:tcPr>
          <w:p w14:paraId="52599A7A" w14:textId="77777777" w:rsidR="00C00A4A" w:rsidRPr="00112AA8" w:rsidRDefault="00C00A4A" w:rsidP="00C00A4A">
            <w:pPr>
              <w:rPr>
                <w:rFonts w:cstheme="minorHAnsi"/>
              </w:rPr>
            </w:pPr>
            <w:r w:rsidRPr="00112AA8">
              <w:rPr>
                <w:rFonts w:cstheme="minorHAnsi"/>
              </w:rPr>
              <w:t>5,765</w:t>
            </w:r>
          </w:p>
        </w:tc>
        <w:tc>
          <w:tcPr>
            <w:tcW w:w="1350" w:type="dxa"/>
            <w:hideMark/>
          </w:tcPr>
          <w:p w14:paraId="52880CD1" w14:textId="77777777" w:rsidR="00C00A4A" w:rsidRPr="00112AA8" w:rsidRDefault="00C00A4A" w:rsidP="00C00A4A">
            <w:pPr>
              <w:jc w:val="right"/>
              <w:rPr>
                <w:rFonts w:cstheme="minorHAnsi"/>
              </w:rPr>
            </w:pPr>
            <w:r w:rsidRPr="00112AA8">
              <w:rPr>
                <w:rFonts w:cstheme="minorHAnsi"/>
              </w:rPr>
              <w:t>345</w:t>
            </w:r>
          </w:p>
        </w:tc>
        <w:tc>
          <w:tcPr>
            <w:tcW w:w="1350" w:type="dxa"/>
            <w:hideMark/>
          </w:tcPr>
          <w:p w14:paraId="4860873D" w14:textId="77777777" w:rsidR="00C00A4A" w:rsidRPr="00112AA8" w:rsidRDefault="00C00A4A" w:rsidP="00C00A4A">
            <w:pPr>
              <w:jc w:val="right"/>
              <w:rPr>
                <w:rFonts w:cstheme="minorHAnsi"/>
              </w:rPr>
            </w:pPr>
            <w:r w:rsidRPr="00112AA8">
              <w:rPr>
                <w:rFonts w:cstheme="minorHAnsi"/>
              </w:rPr>
              <w:t>616.29</w:t>
            </w:r>
          </w:p>
        </w:tc>
        <w:tc>
          <w:tcPr>
            <w:tcW w:w="1350" w:type="dxa"/>
            <w:hideMark/>
          </w:tcPr>
          <w:p w14:paraId="3A311CC8"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0929F489" w14:textId="77777777" w:rsidR="00C00A4A" w:rsidRPr="00112AA8" w:rsidRDefault="00C00A4A" w:rsidP="00C00A4A">
            <w:pPr>
              <w:jc w:val="right"/>
              <w:rPr>
                <w:rFonts w:cstheme="minorHAnsi"/>
              </w:rPr>
            </w:pPr>
            <w:r w:rsidRPr="00112AA8">
              <w:rPr>
                <w:rFonts w:cstheme="minorHAnsi"/>
              </w:rPr>
              <w:t>9,846</w:t>
            </w:r>
          </w:p>
        </w:tc>
      </w:tr>
      <w:tr w:rsidR="00C00A4A" w:rsidRPr="00112AA8" w14:paraId="5312972F" w14:textId="77777777" w:rsidTr="0031549F">
        <w:tblPrEx>
          <w:tblLook w:val="04A0" w:firstRow="1" w:lastRow="0" w:firstColumn="1" w:lastColumn="0" w:noHBand="0" w:noVBand="1"/>
        </w:tblPrEx>
        <w:tc>
          <w:tcPr>
            <w:tcW w:w="1530" w:type="dxa"/>
            <w:hideMark/>
          </w:tcPr>
          <w:p w14:paraId="19DD1E22" w14:textId="77777777" w:rsidR="00C00A4A" w:rsidRPr="00112AA8" w:rsidRDefault="00C00A4A" w:rsidP="00C00A4A">
            <w:pPr>
              <w:rPr>
                <w:rFonts w:cstheme="minorHAnsi"/>
              </w:rPr>
            </w:pPr>
            <w:r w:rsidRPr="00112AA8">
              <w:rPr>
                <w:rFonts w:cstheme="minorHAnsi"/>
              </w:rPr>
              <w:t>2010</w:t>
            </w:r>
          </w:p>
        </w:tc>
        <w:tc>
          <w:tcPr>
            <w:tcW w:w="1080" w:type="dxa"/>
            <w:hideMark/>
          </w:tcPr>
          <w:p w14:paraId="52D9C11D" w14:textId="77777777" w:rsidR="00C00A4A" w:rsidRPr="00112AA8" w:rsidRDefault="00C00A4A" w:rsidP="00C00A4A">
            <w:pPr>
              <w:rPr>
                <w:rFonts w:cstheme="minorHAnsi"/>
              </w:rPr>
            </w:pPr>
            <w:r w:rsidRPr="00112AA8">
              <w:rPr>
                <w:rFonts w:cstheme="minorHAnsi"/>
              </w:rPr>
              <w:t>5,788</w:t>
            </w:r>
          </w:p>
        </w:tc>
        <w:tc>
          <w:tcPr>
            <w:tcW w:w="1350" w:type="dxa"/>
            <w:hideMark/>
          </w:tcPr>
          <w:p w14:paraId="06D2494F" w14:textId="77777777" w:rsidR="00C00A4A" w:rsidRPr="00112AA8" w:rsidRDefault="00C00A4A" w:rsidP="00C00A4A">
            <w:pPr>
              <w:jc w:val="right"/>
              <w:rPr>
                <w:rFonts w:cstheme="minorHAnsi"/>
              </w:rPr>
            </w:pPr>
            <w:r w:rsidRPr="00112AA8">
              <w:rPr>
                <w:rFonts w:cstheme="minorHAnsi"/>
              </w:rPr>
              <w:t>370</w:t>
            </w:r>
          </w:p>
        </w:tc>
        <w:tc>
          <w:tcPr>
            <w:tcW w:w="1350" w:type="dxa"/>
            <w:hideMark/>
          </w:tcPr>
          <w:p w14:paraId="4C531206" w14:textId="77777777" w:rsidR="00C00A4A" w:rsidRPr="00112AA8" w:rsidRDefault="00C00A4A" w:rsidP="00C00A4A">
            <w:pPr>
              <w:jc w:val="right"/>
              <w:rPr>
                <w:rFonts w:cstheme="minorHAnsi"/>
              </w:rPr>
            </w:pPr>
            <w:r w:rsidRPr="00112AA8">
              <w:rPr>
                <w:rFonts w:cstheme="minorHAnsi"/>
              </w:rPr>
              <w:t>663.25</w:t>
            </w:r>
          </w:p>
        </w:tc>
        <w:tc>
          <w:tcPr>
            <w:tcW w:w="1350" w:type="dxa"/>
            <w:hideMark/>
          </w:tcPr>
          <w:p w14:paraId="29E73E1B"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2746680E" w14:textId="77777777" w:rsidR="00C00A4A" w:rsidRPr="00112AA8" w:rsidRDefault="00C00A4A" w:rsidP="00C00A4A">
            <w:pPr>
              <w:jc w:val="right"/>
              <w:rPr>
                <w:rFonts w:cstheme="minorHAnsi"/>
              </w:rPr>
            </w:pPr>
            <w:r w:rsidRPr="00112AA8">
              <w:rPr>
                <w:rFonts w:cstheme="minorHAnsi"/>
              </w:rPr>
              <w:t>10,185</w:t>
            </w:r>
          </w:p>
        </w:tc>
      </w:tr>
      <w:tr w:rsidR="00C00A4A" w:rsidRPr="00112AA8" w14:paraId="3FE46DF6" w14:textId="77777777" w:rsidTr="0031549F">
        <w:tblPrEx>
          <w:tblLook w:val="04A0" w:firstRow="1" w:lastRow="0" w:firstColumn="1" w:lastColumn="0" w:noHBand="0" w:noVBand="1"/>
        </w:tblPrEx>
        <w:tc>
          <w:tcPr>
            <w:tcW w:w="1530" w:type="dxa"/>
            <w:hideMark/>
          </w:tcPr>
          <w:p w14:paraId="0B3EC576" w14:textId="77777777" w:rsidR="00C00A4A" w:rsidRPr="00112AA8" w:rsidRDefault="00C00A4A" w:rsidP="00C00A4A">
            <w:pPr>
              <w:rPr>
                <w:rFonts w:cstheme="minorHAnsi"/>
              </w:rPr>
            </w:pPr>
            <w:r w:rsidRPr="00112AA8">
              <w:rPr>
                <w:rFonts w:cstheme="minorHAnsi"/>
              </w:rPr>
              <w:t>2011</w:t>
            </w:r>
          </w:p>
        </w:tc>
        <w:tc>
          <w:tcPr>
            <w:tcW w:w="1080" w:type="dxa"/>
            <w:hideMark/>
          </w:tcPr>
          <w:p w14:paraId="0229FC1D" w14:textId="77777777" w:rsidR="00C00A4A" w:rsidRPr="00112AA8" w:rsidRDefault="00C00A4A" w:rsidP="00C00A4A">
            <w:pPr>
              <w:rPr>
                <w:rFonts w:cstheme="minorHAnsi"/>
              </w:rPr>
            </w:pPr>
            <w:r w:rsidRPr="00112AA8">
              <w:rPr>
                <w:rFonts w:cstheme="minorHAnsi"/>
              </w:rPr>
              <w:t>5,773</w:t>
            </w:r>
          </w:p>
        </w:tc>
        <w:tc>
          <w:tcPr>
            <w:tcW w:w="1350" w:type="dxa"/>
            <w:hideMark/>
          </w:tcPr>
          <w:p w14:paraId="1FB99983" w14:textId="77777777" w:rsidR="00C00A4A" w:rsidRPr="00112AA8" w:rsidRDefault="00C00A4A" w:rsidP="00C00A4A">
            <w:pPr>
              <w:jc w:val="right"/>
              <w:rPr>
                <w:rFonts w:cstheme="minorHAnsi"/>
              </w:rPr>
            </w:pPr>
            <w:r w:rsidRPr="00112AA8">
              <w:rPr>
                <w:rFonts w:cstheme="minorHAnsi"/>
              </w:rPr>
              <w:t>397</w:t>
            </w:r>
          </w:p>
        </w:tc>
        <w:tc>
          <w:tcPr>
            <w:tcW w:w="1350" w:type="dxa"/>
            <w:hideMark/>
          </w:tcPr>
          <w:p w14:paraId="2E42FA2E" w14:textId="77777777" w:rsidR="00C00A4A" w:rsidRPr="00112AA8" w:rsidRDefault="00C00A4A" w:rsidP="00C00A4A">
            <w:pPr>
              <w:jc w:val="right"/>
              <w:rPr>
                <w:rFonts w:cstheme="minorHAnsi"/>
              </w:rPr>
            </w:pPr>
            <w:r w:rsidRPr="00112AA8">
              <w:rPr>
                <w:rFonts w:cstheme="minorHAnsi"/>
              </w:rPr>
              <w:t>715.64</w:t>
            </w:r>
          </w:p>
        </w:tc>
        <w:tc>
          <w:tcPr>
            <w:tcW w:w="1350" w:type="dxa"/>
            <w:hideMark/>
          </w:tcPr>
          <w:p w14:paraId="5A847B0B" w14:textId="77777777" w:rsidR="00C00A4A" w:rsidRPr="00112AA8" w:rsidRDefault="00C00A4A" w:rsidP="00C00A4A">
            <w:pPr>
              <w:jc w:val="right"/>
              <w:rPr>
                <w:rFonts w:cstheme="minorHAnsi"/>
              </w:rPr>
            </w:pPr>
            <w:r w:rsidRPr="00112AA8">
              <w:rPr>
                <w:rFonts w:cstheme="minorHAnsi"/>
              </w:rPr>
              <w:t>-28</w:t>
            </w:r>
          </w:p>
        </w:tc>
        <w:tc>
          <w:tcPr>
            <w:tcW w:w="1710" w:type="dxa"/>
            <w:hideMark/>
          </w:tcPr>
          <w:p w14:paraId="27714803" w14:textId="77777777" w:rsidR="00C00A4A" w:rsidRPr="00112AA8" w:rsidRDefault="00C00A4A" w:rsidP="00C00A4A">
            <w:pPr>
              <w:jc w:val="right"/>
              <w:rPr>
                <w:rFonts w:cstheme="minorHAnsi"/>
              </w:rPr>
            </w:pPr>
            <w:r w:rsidRPr="00112AA8">
              <w:rPr>
                <w:rFonts w:cstheme="minorHAnsi"/>
              </w:rPr>
              <w:t>10,572</w:t>
            </w:r>
          </w:p>
        </w:tc>
      </w:tr>
      <w:tr w:rsidR="00C00A4A" w:rsidRPr="00112AA8" w14:paraId="6B5DB548" w14:textId="77777777" w:rsidTr="0031549F">
        <w:tblPrEx>
          <w:tblLook w:val="04A0" w:firstRow="1" w:lastRow="0" w:firstColumn="1" w:lastColumn="0" w:noHBand="0" w:noVBand="1"/>
        </w:tblPrEx>
        <w:tc>
          <w:tcPr>
            <w:tcW w:w="1530" w:type="dxa"/>
            <w:hideMark/>
          </w:tcPr>
          <w:p w14:paraId="395B4C29" w14:textId="77777777" w:rsidR="00C00A4A" w:rsidRPr="00112AA8" w:rsidRDefault="00C00A4A" w:rsidP="00C00A4A">
            <w:pPr>
              <w:rPr>
                <w:rFonts w:cstheme="minorHAnsi"/>
              </w:rPr>
            </w:pPr>
            <w:r w:rsidRPr="00112AA8">
              <w:rPr>
                <w:rFonts w:cstheme="minorHAnsi"/>
              </w:rPr>
              <w:t>2012</w:t>
            </w:r>
          </w:p>
        </w:tc>
        <w:tc>
          <w:tcPr>
            <w:tcW w:w="1080" w:type="dxa"/>
            <w:hideMark/>
          </w:tcPr>
          <w:p w14:paraId="7E8599E8" w14:textId="77777777" w:rsidR="00C00A4A" w:rsidRPr="00112AA8" w:rsidRDefault="00C00A4A" w:rsidP="00C00A4A">
            <w:pPr>
              <w:rPr>
                <w:rFonts w:cstheme="minorHAnsi"/>
              </w:rPr>
            </w:pPr>
            <w:r w:rsidRPr="00112AA8">
              <w:rPr>
                <w:rFonts w:cstheme="minorHAnsi"/>
              </w:rPr>
              <w:t>5,817</w:t>
            </w:r>
          </w:p>
        </w:tc>
        <w:tc>
          <w:tcPr>
            <w:tcW w:w="1350" w:type="dxa"/>
            <w:hideMark/>
          </w:tcPr>
          <w:p w14:paraId="666E5164" w14:textId="77777777" w:rsidR="00C00A4A" w:rsidRPr="00112AA8" w:rsidRDefault="00C00A4A" w:rsidP="00C00A4A">
            <w:pPr>
              <w:jc w:val="right"/>
              <w:rPr>
                <w:rFonts w:cstheme="minorHAnsi"/>
              </w:rPr>
            </w:pPr>
            <w:r w:rsidRPr="00112AA8">
              <w:rPr>
                <w:rFonts w:cstheme="minorHAnsi"/>
              </w:rPr>
              <w:t>422</w:t>
            </w:r>
          </w:p>
        </w:tc>
        <w:tc>
          <w:tcPr>
            <w:tcW w:w="1350" w:type="dxa"/>
            <w:hideMark/>
          </w:tcPr>
          <w:p w14:paraId="313549C3" w14:textId="77777777" w:rsidR="00C00A4A" w:rsidRPr="00112AA8" w:rsidRDefault="00C00A4A" w:rsidP="00C00A4A">
            <w:pPr>
              <w:jc w:val="right"/>
              <w:rPr>
                <w:rFonts w:cstheme="minorHAnsi"/>
              </w:rPr>
            </w:pPr>
            <w:r w:rsidRPr="00112AA8">
              <w:rPr>
                <w:rFonts w:cstheme="minorHAnsi"/>
              </w:rPr>
              <w:t>769.56</w:t>
            </w:r>
          </w:p>
        </w:tc>
        <w:tc>
          <w:tcPr>
            <w:tcW w:w="1350" w:type="dxa"/>
            <w:hideMark/>
          </w:tcPr>
          <w:p w14:paraId="645B8EE9" w14:textId="77777777" w:rsidR="00C00A4A" w:rsidRPr="00112AA8" w:rsidRDefault="00C00A4A" w:rsidP="00C00A4A">
            <w:pPr>
              <w:jc w:val="right"/>
              <w:rPr>
                <w:rFonts w:cstheme="minorHAnsi"/>
              </w:rPr>
            </w:pPr>
            <w:r w:rsidRPr="00112AA8">
              <w:rPr>
                <w:rFonts w:cstheme="minorHAnsi"/>
              </w:rPr>
              <w:t>-12</w:t>
            </w:r>
          </w:p>
        </w:tc>
        <w:tc>
          <w:tcPr>
            <w:tcW w:w="1710" w:type="dxa"/>
            <w:hideMark/>
          </w:tcPr>
          <w:p w14:paraId="27866F04" w14:textId="77777777" w:rsidR="00C00A4A" w:rsidRPr="00112AA8" w:rsidRDefault="00C00A4A" w:rsidP="00C00A4A">
            <w:pPr>
              <w:jc w:val="right"/>
              <w:rPr>
                <w:rFonts w:cstheme="minorHAnsi"/>
              </w:rPr>
            </w:pPr>
            <w:r w:rsidRPr="00112AA8">
              <w:rPr>
                <w:rFonts w:cstheme="minorHAnsi"/>
              </w:rPr>
              <w:t>11,865</w:t>
            </w:r>
          </w:p>
        </w:tc>
      </w:tr>
      <w:tr w:rsidR="00C00A4A" w:rsidRPr="00112AA8" w14:paraId="016B2454" w14:textId="77777777" w:rsidTr="0031549F">
        <w:tblPrEx>
          <w:tblLook w:val="04A0" w:firstRow="1" w:lastRow="0" w:firstColumn="1" w:lastColumn="0" w:noHBand="0" w:noVBand="1"/>
        </w:tblPrEx>
        <w:tc>
          <w:tcPr>
            <w:tcW w:w="1530" w:type="dxa"/>
            <w:hideMark/>
          </w:tcPr>
          <w:p w14:paraId="05007A47" w14:textId="77777777" w:rsidR="00C00A4A" w:rsidRPr="00112AA8" w:rsidRDefault="00C00A4A" w:rsidP="00C00A4A">
            <w:pPr>
              <w:rPr>
                <w:rFonts w:cstheme="minorHAnsi"/>
              </w:rPr>
            </w:pPr>
            <w:r w:rsidRPr="00112AA8">
              <w:rPr>
                <w:rFonts w:cstheme="minorHAnsi"/>
              </w:rPr>
              <w:t>2013</w:t>
            </w:r>
          </w:p>
        </w:tc>
        <w:tc>
          <w:tcPr>
            <w:tcW w:w="1080" w:type="dxa"/>
            <w:hideMark/>
          </w:tcPr>
          <w:p w14:paraId="7E5FB7A7" w14:textId="77777777" w:rsidR="00C00A4A" w:rsidRPr="00112AA8" w:rsidRDefault="00C00A4A" w:rsidP="00C00A4A">
            <w:pPr>
              <w:rPr>
                <w:rFonts w:cstheme="minorHAnsi"/>
              </w:rPr>
            </w:pPr>
            <w:r w:rsidRPr="00112AA8">
              <w:rPr>
                <w:rFonts w:cstheme="minorHAnsi"/>
              </w:rPr>
              <w:t>5,768</w:t>
            </w:r>
          </w:p>
        </w:tc>
        <w:tc>
          <w:tcPr>
            <w:tcW w:w="1350" w:type="dxa"/>
            <w:hideMark/>
          </w:tcPr>
          <w:p w14:paraId="391574E9" w14:textId="77777777" w:rsidR="00C00A4A" w:rsidRPr="00112AA8" w:rsidRDefault="00C00A4A" w:rsidP="00C00A4A">
            <w:pPr>
              <w:jc w:val="right"/>
              <w:rPr>
                <w:rFonts w:cstheme="minorHAnsi"/>
              </w:rPr>
            </w:pPr>
            <w:r w:rsidRPr="00112AA8">
              <w:rPr>
                <w:rFonts w:cstheme="minorHAnsi"/>
              </w:rPr>
              <w:t>448</w:t>
            </w:r>
          </w:p>
        </w:tc>
        <w:tc>
          <w:tcPr>
            <w:tcW w:w="1350" w:type="dxa"/>
            <w:hideMark/>
          </w:tcPr>
          <w:p w14:paraId="0732D036" w14:textId="77777777" w:rsidR="00C00A4A" w:rsidRPr="00112AA8" w:rsidRDefault="00C00A4A" w:rsidP="00C00A4A">
            <w:pPr>
              <w:jc w:val="right"/>
              <w:rPr>
                <w:rFonts w:cstheme="minorHAnsi"/>
              </w:rPr>
            </w:pPr>
            <w:r w:rsidRPr="00112AA8">
              <w:rPr>
                <w:rFonts w:cstheme="minorHAnsi"/>
              </w:rPr>
              <w:t>837.24</w:t>
            </w:r>
          </w:p>
        </w:tc>
        <w:tc>
          <w:tcPr>
            <w:tcW w:w="1350" w:type="dxa"/>
            <w:hideMark/>
          </w:tcPr>
          <w:p w14:paraId="436A589F"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61D69DA8" w14:textId="77777777" w:rsidR="00C00A4A" w:rsidRPr="00112AA8" w:rsidRDefault="00C00A4A" w:rsidP="00C00A4A">
            <w:pPr>
              <w:jc w:val="right"/>
              <w:rPr>
                <w:rFonts w:cstheme="minorHAnsi"/>
              </w:rPr>
            </w:pPr>
            <w:r w:rsidRPr="00112AA8">
              <w:rPr>
                <w:rFonts w:cstheme="minorHAnsi"/>
              </w:rPr>
              <w:t>12,752</w:t>
            </w:r>
          </w:p>
        </w:tc>
      </w:tr>
      <w:tr w:rsidR="00C00A4A" w:rsidRPr="00112AA8" w14:paraId="05E4A275" w14:textId="77777777" w:rsidTr="0031549F">
        <w:tblPrEx>
          <w:tblLook w:val="04A0" w:firstRow="1" w:lastRow="0" w:firstColumn="1" w:lastColumn="0" w:noHBand="0" w:noVBand="1"/>
        </w:tblPrEx>
        <w:tc>
          <w:tcPr>
            <w:tcW w:w="1530" w:type="dxa"/>
            <w:hideMark/>
          </w:tcPr>
          <w:p w14:paraId="065D6C62" w14:textId="77777777" w:rsidR="00C00A4A" w:rsidRPr="00112AA8" w:rsidRDefault="00C00A4A" w:rsidP="00C00A4A">
            <w:pPr>
              <w:rPr>
                <w:rFonts w:cstheme="minorHAnsi"/>
              </w:rPr>
            </w:pPr>
            <w:r w:rsidRPr="00112AA8">
              <w:rPr>
                <w:rFonts w:cstheme="minorHAnsi"/>
              </w:rPr>
              <w:t>2014</w:t>
            </w:r>
          </w:p>
        </w:tc>
        <w:tc>
          <w:tcPr>
            <w:tcW w:w="1080" w:type="dxa"/>
            <w:hideMark/>
          </w:tcPr>
          <w:p w14:paraId="4913921E" w14:textId="77777777" w:rsidR="00C00A4A" w:rsidRPr="00112AA8" w:rsidRDefault="00C00A4A" w:rsidP="00C00A4A">
            <w:pPr>
              <w:rPr>
                <w:rFonts w:cstheme="minorHAnsi"/>
              </w:rPr>
            </w:pPr>
            <w:r w:rsidRPr="00112AA8">
              <w:rPr>
                <w:rFonts w:cstheme="minorHAnsi"/>
              </w:rPr>
              <w:t>5,769</w:t>
            </w:r>
          </w:p>
        </w:tc>
        <w:tc>
          <w:tcPr>
            <w:tcW w:w="1350" w:type="dxa"/>
            <w:hideMark/>
          </w:tcPr>
          <w:p w14:paraId="0ED955D0" w14:textId="77777777" w:rsidR="00C00A4A" w:rsidRPr="00112AA8" w:rsidRDefault="00C00A4A" w:rsidP="00C00A4A">
            <w:pPr>
              <w:jc w:val="right"/>
              <w:rPr>
                <w:rFonts w:cstheme="minorHAnsi"/>
              </w:rPr>
            </w:pPr>
            <w:r w:rsidRPr="00112AA8">
              <w:rPr>
                <w:rFonts w:cstheme="minorHAnsi"/>
              </w:rPr>
              <w:t>482</w:t>
            </w:r>
          </w:p>
        </w:tc>
        <w:tc>
          <w:tcPr>
            <w:tcW w:w="1350" w:type="dxa"/>
            <w:hideMark/>
          </w:tcPr>
          <w:p w14:paraId="42BDB6AC" w14:textId="77777777" w:rsidR="00C00A4A" w:rsidRPr="00112AA8" w:rsidRDefault="00C00A4A" w:rsidP="00C00A4A">
            <w:pPr>
              <w:jc w:val="right"/>
              <w:rPr>
                <w:rFonts w:cstheme="minorHAnsi"/>
              </w:rPr>
            </w:pPr>
            <w:r w:rsidRPr="00112AA8">
              <w:rPr>
                <w:rFonts w:cstheme="minorHAnsi"/>
              </w:rPr>
              <w:t>909.15</w:t>
            </w:r>
          </w:p>
        </w:tc>
        <w:tc>
          <w:tcPr>
            <w:tcW w:w="1350" w:type="dxa"/>
            <w:hideMark/>
          </w:tcPr>
          <w:p w14:paraId="0315C179"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74AC0264" w14:textId="77777777" w:rsidR="00C00A4A" w:rsidRPr="00112AA8" w:rsidRDefault="00C00A4A" w:rsidP="00C00A4A">
            <w:pPr>
              <w:jc w:val="right"/>
              <w:rPr>
                <w:rFonts w:cstheme="minorHAnsi"/>
              </w:rPr>
            </w:pPr>
            <w:r w:rsidRPr="00112AA8">
              <w:rPr>
                <w:rFonts w:cstheme="minorHAnsi"/>
              </w:rPr>
              <w:t>13,376</w:t>
            </w:r>
          </w:p>
        </w:tc>
      </w:tr>
      <w:tr w:rsidR="00C00A4A" w:rsidRPr="00112AA8" w14:paraId="7B808696" w14:textId="77777777" w:rsidTr="0031549F">
        <w:tblPrEx>
          <w:tblLook w:val="04A0" w:firstRow="1" w:lastRow="0" w:firstColumn="1" w:lastColumn="0" w:noHBand="0" w:noVBand="1"/>
        </w:tblPrEx>
        <w:tc>
          <w:tcPr>
            <w:tcW w:w="1530" w:type="dxa"/>
            <w:hideMark/>
          </w:tcPr>
          <w:p w14:paraId="2F390ABE" w14:textId="77777777" w:rsidR="00C00A4A" w:rsidRPr="00112AA8" w:rsidRDefault="00C00A4A" w:rsidP="00C00A4A">
            <w:pPr>
              <w:rPr>
                <w:rFonts w:cstheme="minorHAnsi"/>
              </w:rPr>
            </w:pPr>
            <w:r w:rsidRPr="00112AA8">
              <w:rPr>
                <w:rFonts w:cstheme="minorHAnsi"/>
              </w:rPr>
              <w:t>2015</w:t>
            </w:r>
          </w:p>
        </w:tc>
        <w:tc>
          <w:tcPr>
            <w:tcW w:w="1080" w:type="dxa"/>
            <w:hideMark/>
          </w:tcPr>
          <w:p w14:paraId="3A5DE341" w14:textId="77777777" w:rsidR="00C00A4A" w:rsidRPr="00112AA8" w:rsidRDefault="00C00A4A" w:rsidP="00C00A4A">
            <w:pPr>
              <w:rPr>
                <w:rFonts w:cstheme="minorHAnsi"/>
              </w:rPr>
            </w:pPr>
            <w:r w:rsidRPr="00112AA8">
              <w:rPr>
                <w:rFonts w:cstheme="minorHAnsi"/>
              </w:rPr>
              <w:t>5,768</w:t>
            </w:r>
          </w:p>
        </w:tc>
        <w:tc>
          <w:tcPr>
            <w:tcW w:w="1350" w:type="dxa"/>
            <w:hideMark/>
          </w:tcPr>
          <w:p w14:paraId="3EE41259" w14:textId="77777777" w:rsidR="00C00A4A" w:rsidRPr="00112AA8" w:rsidRDefault="00C00A4A" w:rsidP="00C00A4A">
            <w:pPr>
              <w:jc w:val="right"/>
              <w:rPr>
                <w:rFonts w:cstheme="minorHAnsi"/>
              </w:rPr>
            </w:pPr>
            <w:r w:rsidRPr="00112AA8">
              <w:rPr>
                <w:rFonts w:cstheme="minorHAnsi"/>
              </w:rPr>
              <w:t>522</w:t>
            </w:r>
          </w:p>
        </w:tc>
        <w:tc>
          <w:tcPr>
            <w:tcW w:w="1350" w:type="dxa"/>
            <w:hideMark/>
          </w:tcPr>
          <w:p w14:paraId="4EA0C316" w14:textId="77777777" w:rsidR="00C00A4A" w:rsidRPr="00112AA8" w:rsidRDefault="00C00A4A" w:rsidP="00C00A4A">
            <w:pPr>
              <w:jc w:val="right"/>
              <w:rPr>
                <w:rFonts w:cstheme="minorHAnsi"/>
              </w:rPr>
            </w:pPr>
            <w:r w:rsidRPr="00112AA8">
              <w:rPr>
                <w:rFonts w:cstheme="minorHAnsi"/>
              </w:rPr>
              <w:t>972.39</w:t>
            </w:r>
          </w:p>
        </w:tc>
        <w:tc>
          <w:tcPr>
            <w:tcW w:w="1350" w:type="dxa"/>
            <w:hideMark/>
          </w:tcPr>
          <w:p w14:paraId="08690C45"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41086E69" w14:textId="77777777" w:rsidR="00C00A4A" w:rsidRPr="00112AA8" w:rsidRDefault="00C00A4A" w:rsidP="00C00A4A">
            <w:pPr>
              <w:jc w:val="right"/>
              <w:rPr>
                <w:rFonts w:cstheme="minorHAnsi"/>
              </w:rPr>
            </w:pPr>
            <w:r w:rsidRPr="00112AA8">
              <w:rPr>
                <w:rFonts w:cstheme="minorHAnsi"/>
              </w:rPr>
              <w:t>14,144</w:t>
            </w:r>
          </w:p>
        </w:tc>
      </w:tr>
      <w:tr w:rsidR="00C00A4A" w:rsidRPr="00112AA8" w14:paraId="6358BA51" w14:textId="77777777" w:rsidTr="0031549F">
        <w:tblPrEx>
          <w:tblLook w:val="04A0" w:firstRow="1" w:lastRow="0" w:firstColumn="1" w:lastColumn="0" w:noHBand="0" w:noVBand="1"/>
        </w:tblPrEx>
        <w:tc>
          <w:tcPr>
            <w:tcW w:w="1530" w:type="dxa"/>
            <w:hideMark/>
          </w:tcPr>
          <w:p w14:paraId="0CB81D89" w14:textId="77777777" w:rsidR="00C00A4A" w:rsidRPr="00112AA8" w:rsidRDefault="00C00A4A" w:rsidP="00C00A4A">
            <w:pPr>
              <w:rPr>
                <w:rFonts w:cstheme="minorHAnsi"/>
              </w:rPr>
            </w:pPr>
            <w:r w:rsidRPr="00112AA8">
              <w:rPr>
                <w:rFonts w:cstheme="minorHAnsi"/>
              </w:rPr>
              <w:t>2016</w:t>
            </w:r>
          </w:p>
        </w:tc>
        <w:tc>
          <w:tcPr>
            <w:tcW w:w="1080" w:type="dxa"/>
            <w:hideMark/>
          </w:tcPr>
          <w:p w14:paraId="0E51B9C2" w14:textId="77777777" w:rsidR="00C00A4A" w:rsidRPr="00112AA8" w:rsidRDefault="00C00A4A" w:rsidP="00C00A4A">
            <w:pPr>
              <w:rPr>
                <w:rFonts w:cstheme="minorHAnsi"/>
              </w:rPr>
            </w:pPr>
            <w:r w:rsidRPr="00112AA8">
              <w:rPr>
                <w:rFonts w:cstheme="minorHAnsi"/>
              </w:rPr>
              <w:t>5,777</w:t>
            </w:r>
          </w:p>
        </w:tc>
        <w:tc>
          <w:tcPr>
            <w:tcW w:w="1350" w:type="dxa"/>
            <w:hideMark/>
          </w:tcPr>
          <w:p w14:paraId="705008A9" w14:textId="77777777" w:rsidR="00C00A4A" w:rsidRPr="00112AA8" w:rsidRDefault="00C00A4A" w:rsidP="00C00A4A">
            <w:pPr>
              <w:jc w:val="right"/>
              <w:rPr>
                <w:rFonts w:cstheme="minorHAnsi"/>
              </w:rPr>
            </w:pPr>
            <w:r w:rsidRPr="00112AA8">
              <w:rPr>
                <w:rFonts w:cstheme="minorHAnsi"/>
              </w:rPr>
              <w:t>567</w:t>
            </w:r>
          </w:p>
        </w:tc>
        <w:tc>
          <w:tcPr>
            <w:tcW w:w="1350" w:type="dxa"/>
            <w:hideMark/>
          </w:tcPr>
          <w:p w14:paraId="49693CA5" w14:textId="77777777" w:rsidR="00C00A4A" w:rsidRPr="00112AA8" w:rsidRDefault="00C00A4A" w:rsidP="00C00A4A">
            <w:pPr>
              <w:jc w:val="right"/>
              <w:rPr>
                <w:rFonts w:cstheme="minorHAnsi"/>
              </w:rPr>
            </w:pPr>
            <w:r w:rsidRPr="00112AA8">
              <w:rPr>
                <w:rFonts w:cstheme="minorHAnsi"/>
              </w:rPr>
              <w:t>1,065.69</w:t>
            </w:r>
          </w:p>
        </w:tc>
        <w:tc>
          <w:tcPr>
            <w:tcW w:w="1350" w:type="dxa"/>
            <w:hideMark/>
          </w:tcPr>
          <w:p w14:paraId="65486C84"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2677F758" w14:textId="77777777" w:rsidR="00C00A4A" w:rsidRPr="00112AA8" w:rsidRDefault="00C00A4A" w:rsidP="00C00A4A">
            <w:pPr>
              <w:jc w:val="right"/>
              <w:rPr>
                <w:rFonts w:cstheme="minorHAnsi"/>
              </w:rPr>
            </w:pPr>
            <w:r w:rsidRPr="00112AA8">
              <w:rPr>
                <w:rFonts w:cstheme="minorHAnsi"/>
              </w:rPr>
              <w:t>15,619</w:t>
            </w:r>
          </w:p>
        </w:tc>
      </w:tr>
      <w:tr w:rsidR="00C00A4A" w:rsidRPr="00112AA8" w14:paraId="66E1A226" w14:textId="77777777" w:rsidTr="0031549F">
        <w:tblPrEx>
          <w:tblLook w:val="04A0" w:firstRow="1" w:lastRow="0" w:firstColumn="1" w:lastColumn="0" w:noHBand="0" w:noVBand="1"/>
        </w:tblPrEx>
        <w:tc>
          <w:tcPr>
            <w:tcW w:w="1530" w:type="dxa"/>
            <w:hideMark/>
          </w:tcPr>
          <w:p w14:paraId="5DF09CFA" w14:textId="77777777" w:rsidR="00C00A4A" w:rsidRPr="00112AA8" w:rsidRDefault="00C00A4A" w:rsidP="00C00A4A">
            <w:pPr>
              <w:rPr>
                <w:rFonts w:cstheme="minorHAnsi"/>
              </w:rPr>
            </w:pPr>
            <w:r w:rsidRPr="00112AA8">
              <w:rPr>
                <w:rFonts w:cstheme="minorHAnsi"/>
              </w:rPr>
              <w:t>2017</w:t>
            </w:r>
          </w:p>
        </w:tc>
        <w:tc>
          <w:tcPr>
            <w:tcW w:w="1080" w:type="dxa"/>
            <w:hideMark/>
          </w:tcPr>
          <w:p w14:paraId="72C2FDB5" w14:textId="77777777" w:rsidR="00C00A4A" w:rsidRPr="00112AA8" w:rsidRDefault="00C00A4A" w:rsidP="00C00A4A">
            <w:pPr>
              <w:rPr>
                <w:rFonts w:cstheme="minorHAnsi"/>
              </w:rPr>
            </w:pPr>
            <w:r w:rsidRPr="00112AA8">
              <w:rPr>
                <w:rFonts w:cstheme="minorHAnsi"/>
              </w:rPr>
              <w:t>5,763</w:t>
            </w:r>
          </w:p>
        </w:tc>
        <w:tc>
          <w:tcPr>
            <w:tcW w:w="1350" w:type="dxa"/>
            <w:hideMark/>
          </w:tcPr>
          <w:p w14:paraId="3D8BEF42" w14:textId="77777777" w:rsidR="00C00A4A" w:rsidRPr="00112AA8" w:rsidRDefault="00C00A4A" w:rsidP="00C00A4A">
            <w:pPr>
              <w:jc w:val="right"/>
              <w:rPr>
                <w:rFonts w:cstheme="minorHAnsi"/>
              </w:rPr>
            </w:pPr>
            <w:r w:rsidRPr="00112AA8">
              <w:rPr>
                <w:rFonts w:cstheme="minorHAnsi"/>
              </w:rPr>
              <w:t>608</w:t>
            </w:r>
          </w:p>
        </w:tc>
        <w:tc>
          <w:tcPr>
            <w:tcW w:w="1350" w:type="dxa"/>
            <w:hideMark/>
          </w:tcPr>
          <w:p w14:paraId="3C667D09" w14:textId="77777777" w:rsidR="00C00A4A" w:rsidRPr="00112AA8" w:rsidRDefault="00C00A4A" w:rsidP="00C00A4A">
            <w:pPr>
              <w:jc w:val="right"/>
              <w:rPr>
                <w:rFonts w:cstheme="minorHAnsi"/>
              </w:rPr>
            </w:pPr>
            <w:r w:rsidRPr="00112AA8">
              <w:rPr>
                <w:rFonts w:cstheme="minorHAnsi"/>
              </w:rPr>
              <w:t>1,170.03</w:t>
            </w:r>
          </w:p>
        </w:tc>
        <w:tc>
          <w:tcPr>
            <w:tcW w:w="1350" w:type="dxa"/>
            <w:hideMark/>
          </w:tcPr>
          <w:p w14:paraId="42D795BD"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63985AD6" w14:textId="77777777" w:rsidR="00C00A4A" w:rsidRPr="00112AA8" w:rsidRDefault="00C00A4A" w:rsidP="00C00A4A">
            <w:pPr>
              <w:jc w:val="right"/>
              <w:rPr>
                <w:rFonts w:cstheme="minorHAnsi"/>
              </w:rPr>
            </w:pPr>
            <w:r w:rsidRPr="00112AA8">
              <w:rPr>
                <w:rFonts w:cstheme="minorHAnsi"/>
              </w:rPr>
              <w:t>16,863</w:t>
            </w:r>
          </w:p>
        </w:tc>
      </w:tr>
      <w:tr w:rsidR="00C16A5A" w:rsidRPr="00112AA8" w14:paraId="04E308A0" w14:textId="77777777" w:rsidTr="00C16A5A">
        <w:tblPrEx>
          <w:tblLook w:val="04A0" w:firstRow="1" w:lastRow="0" w:firstColumn="1" w:lastColumn="0" w:noHBand="0" w:noVBand="1"/>
        </w:tblPrEx>
        <w:tc>
          <w:tcPr>
            <w:tcW w:w="1530" w:type="dxa"/>
            <w:hideMark/>
          </w:tcPr>
          <w:p w14:paraId="791686E9" w14:textId="77777777" w:rsidR="00C00A4A" w:rsidRPr="00112AA8" w:rsidRDefault="00C00A4A" w:rsidP="00C00A4A">
            <w:pPr>
              <w:rPr>
                <w:rFonts w:cstheme="minorHAnsi"/>
              </w:rPr>
            </w:pPr>
            <w:r w:rsidRPr="00112AA8">
              <w:rPr>
                <w:rFonts w:cstheme="minorHAnsi"/>
              </w:rPr>
              <w:t>2018</w:t>
            </w:r>
          </w:p>
        </w:tc>
        <w:tc>
          <w:tcPr>
            <w:tcW w:w="1080" w:type="dxa"/>
            <w:hideMark/>
          </w:tcPr>
          <w:p w14:paraId="70428331" w14:textId="77777777" w:rsidR="00C00A4A" w:rsidRPr="00112AA8" w:rsidRDefault="00C00A4A" w:rsidP="00C00A4A">
            <w:pPr>
              <w:rPr>
                <w:rFonts w:cstheme="minorHAnsi"/>
              </w:rPr>
            </w:pPr>
            <w:r w:rsidRPr="00112AA8">
              <w:rPr>
                <w:rFonts w:cstheme="minorHAnsi"/>
              </w:rPr>
              <w:t>5,728</w:t>
            </w:r>
          </w:p>
        </w:tc>
        <w:tc>
          <w:tcPr>
            <w:tcW w:w="1350" w:type="dxa"/>
            <w:hideMark/>
          </w:tcPr>
          <w:p w14:paraId="42AFD407" w14:textId="77777777" w:rsidR="00C00A4A" w:rsidRPr="00112AA8" w:rsidRDefault="00C00A4A" w:rsidP="00C00A4A">
            <w:pPr>
              <w:jc w:val="right"/>
              <w:rPr>
                <w:rFonts w:cstheme="minorHAnsi"/>
              </w:rPr>
            </w:pPr>
            <w:r w:rsidRPr="00112AA8">
              <w:rPr>
                <w:rFonts w:cstheme="minorHAnsi"/>
              </w:rPr>
              <w:t>659</w:t>
            </w:r>
          </w:p>
        </w:tc>
        <w:tc>
          <w:tcPr>
            <w:tcW w:w="1350" w:type="dxa"/>
            <w:hideMark/>
          </w:tcPr>
          <w:p w14:paraId="6E65F9AA" w14:textId="77777777" w:rsidR="00C00A4A" w:rsidRPr="00112AA8" w:rsidRDefault="00C00A4A" w:rsidP="00C00A4A">
            <w:pPr>
              <w:jc w:val="right"/>
              <w:rPr>
                <w:rFonts w:cstheme="minorHAnsi"/>
              </w:rPr>
            </w:pPr>
            <w:r w:rsidRPr="00112AA8">
              <w:rPr>
                <w:rFonts w:cstheme="minorHAnsi"/>
              </w:rPr>
              <w:t>1,290.59</w:t>
            </w:r>
          </w:p>
        </w:tc>
        <w:tc>
          <w:tcPr>
            <w:tcW w:w="1350" w:type="dxa"/>
            <w:hideMark/>
          </w:tcPr>
          <w:p w14:paraId="5927E8E4" w14:textId="77777777" w:rsidR="00C00A4A" w:rsidRPr="00112AA8" w:rsidRDefault="00C00A4A" w:rsidP="00C00A4A">
            <w:pPr>
              <w:jc w:val="right"/>
              <w:rPr>
                <w:rFonts w:cstheme="minorHAnsi"/>
              </w:rPr>
            </w:pPr>
            <w:r w:rsidRPr="00112AA8">
              <w:rPr>
                <w:rFonts w:cstheme="minorHAnsi"/>
              </w:rPr>
              <w:t>0</w:t>
            </w:r>
          </w:p>
        </w:tc>
        <w:tc>
          <w:tcPr>
            <w:tcW w:w="1710" w:type="dxa"/>
            <w:hideMark/>
          </w:tcPr>
          <w:p w14:paraId="6B1E4FA9" w14:textId="77777777" w:rsidR="00C00A4A" w:rsidRPr="00112AA8" w:rsidRDefault="00C00A4A" w:rsidP="00C00A4A">
            <w:pPr>
              <w:jc w:val="right"/>
              <w:rPr>
                <w:rFonts w:cstheme="minorHAnsi"/>
              </w:rPr>
            </w:pPr>
            <w:r w:rsidRPr="00112AA8">
              <w:rPr>
                <w:rFonts w:cstheme="minorHAnsi"/>
              </w:rPr>
              <w:t>18,677</w:t>
            </w:r>
          </w:p>
        </w:tc>
      </w:tr>
      <w:tr w:rsidR="00C16A5A" w:rsidRPr="00112AA8" w14:paraId="7DE9AC30" w14:textId="77777777" w:rsidTr="00C16A5A">
        <w:tblPrEx>
          <w:tblLook w:val="04A0" w:firstRow="1" w:lastRow="0" w:firstColumn="1" w:lastColumn="0" w:noHBand="0" w:noVBand="1"/>
        </w:tblPrEx>
        <w:tc>
          <w:tcPr>
            <w:tcW w:w="1530" w:type="dxa"/>
            <w:tcBorders>
              <w:bottom w:val="single" w:sz="4" w:space="0" w:color="auto"/>
            </w:tcBorders>
            <w:hideMark/>
          </w:tcPr>
          <w:p w14:paraId="14CE89EA" w14:textId="77777777" w:rsidR="00C00A4A" w:rsidRPr="00112AA8" w:rsidRDefault="00C00A4A" w:rsidP="00C00A4A">
            <w:pPr>
              <w:rPr>
                <w:rFonts w:cstheme="minorHAnsi"/>
              </w:rPr>
            </w:pPr>
            <w:r w:rsidRPr="00112AA8">
              <w:rPr>
                <w:rFonts w:cstheme="minorHAnsi"/>
              </w:rPr>
              <w:t>2019</w:t>
            </w:r>
          </w:p>
        </w:tc>
        <w:tc>
          <w:tcPr>
            <w:tcW w:w="1080" w:type="dxa"/>
            <w:tcBorders>
              <w:bottom w:val="single" w:sz="4" w:space="0" w:color="auto"/>
            </w:tcBorders>
            <w:hideMark/>
          </w:tcPr>
          <w:p w14:paraId="528D9ACB" w14:textId="77777777" w:rsidR="00C00A4A" w:rsidRPr="00112AA8" w:rsidRDefault="00C00A4A" w:rsidP="00C00A4A">
            <w:pPr>
              <w:rPr>
                <w:rFonts w:cstheme="minorHAnsi"/>
              </w:rPr>
            </w:pPr>
            <w:r w:rsidRPr="00112AA8">
              <w:rPr>
                <w:rFonts w:cstheme="minorHAnsi"/>
              </w:rPr>
              <w:t>5,714</w:t>
            </w:r>
          </w:p>
        </w:tc>
        <w:tc>
          <w:tcPr>
            <w:tcW w:w="1350" w:type="dxa"/>
            <w:tcBorders>
              <w:bottom w:val="single" w:sz="4" w:space="0" w:color="auto"/>
            </w:tcBorders>
            <w:hideMark/>
          </w:tcPr>
          <w:p w14:paraId="1D782DD9" w14:textId="77777777" w:rsidR="00C00A4A" w:rsidRPr="00112AA8" w:rsidRDefault="00C00A4A" w:rsidP="00C00A4A">
            <w:pPr>
              <w:jc w:val="right"/>
              <w:rPr>
                <w:rFonts w:cstheme="minorHAnsi"/>
              </w:rPr>
            </w:pPr>
            <w:r w:rsidRPr="00112AA8">
              <w:rPr>
                <w:rFonts w:cstheme="minorHAnsi"/>
              </w:rPr>
              <w:t>714</w:t>
            </w:r>
          </w:p>
        </w:tc>
        <w:tc>
          <w:tcPr>
            <w:tcW w:w="1350" w:type="dxa"/>
            <w:tcBorders>
              <w:bottom w:val="single" w:sz="4" w:space="0" w:color="auto"/>
            </w:tcBorders>
            <w:hideMark/>
          </w:tcPr>
          <w:p w14:paraId="268397FA" w14:textId="77777777" w:rsidR="00C00A4A" w:rsidRPr="00112AA8" w:rsidRDefault="00C00A4A" w:rsidP="00C00A4A">
            <w:pPr>
              <w:jc w:val="right"/>
              <w:rPr>
                <w:rFonts w:cstheme="minorHAnsi"/>
              </w:rPr>
            </w:pPr>
            <w:r w:rsidRPr="00112AA8">
              <w:rPr>
                <w:rFonts w:cstheme="minorHAnsi"/>
              </w:rPr>
              <w:t>1,426.42</w:t>
            </w:r>
          </w:p>
        </w:tc>
        <w:tc>
          <w:tcPr>
            <w:tcW w:w="1350" w:type="dxa"/>
            <w:tcBorders>
              <w:bottom w:val="single" w:sz="4" w:space="0" w:color="auto"/>
            </w:tcBorders>
            <w:hideMark/>
          </w:tcPr>
          <w:p w14:paraId="216A29DD" w14:textId="77777777" w:rsidR="00C00A4A" w:rsidRPr="00112AA8" w:rsidRDefault="00C00A4A" w:rsidP="00C00A4A">
            <w:pPr>
              <w:jc w:val="right"/>
              <w:rPr>
                <w:rFonts w:cstheme="minorHAnsi"/>
              </w:rPr>
            </w:pPr>
            <w:r w:rsidRPr="00112AA8">
              <w:rPr>
                <w:rFonts w:cstheme="minorHAnsi"/>
              </w:rPr>
              <w:t>0</w:t>
            </w:r>
          </w:p>
        </w:tc>
        <w:tc>
          <w:tcPr>
            <w:tcW w:w="1710" w:type="dxa"/>
            <w:tcBorders>
              <w:bottom w:val="single" w:sz="4" w:space="0" w:color="auto"/>
            </w:tcBorders>
            <w:hideMark/>
          </w:tcPr>
          <w:p w14:paraId="00D4C72D" w14:textId="77777777" w:rsidR="00C00A4A" w:rsidRPr="00112AA8" w:rsidRDefault="00C00A4A" w:rsidP="00C00A4A">
            <w:pPr>
              <w:jc w:val="right"/>
              <w:rPr>
                <w:rFonts w:cstheme="minorHAnsi"/>
              </w:rPr>
            </w:pPr>
            <w:r w:rsidRPr="00112AA8">
              <w:rPr>
                <w:rFonts w:cstheme="minorHAnsi"/>
              </w:rPr>
              <w:t>22,001</w:t>
            </w:r>
          </w:p>
        </w:tc>
      </w:tr>
    </w:tbl>
    <w:p w14:paraId="087F990A" w14:textId="77777777" w:rsidR="00C00A4A" w:rsidRPr="00112AA8" w:rsidRDefault="00C00A4A" w:rsidP="00C00A4A">
      <w:pPr>
        <w:rPr>
          <w:rFonts w:cstheme="minorHAnsi"/>
        </w:rPr>
      </w:pPr>
    </w:p>
    <w:p w14:paraId="221ECD5B" w14:textId="516A3969" w:rsidR="00C00A4A" w:rsidRPr="00112AA8" w:rsidRDefault="00685D41" w:rsidP="00685D41">
      <w:pPr>
        <w:pStyle w:val="ListParagraph"/>
        <w:numPr>
          <w:ilvl w:val="0"/>
          <w:numId w:val="1"/>
        </w:numPr>
        <w:rPr>
          <w:rFonts w:cstheme="minorHAnsi"/>
        </w:rPr>
      </w:pPr>
      <w:r w:rsidRPr="00112AA8">
        <w:rPr>
          <w:rFonts w:cstheme="minorHAnsi"/>
        </w:rPr>
        <w:t xml:space="preserve"> The figure below shows uncompensated care costs over time by for profit and non-profit status.</w:t>
      </w:r>
    </w:p>
    <w:p w14:paraId="559E6B0C" w14:textId="3A6F5D30" w:rsidR="00685D41" w:rsidRPr="00112AA8" w:rsidRDefault="00685D41" w:rsidP="00685D41">
      <w:pPr>
        <w:pStyle w:val="ListParagraph"/>
        <w:rPr>
          <w:rFonts w:cstheme="minorHAnsi"/>
        </w:rPr>
      </w:pPr>
      <w:r w:rsidRPr="00112AA8">
        <w:rPr>
          <w:rFonts w:cstheme="minorHAnsi"/>
          <w:noProof/>
        </w:rPr>
        <w:drawing>
          <wp:inline distT="0" distB="0" distL="0" distR="0" wp14:anchorId="5D56C3F1" wp14:editId="130E1C4D">
            <wp:extent cx="4224209" cy="3379367"/>
            <wp:effectExtent l="0" t="0" r="508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8"/>
                    <a:stretch>
                      <a:fillRect/>
                    </a:stretch>
                  </pic:blipFill>
                  <pic:spPr bwMode="auto">
                    <a:xfrm>
                      <a:off x="0" y="0"/>
                      <a:ext cx="4243711" cy="3394968"/>
                    </a:xfrm>
                    <a:prstGeom prst="rect">
                      <a:avLst/>
                    </a:prstGeom>
                    <a:noFill/>
                    <a:ln w="9525">
                      <a:noFill/>
                      <a:headEnd/>
                      <a:tailEnd/>
                    </a:ln>
                  </pic:spPr>
                </pic:pic>
              </a:graphicData>
            </a:graphic>
          </wp:inline>
        </w:drawing>
      </w:r>
    </w:p>
    <w:p w14:paraId="59E14B34" w14:textId="441EBB02" w:rsidR="00895E60" w:rsidRPr="00112AA8" w:rsidRDefault="00E11174" w:rsidP="008B0584">
      <w:pPr>
        <w:pStyle w:val="ListParagraph"/>
        <w:numPr>
          <w:ilvl w:val="0"/>
          <w:numId w:val="1"/>
        </w:numPr>
        <w:rPr>
          <w:rFonts w:cstheme="minorHAnsi"/>
        </w:rPr>
      </w:pPr>
      <w:r w:rsidRPr="00112AA8">
        <w:rPr>
          <w:rFonts w:cstheme="minorHAnsi"/>
        </w:rPr>
        <w:t xml:space="preserve"> </w:t>
      </w:r>
      <w:r w:rsidR="004225A4" w:rsidRPr="00112AA8">
        <w:rPr>
          <w:rFonts w:cstheme="minorHAnsi"/>
        </w:rPr>
        <w:t xml:space="preserve">The following table shows the average effect of </w:t>
      </w:r>
      <w:r w:rsidR="00FA7425" w:rsidRPr="00112AA8">
        <w:rPr>
          <w:rFonts w:cstheme="minorHAnsi"/>
        </w:rPr>
        <w:t>Medicaid expansion on uncompensated care costs, as estimated by a two-way fixed effects model. The estimated effects are all relatively similar to each other, ranging from a decrease of 4.30 to 5.30 million dollars.</w:t>
      </w:r>
    </w:p>
    <w:tbl>
      <w:tblPr>
        <w:tblStyle w:val="Table"/>
        <w:tblW w:w="0" w:type="auto"/>
        <w:jc w:val="center"/>
        <w:tblInd w:w="0" w:type="dxa"/>
        <w:tblCellMar>
          <w:left w:w="115" w:type="dxa"/>
          <w:right w:w="115" w:type="dxa"/>
        </w:tblCellMar>
        <w:tblLook w:val="0420" w:firstRow="1" w:lastRow="0" w:firstColumn="0" w:lastColumn="0" w:noHBand="0" w:noVBand="1"/>
      </w:tblPr>
      <w:tblGrid>
        <w:gridCol w:w="1203"/>
        <w:gridCol w:w="1561"/>
        <w:gridCol w:w="1561"/>
        <w:gridCol w:w="1561"/>
        <w:gridCol w:w="1562"/>
      </w:tblGrid>
      <w:tr w:rsidR="00E11174" w:rsidRPr="00112AA8" w14:paraId="2201A9FC" w14:textId="77777777" w:rsidTr="00E11174">
        <w:trPr>
          <w:cnfStyle w:val="100000000000" w:firstRow="1" w:lastRow="0" w:firstColumn="0" w:lastColumn="0" w:oddVBand="0" w:evenVBand="0" w:oddHBand="0" w:evenHBand="0" w:firstRowFirstColumn="0" w:firstRowLastColumn="0" w:lastRowFirstColumn="0" w:lastRowLastColumn="0"/>
          <w:cantSplit/>
          <w:tblHeader/>
          <w:jc w:val="center"/>
        </w:trPr>
        <w:tc>
          <w:tcPr>
            <w:tcW w:w="120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F263C8C" w14:textId="141716AB" w:rsidR="00E11174" w:rsidRPr="00112AA8" w:rsidRDefault="00E11174">
            <w:pPr>
              <w:keepNext/>
              <w:spacing w:before="100" w:after="100"/>
              <w:ind w:left="100" w:right="100"/>
              <w:rPr>
                <w:rFonts w:cstheme="minorHAnsi"/>
              </w:rPr>
            </w:pPr>
          </w:p>
        </w:tc>
        <w:tc>
          <w:tcPr>
            <w:tcW w:w="156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ED989B"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b/>
                <w:color w:val="000000"/>
                <w:sz w:val="22"/>
                <w:szCs w:val="22"/>
              </w:rPr>
              <w:t>All Expansions</w:t>
            </w:r>
          </w:p>
        </w:tc>
        <w:tc>
          <w:tcPr>
            <w:tcW w:w="156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E0452AB"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b/>
                <w:color w:val="000000"/>
                <w:sz w:val="22"/>
                <w:szCs w:val="22"/>
              </w:rPr>
              <w:t>2014 Expanders</w:t>
            </w:r>
          </w:p>
        </w:tc>
        <w:tc>
          <w:tcPr>
            <w:tcW w:w="156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6E43439"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b/>
                <w:color w:val="000000"/>
                <w:sz w:val="22"/>
                <w:szCs w:val="22"/>
              </w:rPr>
              <w:t>2015 Expanders</w:t>
            </w:r>
          </w:p>
        </w:tc>
        <w:tc>
          <w:tcPr>
            <w:tcW w:w="15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BB46133"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b/>
                <w:color w:val="000000"/>
                <w:sz w:val="22"/>
                <w:szCs w:val="22"/>
              </w:rPr>
              <w:t>2016 Expanders</w:t>
            </w:r>
          </w:p>
        </w:tc>
      </w:tr>
      <w:tr w:rsidR="00E11174" w:rsidRPr="00112AA8" w14:paraId="1EB508F7" w14:textId="77777777" w:rsidTr="00E11174">
        <w:trPr>
          <w:cantSplit/>
          <w:jc w:val="center"/>
        </w:trPr>
        <w:tc>
          <w:tcPr>
            <w:tcW w:w="1203"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34E2F4D3" w14:textId="77777777" w:rsidR="00E11174" w:rsidRPr="00112AA8" w:rsidRDefault="00E11174">
            <w:pPr>
              <w:keepNext/>
              <w:spacing w:before="100" w:after="100"/>
              <w:ind w:left="100" w:right="100"/>
              <w:rPr>
                <w:rFonts w:cstheme="minorHAnsi"/>
              </w:rPr>
            </w:pPr>
            <w:r w:rsidRPr="00112AA8">
              <w:rPr>
                <w:rFonts w:eastAsia="Arial" w:cstheme="minorHAnsi"/>
                <w:color w:val="000000"/>
                <w:sz w:val="22"/>
                <w:szCs w:val="22"/>
              </w:rPr>
              <w:t>Treatment</w:t>
            </w:r>
          </w:p>
        </w:tc>
        <w:tc>
          <w:tcPr>
            <w:tcW w:w="1561"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01D7190C"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-4.90</w:t>
            </w:r>
          </w:p>
        </w:tc>
        <w:tc>
          <w:tcPr>
            <w:tcW w:w="1561"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33E8A565"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-5.09</w:t>
            </w:r>
          </w:p>
        </w:tc>
        <w:tc>
          <w:tcPr>
            <w:tcW w:w="1561"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7F1DEAD5"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-4.39</w:t>
            </w:r>
          </w:p>
        </w:tc>
        <w:tc>
          <w:tcPr>
            <w:tcW w:w="1562"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39C6E7BD"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-5.30</w:t>
            </w:r>
          </w:p>
        </w:tc>
      </w:tr>
      <w:tr w:rsidR="00E11174" w:rsidRPr="00112AA8" w14:paraId="3E60B5C8" w14:textId="77777777" w:rsidTr="00FA7425">
        <w:trPr>
          <w:cantSplit/>
          <w:jc w:val="center"/>
        </w:trPr>
        <w:tc>
          <w:tcPr>
            <w:tcW w:w="1203" w:type="dxa"/>
            <w:tcBorders>
              <w:top w:val="nil"/>
              <w:left w:val="nil"/>
              <w:right w:val="nil"/>
            </w:tcBorders>
            <w:shd w:val="clear" w:color="auto" w:fill="FFFFFF"/>
            <w:tcMar>
              <w:top w:w="0" w:type="dxa"/>
              <w:left w:w="0" w:type="dxa"/>
              <w:bottom w:w="0" w:type="dxa"/>
              <w:right w:w="0" w:type="dxa"/>
            </w:tcMar>
            <w:vAlign w:val="center"/>
          </w:tcPr>
          <w:p w14:paraId="2225B443" w14:textId="77777777" w:rsidR="00E11174" w:rsidRPr="00112AA8" w:rsidRDefault="00E11174">
            <w:pPr>
              <w:keepNext/>
              <w:spacing w:before="100" w:after="100"/>
              <w:ind w:left="100" w:right="100"/>
              <w:rPr>
                <w:rFonts w:cstheme="minorHAnsi"/>
              </w:rPr>
            </w:pPr>
          </w:p>
        </w:tc>
        <w:tc>
          <w:tcPr>
            <w:tcW w:w="1561" w:type="dxa"/>
            <w:tcBorders>
              <w:top w:val="nil"/>
              <w:left w:val="nil"/>
              <w:right w:val="nil"/>
            </w:tcBorders>
            <w:shd w:val="clear" w:color="auto" w:fill="FFFFFF"/>
            <w:tcMar>
              <w:top w:w="0" w:type="dxa"/>
              <w:left w:w="0" w:type="dxa"/>
              <w:bottom w:w="0" w:type="dxa"/>
              <w:right w:w="0" w:type="dxa"/>
            </w:tcMar>
            <w:vAlign w:val="center"/>
            <w:hideMark/>
          </w:tcPr>
          <w:p w14:paraId="1B814196"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(0.80)</w:t>
            </w:r>
          </w:p>
        </w:tc>
        <w:tc>
          <w:tcPr>
            <w:tcW w:w="1561" w:type="dxa"/>
            <w:tcBorders>
              <w:top w:val="nil"/>
              <w:left w:val="nil"/>
              <w:right w:val="nil"/>
            </w:tcBorders>
            <w:shd w:val="clear" w:color="auto" w:fill="FFFFFF"/>
            <w:tcMar>
              <w:top w:w="0" w:type="dxa"/>
              <w:left w:w="0" w:type="dxa"/>
              <w:bottom w:w="0" w:type="dxa"/>
              <w:right w:w="0" w:type="dxa"/>
            </w:tcMar>
            <w:vAlign w:val="center"/>
            <w:hideMark/>
          </w:tcPr>
          <w:p w14:paraId="48BDE9C3"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(0.90)</w:t>
            </w:r>
          </w:p>
        </w:tc>
        <w:tc>
          <w:tcPr>
            <w:tcW w:w="1561" w:type="dxa"/>
            <w:tcBorders>
              <w:top w:val="nil"/>
              <w:left w:val="nil"/>
              <w:right w:val="nil"/>
            </w:tcBorders>
            <w:shd w:val="clear" w:color="auto" w:fill="FFFFFF"/>
            <w:tcMar>
              <w:top w:w="0" w:type="dxa"/>
              <w:left w:w="0" w:type="dxa"/>
              <w:bottom w:w="0" w:type="dxa"/>
              <w:right w:w="0" w:type="dxa"/>
            </w:tcMar>
            <w:vAlign w:val="center"/>
            <w:hideMark/>
          </w:tcPr>
          <w:p w14:paraId="38BDC89D"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(1.14)</w:t>
            </w:r>
          </w:p>
        </w:tc>
        <w:tc>
          <w:tcPr>
            <w:tcW w:w="1562" w:type="dxa"/>
            <w:tcBorders>
              <w:top w:val="nil"/>
              <w:left w:val="nil"/>
              <w:right w:val="nil"/>
            </w:tcBorders>
            <w:shd w:val="clear" w:color="auto" w:fill="FFFFFF"/>
            <w:tcMar>
              <w:top w:w="0" w:type="dxa"/>
              <w:left w:w="0" w:type="dxa"/>
              <w:bottom w:w="0" w:type="dxa"/>
              <w:right w:w="0" w:type="dxa"/>
            </w:tcMar>
            <w:vAlign w:val="center"/>
            <w:hideMark/>
          </w:tcPr>
          <w:p w14:paraId="63C602A7" w14:textId="77777777"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(0.89)</w:t>
            </w:r>
          </w:p>
        </w:tc>
      </w:tr>
      <w:tr w:rsidR="00E11174" w:rsidRPr="00112AA8" w14:paraId="1FD6F72A" w14:textId="77777777" w:rsidTr="00FA7425">
        <w:trPr>
          <w:cantSplit/>
          <w:jc w:val="center"/>
        </w:trPr>
        <w:tc>
          <w:tcPr>
            <w:tcW w:w="1203"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1F2A8FD3" w14:textId="505CD2FD" w:rsidR="00E11174" w:rsidRPr="00112AA8" w:rsidRDefault="00E11174">
            <w:pPr>
              <w:keepNext/>
              <w:spacing w:before="100" w:after="100"/>
              <w:ind w:left="100" w:right="100"/>
              <w:rPr>
                <w:rFonts w:cstheme="minorHAnsi"/>
              </w:rPr>
            </w:pPr>
            <w:r w:rsidRPr="00112AA8">
              <w:rPr>
                <w:rFonts w:eastAsia="Arial" w:cstheme="minorHAnsi"/>
                <w:color w:val="000000"/>
                <w:sz w:val="22"/>
                <w:szCs w:val="22"/>
              </w:rPr>
              <w:t>N</w:t>
            </w:r>
          </w:p>
        </w:tc>
        <w:tc>
          <w:tcPr>
            <w:tcW w:w="1561"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3EDC6725" w14:textId="54CD6108"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42</w:t>
            </w:r>
            <w:r w:rsidRPr="00112AA8">
              <w:rPr>
                <w:rFonts w:eastAsia="Arial" w:cstheme="minorHAnsi"/>
                <w:color w:val="000000"/>
                <w:sz w:val="22"/>
                <w:szCs w:val="22"/>
              </w:rPr>
              <w:t>,</w:t>
            </w:r>
            <w:r w:rsidRPr="00112AA8">
              <w:rPr>
                <w:rFonts w:eastAsia="Arial" w:cstheme="minorHAnsi"/>
                <w:color w:val="000000"/>
                <w:sz w:val="22"/>
                <w:szCs w:val="22"/>
              </w:rPr>
              <w:t>299</w:t>
            </w:r>
          </w:p>
        </w:tc>
        <w:tc>
          <w:tcPr>
            <w:tcW w:w="1561"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286DD9F3" w14:textId="6610519C"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37</w:t>
            </w:r>
            <w:r w:rsidRPr="00112AA8">
              <w:rPr>
                <w:rFonts w:eastAsia="Arial" w:cstheme="minorHAnsi"/>
                <w:color w:val="000000"/>
                <w:sz w:val="22"/>
                <w:szCs w:val="22"/>
              </w:rPr>
              <w:t>,</w:t>
            </w:r>
            <w:r w:rsidRPr="00112AA8">
              <w:rPr>
                <w:rFonts w:eastAsia="Arial" w:cstheme="minorHAnsi"/>
                <w:color w:val="000000"/>
                <w:sz w:val="22"/>
                <w:szCs w:val="22"/>
              </w:rPr>
              <w:t>035</w:t>
            </w:r>
          </w:p>
        </w:tc>
        <w:tc>
          <w:tcPr>
            <w:tcW w:w="1561"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194EFB26" w14:textId="1B17C87B"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20</w:t>
            </w:r>
            <w:r w:rsidRPr="00112AA8">
              <w:rPr>
                <w:rFonts w:eastAsia="Arial" w:cstheme="minorHAnsi"/>
                <w:color w:val="000000"/>
                <w:sz w:val="22"/>
                <w:szCs w:val="22"/>
              </w:rPr>
              <w:t>,</w:t>
            </w:r>
            <w:r w:rsidRPr="00112AA8">
              <w:rPr>
                <w:rFonts w:eastAsia="Arial" w:cstheme="minorHAnsi"/>
                <w:color w:val="000000"/>
                <w:sz w:val="22"/>
                <w:szCs w:val="22"/>
              </w:rPr>
              <w:t>461</w:t>
            </w:r>
          </w:p>
        </w:tc>
        <w:tc>
          <w:tcPr>
            <w:tcW w:w="1562"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0605994E" w14:textId="7A72E55B" w:rsidR="00E11174" w:rsidRPr="00112AA8" w:rsidRDefault="00E11174" w:rsidP="00E11174">
            <w:pPr>
              <w:keepNext/>
              <w:spacing w:before="100" w:after="100"/>
              <w:ind w:left="100" w:right="100"/>
              <w:jc w:val="center"/>
              <w:rPr>
                <w:rFonts w:cstheme="minorHAnsi"/>
              </w:rPr>
            </w:pPr>
            <w:r w:rsidRPr="00112AA8">
              <w:rPr>
                <w:rFonts w:eastAsia="Arial" w:cstheme="minorHAnsi"/>
                <w:color w:val="000000"/>
                <w:sz w:val="22"/>
                <w:szCs w:val="22"/>
              </w:rPr>
              <w:t>18</w:t>
            </w:r>
            <w:r w:rsidRPr="00112AA8">
              <w:rPr>
                <w:rFonts w:eastAsia="Arial" w:cstheme="minorHAnsi"/>
                <w:color w:val="000000"/>
                <w:sz w:val="22"/>
                <w:szCs w:val="22"/>
              </w:rPr>
              <w:t>,</w:t>
            </w:r>
            <w:r w:rsidRPr="00112AA8">
              <w:rPr>
                <w:rFonts w:eastAsia="Arial" w:cstheme="minorHAnsi"/>
                <w:color w:val="000000"/>
                <w:sz w:val="22"/>
                <w:szCs w:val="22"/>
              </w:rPr>
              <w:t>888</w:t>
            </w:r>
          </w:p>
        </w:tc>
      </w:tr>
      <w:tr w:rsidR="00FA7425" w:rsidRPr="00112AA8" w14:paraId="0479C772" w14:textId="77777777" w:rsidTr="00FA7425">
        <w:trPr>
          <w:cantSplit/>
          <w:jc w:val="center"/>
        </w:trPr>
        <w:tc>
          <w:tcPr>
            <w:tcW w:w="7448" w:type="dxa"/>
            <w:gridSpan w:val="5"/>
            <w:tcBorders>
              <w:top w:val="single" w:sz="4" w:space="0" w:color="auto"/>
              <w:left w:val="nil"/>
              <w:bottom w:val="nil"/>
              <w:right w:val="nil"/>
            </w:tcBorders>
            <w:shd w:val="clear" w:color="auto" w:fill="FFFFFF"/>
            <w:tcMar>
              <w:top w:w="0" w:type="dxa"/>
              <w:left w:w="0" w:type="dxa"/>
              <w:bottom w:w="0" w:type="dxa"/>
              <w:right w:w="0" w:type="dxa"/>
            </w:tcMar>
            <w:vAlign w:val="center"/>
          </w:tcPr>
          <w:p w14:paraId="29643609" w14:textId="62183F3B" w:rsidR="00FA7425" w:rsidRPr="00112AA8" w:rsidRDefault="00FA7425" w:rsidP="00FA7425">
            <w:pPr>
              <w:keepNext/>
              <w:spacing w:before="100" w:after="100"/>
              <w:ind w:left="100" w:right="100"/>
              <w:rPr>
                <w:rFonts w:eastAsia="Arial" w:cstheme="minorHAnsi"/>
                <w:i/>
                <w:color w:val="000000"/>
              </w:rPr>
            </w:pPr>
            <w:r w:rsidRPr="00112AA8">
              <w:rPr>
                <w:rFonts w:eastAsia="Arial" w:cstheme="minorHAnsi"/>
                <w:i/>
                <w:color w:val="000000"/>
                <w:sz w:val="22"/>
              </w:rPr>
              <w:t>Effect in millions ($) with standard errors in parentheses</w:t>
            </w:r>
          </w:p>
        </w:tc>
      </w:tr>
    </w:tbl>
    <w:p w14:paraId="67EA71D3" w14:textId="177EEF14" w:rsidR="00E11174" w:rsidRPr="00112AA8" w:rsidRDefault="00E11174" w:rsidP="00E11174">
      <w:pPr>
        <w:pStyle w:val="ListParagraph"/>
        <w:rPr>
          <w:rFonts w:cstheme="minorHAnsi"/>
        </w:rPr>
      </w:pPr>
    </w:p>
    <w:p w14:paraId="5F856B5B" w14:textId="11967896" w:rsidR="00112AA8" w:rsidRPr="00112AA8" w:rsidRDefault="00112AA8" w:rsidP="00112AA8">
      <w:pPr>
        <w:pStyle w:val="ListParagraph"/>
        <w:numPr>
          <w:ilvl w:val="0"/>
          <w:numId w:val="1"/>
        </w:numPr>
        <w:rPr>
          <w:rFonts w:cstheme="minorHAnsi"/>
        </w:rPr>
      </w:pPr>
      <w:r w:rsidRPr="00112AA8">
        <w:rPr>
          <w:rFonts w:cstheme="minorHAnsi"/>
        </w:rPr>
        <w:t>The results of two event study analyses, one including all hospitals and one excluding hospitals from states that expanded after 2014, are presented below</w:t>
      </w:r>
      <w:r>
        <w:rPr>
          <w:rFonts w:cstheme="minorHAnsi"/>
        </w:rPr>
        <w:t>.</w:t>
      </w:r>
      <w:r w:rsidR="007218FA">
        <w:rPr>
          <w:rFonts w:cstheme="minorHAnsi"/>
        </w:rPr>
        <w:t xml:space="preserve"> While the point estimates differ slightly, both models show similar patterns. Both show some evidence of a decreasing trend in the treatment group two years prior to expansion and larger, significant decreases in uncompensated care in all years following expansion.</w:t>
      </w:r>
    </w:p>
    <w:tbl>
      <w:tblPr>
        <w:tblW w:w="0" w:type="auto"/>
        <w:jc w:val="center"/>
        <w:tblLayout w:type="fixed"/>
        <w:tblLook w:val="0420" w:firstRow="1" w:lastRow="0" w:firstColumn="0" w:lastColumn="0" w:noHBand="0" w:noVBand="1"/>
      </w:tblPr>
      <w:tblGrid>
        <w:gridCol w:w="1170"/>
        <w:gridCol w:w="1170"/>
        <w:gridCol w:w="1080"/>
      </w:tblGrid>
      <w:tr w:rsidR="007218FA" w:rsidRPr="00112AA8" w14:paraId="773CD5EB" w14:textId="77777777" w:rsidTr="007218FA">
        <w:trPr>
          <w:tblHeader/>
          <w:jc w:val="center"/>
        </w:trPr>
        <w:tc>
          <w:tcPr>
            <w:tcW w:w="117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0D1E961" w14:textId="53A51820" w:rsidR="007218FA" w:rsidRPr="00112AA8" w:rsidRDefault="007218FA" w:rsidP="007218FA">
            <w:pPr>
              <w:spacing w:after="0"/>
              <w:jc w:val="center"/>
              <w:rPr>
                <w:rFonts w:cstheme="minorHAnsi"/>
                <w:b/>
              </w:rPr>
            </w:pPr>
            <w:r w:rsidRPr="00112AA8">
              <w:rPr>
                <w:rFonts w:cstheme="minorHAnsi"/>
                <w:b/>
              </w:rPr>
              <w:t>Year Relative to Expansion</w:t>
            </w:r>
          </w:p>
        </w:tc>
        <w:tc>
          <w:tcPr>
            <w:tcW w:w="117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FF2EA09" w14:textId="7591707A" w:rsidR="007218FA" w:rsidRPr="00112AA8" w:rsidRDefault="007218FA" w:rsidP="007218FA">
            <w:pPr>
              <w:spacing w:after="0"/>
              <w:jc w:val="center"/>
              <w:rPr>
                <w:rFonts w:cstheme="minorHAnsi"/>
                <w:b/>
              </w:rPr>
            </w:pPr>
            <w:r w:rsidRPr="00112AA8">
              <w:rPr>
                <w:rFonts w:eastAsia="Arial" w:cstheme="minorHAnsi"/>
                <w:b/>
                <w:color w:val="000000"/>
              </w:rPr>
              <w:t>All Expansions</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090CCC" w14:textId="421CF45D" w:rsidR="007218FA" w:rsidRPr="00112AA8" w:rsidRDefault="007218FA" w:rsidP="007218FA">
            <w:pPr>
              <w:spacing w:after="0"/>
              <w:jc w:val="center"/>
              <w:rPr>
                <w:rFonts w:cstheme="minorHAnsi"/>
                <w:b/>
              </w:rPr>
            </w:pPr>
            <w:r w:rsidRPr="00112AA8">
              <w:rPr>
                <w:rFonts w:eastAsia="Arial" w:cstheme="minorHAnsi"/>
                <w:b/>
                <w:color w:val="000000"/>
              </w:rPr>
              <w:t>2014 Expanders</w:t>
            </w:r>
          </w:p>
        </w:tc>
      </w:tr>
      <w:tr w:rsidR="00112AA8" w:rsidRPr="00112AA8" w14:paraId="3162A944" w14:textId="77777777" w:rsidTr="007218FA">
        <w:trPr>
          <w:jc w:val="center"/>
        </w:trPr>
        <w:tc>
          <w:tcPr>
            <w:tcW w:w="117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73E79EDD" w14:textId="77777777" w:rsidR="00112AA8" w:rsidRPr="00112AA8" w:rsidRDefault="00112AA8" w:rsidP="00112AA8">
            <w:pPr>
              <w:spacing w:after="0"/>
              <w:rPr>
                <w:rFonts w:cstheme="minorHAnsi"/>
              </w:rPr>
            </w:pPr>
            <w:r w:rsidRPr="00112AA8">
              <w:rPr>
                <w:rFonts w:cstheme="minorHAnsi"/>
              </w:rPr>
              <w:t>-5</w:t>
            </w:r>
          </w:p>
        </w:tc>
        <w:tc>
          <w:tcPr>
            <w:tcW w:w="117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17C6864A" w14:textId="77777777" w:rsidR="00112AA8" w:rsidRPr="00112AA8" w:rsidRDefault="00112AA8" w:rsidP="00112AA8">
            <w:pPr>
              <w:jc w:val="center"/>
              <w:rPr>
                <w:rFonts w:cstheme="minorHAnsi"/>
              </w:rPr>
            </w:pPr>
            <w:r w:rsidRPr="00112AA8">
              <w:rPr>
                <w:rFonts w:cstheme="minorHAnsi"/>
              </w:rPr>
              <w:t>0.73</w:t>
            </w:r>
          </w:p>
        </w:tc>
        <w:tc>
          <w:tcPr>
            <w:tcW w:w="108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361A7E0E" w14:textId="77777777" w:rsidR="00112AA8" w:rsidRPr="00112AA8" w:rsidRDefault="00112AA8" w:rsidP="00112AA8">
            <w:pPr>
              <w:jc w:val="center"/>
              <w:rPr>
                <w:rFonts w:cstheme="minorHAnsi"/>
              </w:rPr>
            </w:pPr>
            <w:r w:rsidRPr="00112AA8">
              <w:rPr>
                <w:rFonts w:cstheme="minorHAnsi"/>
              </w:rPr>
              <w:t>0.95</w:t>
            </w:r>
          </w:p>
        </w:tc>
      </w:tr>
      <w:tr w:rsidR="00112AA8" w:rsidRPr="00112AA8" w14:paraId="0D24CF12"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tcPr>
          <w:p w14:paraId="310468CD" w14:textId="77777777" w:rsidR="00112AA8" w:rsidRPr="00112AA8" w:rsidRDefault="00112AA8" w:rsidP="00112AA8">
            <w:pPr>
              <w:spacing w:after="0"/>
              <w:rPr>
                <w:rFonts w:cstheme="minorHAnsi"/>
              </w:rPr>
            </w:pP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113544CF" w14:textId="77777777" w:rsidR="00112AA8" w:rsidRPr="00112AA8" w:rsidRDefault="00112AA8" w:rsidP="00112AA8">
            <w:pPr>
              <w:jc w:val="center"/>
              <w:rPr>
                <w:rFonts w:cstheme="minorHAnsi"/>
              </w:rPr>
            </w:pPr>
            <w:r w:rsidRPr="00112AA8">
              <w:rPr>
                <w:rFonts w:cstheme="minorHAnsi"/>
              </w:rPr>
              <w:t>(0.84)</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439D85DA" w14:textId="77777777" w:rsidR="00112AA8" w:rsidRPr="00112AA8" w:rsidRDefault="00112AA8" w:rsidP="00112AA8">
            <w:pPr>
              <w:jc w:val="center"/>
              <w:rPr>
                <w:rFonts w:cstheme="minorHAnsi"/>
              </w:rPr>
            </w:pPr>
            <w:r w:rsidRPr="00112AA8">
              <w:rPr>
                <w:rFonts w:cstheme="minorHAnsi"/>
              </w:rPr>
              <w:t>(0.92)</w:t>
            </w:r>
          </w:p>
        </w:tc>
      </w:tr>
      <w:tr w:rsidR="00112AA8" w:rsidRPr="00112AA8" w14:paraId="62B66DBA"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582894F8" w14:textId="77777777" w:rsidR="00112AA8" w:rsidRPr="00112AA8" w:rsidRDefault="00112AA8" w:rsidP="00112AA8">
            <w:pPr>
              <w:spacing w:after="0"/>
              <w:rPr>
                <w:rFonts w:cstheme="minorHAnsi"/>
              </w:rPr>
            </w:pPr>
            <w:r w:rsidRPr="00112AA8">
              <w:rPr>
                <w:rFonts w:cstheme="minorHAnsi"/>
              </w:rPr>
              <w:t>-4</w:t>
            </w: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27E7C71C" w14:textId="77777777" w:rsidR="00112AA8" w:rsidRPr="00112AA8" w:rsidRDefault="00112AA8" w:rsidP="00112AA8">
            <w:pPr>
              <w:jc w:val="center"/>
              <w:rPr>
                <w:rFonts w:cstheme="minorHAnsi"/>
              </w:rPr>
            </w:pPr>
            <w:r w:rsidRPr="00112AA8">
              <w:rPr>
                <w:rFonts w:cstheme="minorHAnsi"/>
              </w:rPr>
              <w:t>-0.16</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01CE4EEC" w14:textId="77777777" w:rsidR="00112AA8" w:rsidRPr="00112AA8" w:rsidRDefault="00112AA8" w:rsidP="00112AA8">
            <w:pPr>
              <w:jc w:val="center"/>
              <w:rPr>
                <w:rFonts w:cstheme="minorHAnsi"/>
              </w:rPr>
            </w:pPr>
            <w:r w:rsidRPr="00112AA8">
              <w:rPr>
                <w:rFonts w:cstheme="minorHAnsi"/>
              </w:rPr>
              <w:t>-0.23</w:t>
            </w:r>
          </w:p>
        </w:tc>
      </w:tr>
      <w:tr w:rsidR="00112AA8" w:rsidRPr="00112AA8" w14:paraId="2B9F7952"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tcPr>
          <w:p w14:paraId="0B9C690B" w14:textId="77777777" w:rsidR="00112AA8" w:rsidRPr="00112AA8" w:rsidRDefault="00112AA8" w:rsidP="00112AA8">
            <w:pPr>
              <w:spacing w:after="0"/>
              <w:rPr>
                <w:rFonts w:cstheme="minorHAnsi"/>
              </w:rPr>
            </w:pP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0A7687C4" w14:textId="77777777" w:rsidR="00112AA8" w:rsidRPr="00112AA8" w:rsidRDefault="00112AA8" w:rsidP="00112AA8">
            <w:pPr>
              <w:jc w:val="center"/>
              <w:rPr>
                <w:rFonts w:cstheme="minorHAnsi"/>
              </w:rPr>
            </w:pPr>
            <w:r w:rsidRPr="00112AA8">
              <w:rPr>
                <w:rFonts w:cstheme="minorHAnsi"/>
              </w:rPr>
              <w:t>(0.73)</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00432999" w14:textId="77777777" w:rsidR="00112AA8" w:rsidRPr="00112AA8" w:rsidRDefault="00112AA8" w:rsidP="00112AA8">
            <w:pPr>
              <w:jc w:val="center"/>
              <w:rPr>
                <w:rFonts w:cstheme="minorHAnsi"/>
              </w:rPr>
            </w:pPr>
            <w:r w:rsidRPr="00112AA8">
              <w:rPr>
                <w:rFonts w:cstheme="minorHAnsi"/>
              </w:rPr>
              <w:t>(0.89)</w:t>
            </w:r>
          </w:p>
        </w:tc>
      </w:tr>
      <w:tr w:rsidR="00112AA8" w:rsidRPr="00112AA8" w14:paraId="6BE1305F"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1FFE151C" w14:textId="77777777" w:rsidR="00112AA8" w:rsidRPr="00112AA8" w:rsidRDefault="00112AA8" w:rsidP="00112AA8">
            <w:pPr>
              <w:spacing w:after="0"/>
              <w:rPr>
                <w:rFonts w:cstheme="minorHAnsi"/>
              </w:rPr>
            </w:pPr>
            <w:r w:rsidRPr="00112AA8">
              <w:rPr>
                <w:rFonts w:cstheme="minorHAnsi"/>
              </w:rPr>
              <w:t>-3</w:t>
            </w: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717C9E9F" w14:textId="77777777" w:rsidR="00112AA8" w:rsidRPr="00112AA8" w:rsidRDefault="00112AA8" w:rsidP="00112AA8">
            <w:pPr>
              <w:jc w:val="center"/>
              <w:rPr>
                <w:rFonts w:cstheme="minorHAnsi"/>
              </w:rPr>
            </w:pPr>
            <w:r w:rsidRPr="00112AA8">
              <w:rPr>
                <w:rFonts w:cstheme="minorHAnsi"/>
              </w:rPr>
              <w:t>-0.34</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54DE3697" w14:textId="77777777" w:rsidR="00112AA8" w:rsidRPr="00112AA8" w:rsidRDefault="00112AA8" w:rsidP="00112AA8">
            <w:pPr>
              <w:jc w:val="center"/>
              <w:rPr>
                <w:rFonts w:cstheme="minorHAnsi"/>
              </w:rPr>
            </w:pPr>
            <w:r w:rsidRPr="00112AA8">
              <w:rPr>
                <w:rFonts w:cstheme="minorHAnsi"/>
              </w:rPr>
              <w:t>-0.56</w:t>
            </w:r>
          </w:p>
        </w:tc>
      </w:tr>
      <w:tr w:rsidR="00112AA8" w:rsidRPr="00112AA8" w14:paraId="6E5FC266"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tcPr>
          <w:p w14:paraId="39098D78" w14:textId="77777777" w:rsidR="00112AA8" w:rsidRPr="00112AA8" w:rsidRDefault="00112AA8" w:rsidP="00112AA8">
            <w:pPr>
              <w:spacing w:after="0"/>
              <w:rPr>
                <w:rFonts w:cstheme="minorHAnsi"/>
              </w:rPr>
            </w:pP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3E85103B" w14:textId="77777777" w:rsidR="00112AA8" w:rsidRPr="00112AA8" w:rsidRDefault="00112AA8" w:rsidP="00112AA8">
            <w:pPr>
              <w:jc w:val="center"/>
              <w:rPr>
                <w:rFonts w:cstheme="minorHAnsi"/>
              </w:rPr>
            </w:pPr>
            <w:r w:rsidRPr="00112AA8">
              <w:rPr>
                <w:rFonts w:cstheme="minorHAnsi"/>
              </w:rPr>
              <w:t>(0.52)</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11CC86E5" w14:textId="77777777" w:rsidR="00112AA8" w:rsidRPr="00112AA8" w:rsidRDefault="00112AA8" w:rsidP="00112AA8">
            <w:pPr>
              <w:jc w:val="center"/>
              <w:rPr>
                <w:rFonts w:cstheme="minorHAnsi"/>
              </w:rPr>
            </w:pPr>
            <w:r w:rsidRPr="00112AA8">
              <w:rPr>
                <w:rFonts w:cstheme="minorHAnsi"/>
              </w:rPr>
              <w:t>(0.75)</w:t>
            </w:r>
          </w:p>
        </w:tc>
      </w:tr>
      <w:tr w:rsidR="00112AA8" w:rsidRPr="00112AA8" w14:paraId="6028A4CA"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6AB1C0A2" w14:textId="77777777" w:rsidR="00112AA8" w:rsidRPr="00112AA8" w:rsidRDefault="00112AA8" w:rsidP="00112AA8">
            <w:pPr>
              <w:spacing w:after="0"/>
              <w:rPr>
                <w:rFonts w:cstheme="minorHAnsi"/>
              </w:rPr>
            </w:pPr>
            <w:r w:rsidRPr="00112AA8">
              <w:rPr>
                <w:rFonts w:cstheme="minorHAnsi"/>
              </w:rPr>
              <w:t>-2</w:t>
            </w: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4037F12D" w14:textId="77777777" w:rsidR="00112AA8" w:rsidRPr="00112AA8" w:rsidRDefault="00112AA8" w:rsidP="00112AA8">
            <w:pPr>
              <w:jc w:val="center"/>
              <w:rPr>
                <w:rFonts w:cstheme="minorHAnsi"/>
              </w:rPr>
            </w:pPr>
            <w:r w:rsidRPr="00112AA8">
              <w:rPr>
                <w:rFonts w:cstheme="minorHAnsi"/>
              </w:rPr>
              <w:t>-0.44</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3D2C1B85" w14:textId="77777777" w:rsidR="00112AA8" w:rsidRPr="00112AA8" w:rsidRDefault="00112AA8" w:rsidP="00112AA8">
            <w:pPr>
              <w:jc w:val="center"/>
              <w:rPr>
                <w:rFonts w:cstheme="minorHAnsi"/>
              </w:rPr>
            </w:pPr>
            <w:r w:rsidRPr="00112AA8">
              <w:rPr>
                <w:rFonts w:cstheme="minorHAnsi"/>
              </w:rPr>
              <w:t>-0.80</w:t>
            </w:r>
          </w:p>
        </w:tc>
      </w:tr>
      <w:tr w:rsidR="00112AA8" w:rsidRPr="00112AA8" w14:paraId="65A1EB82"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tcPr>
          <w:p w14:paraId="1246D3AB" w14:textId="77777777" w:rsidR="00112AA8" w:rsidRPr="00112AA8" w:rsidRDefault="00112AA8" w:rsidP="00112AA8">
            <w:pPr>
              <w:spacing w:after="0"/>
              <w:rPr>
                <w:rFonts w:cstheme="minorHAnsi"/>
              </w:rPr>
            </w:pP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42330B62" w14:textId="77777777" w:rsidR="00112AA8" w:rsidRPr="00112AA8" w:rsidRDefault="00112AA8" w:rsidP="00112AA8">
            <w:pPr>
              <w:jc w:val="center"/>
              <w:rPr>
                <w:rFonts w:cstheme="minorHAnsi"/>
              </w:rPr>
            </w:pPr>
            <w:r w:rsidRPr="00112AA8">
              <w:rPr>
                <w:rFonts w:cstheme="minorHAnsi"/>
              </w:rPr>
              <w:t>(0.28)</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3B487449" w14:textId="77777777" w:rsidR="00112AA8" w:rsidRPr="00112AA8" w:rsidRDefault="00112AA8" w:rsidP="00112AA8">
            <w:pPr>
              <w:jc w:val="center"/>
              <w:rPr>
                <w:rFonts w:cstheme="minorHAnsi"/>
              </w:rPr>
            </w:pPr>
            <w:r w:rsidRPr="00112AA8">
              <w:rPr>
                <w:rFonts w:cstheme="minorHAnsi"/>
              </w:rPr>
              <w:t>(0.47)</w:t>
            </w:r>
          </w:p>
        </w:tc>
      </w:tr>
      <w:tr w:rsidR="00112AA8" w:rsidRPr="00112AA8" w14:paraId="5E0EF3EF"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0FD4D603" w14:textId="77777777" w:rsidR="00112AA8" w:rsidRPr="00112AA8" w:rsidRDefault="00112AA8" w:rsidP="00112AA8">
            <w:pPr>
              <w:spacing w:after="0"/>
              <w:rPr>
                <w:rFonts w:cstheme="minorHAnsi"/>
              </w:rPr>
            </w:pPr>
            <w:r w:rsidRPr="00112AA8">
              <w:rPr>
                <w:rFonts w:cstheme="minorHAnsi"/>
              </w:rPr>
              <w:t>0</w:t>
            </w: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7322E743" w14:textId="77777777" w:rsidR="00112AA8" w:rsidRPr="00112AA8" w:rsidRDefault="00112AA8" w:rsidP="00112AA8">
            <w:pPr>
              <w:jc w:val="center"/>
              <w:rPr>
                <w:rFonts w:cstheme="minorHAnsi"/>
              </w:rPr>
            </w:pPr>
            <w:r w:rsidRPr="00112AA8">
              <w:rPr>
                <w:rFonts w:cstheme="minorHAnsi"/>
              </w:rPr>
              <w:t>-2.32</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1D0EDBB2" w14:textId="77777777" w:rsidR="00112AA8" w:rsidRPr="00112AA8" w:rsidRDefault="00112AA8" w:rsidP="00112AA8">
            <w:pPr>
              <w:jc w:val="center"/>
              <w:rPr>
                <w:rFonts w:cstheme="minorHAnsi"/>
              </w:rPr>
            </w:pPr>
            <w:r w:rsidRPr="00112AA8">
              <w:rPr>
                <w:rFonts w:cstheme="minorHAnsi"/>
              </w:rPr>
              <w:t>-2.57</w:t>
            </w:r>
          </w:p>
        </w:tc>
      </w:tr>
      <w:tr w:rsidR="00112AA8" w:rsidRPr="00112AA8" w14:paraId="6B75BE93"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tcPr>
          <w:p w14:paraId="7EB10178" w14:textId="77777777" w:rsidR="00112AA8" w:rsidRPr="00112AA8" w:rsidRDefault="00112AA8" w:rsidP="00112AA8">
            <w:pPr>
              <w:spacing w:after="0"/>
              <w:rPr>
                <w:rFonts w:cstheme="minorHAnsi"/>
              </w:rPr>
            </w:pP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67925D24" w14:textId="77777777" w:rsidR="00112AA8" w:rsidRPr="00112AA8" w:rsidRDefault="00112AA8" w:rsidP="00112AA8">
            <w:pPr>
              <w:jc w:val="center"/>
              <w:rPr>
                <w:rFonts w:cstheme="minorHAnsi"/>
              </w:rPr>
            </w:pPr>
            <w:r w:rsidRPr="00112AA8">
              <w:rPr>
                <w:rFonts w:cstheme="minorHAnsi"/>
              </w:rPr>
              <w:t>(0.46)</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750C145A" w14:textId="77777777" w:rsidR="00112AA8" w:rsidRPr="00112AA8" w:rsidRDefault="00112AA8" w:rsidP="00112AA8">
            <w:pPr>
              <w:jc w:val="center"/>
              <w:rPr>
                <w:rFonts w:cstheme="minorHAnsi"/>
              </w:rPr>
            </w:pPr>
            <w:r w:rsidRPr="00112AA8">
              <w:rPr>
                <w:rFonts w:cstheme="minorHAnsi"/>
              </w:rPr>
              <w:t>(0.50)</w:t>
            </w:r>
          </w:p>
        </w:tc>
      </w:tr>
      <w:tr w:rsidR="00112AA8" w:rsidRPr="00112AA8" w14:paraId="7C9FA9EB"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1F1CED3D" w14:textId="77777777" w:rsidR="00112AA8" w:rsidRPr="00112AA8" w:rsidRDefault="00112AA8" w:rsidP="00112AA8">
            <w:pPr>
              <w:spacing w:after="0"/>
              <w:rPr>
                <w:rFonts w:cstheme="minorHAnsi"/>
              </w:rPr>
            </w:pPr>
            <w:r w:rsidRPr="00112AA8">
              <w:rPr>
                <w:rFonts w:cstheme="minorHAnsi"/>
              </w:rPr>
              <w:t>1</w:t>
            </w: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33C5FCED" w14:textId="77777777" w:rsidR="00112AA8" w:rsidRPr="00112AA8" w:rsidRDefault="00112AA8" w:rsidP="00112AA8">
            <w:pPr>
              <w:jc w:val="center"/>
              <w:rPr>
                <w:rFonts w:cstheme="minorHAnsi"/>
              </w:rPr>
            </w:pPr>
            <w:r w:rsidRPr="00112AA8">
              <w:rPr>
                <w:rFonts w:cstheme="minorHAnsi"/>
              </w:rPr>
              <w:t>-4.23</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4D84D9AD" w14:textId="77777777" w:rsidR="00112AA8" w:rsidRPr="00112AA8" w:rsidRDefault="00112AA8" w:rsidP="00112AA8">
            <w:pPr>
              <w:jc w:val="center"/>
              <w:rPr>
                <w:rFonts w:cstheme="minorHAnsi"/>
              </w:rPr>
            </w:pPr>
            <w:r w:rsidRPr="00112AA8">
              <w:rPr>
                <w:rFonts w:cstheme="minorHAnsi"/>
              </w:rPr>
              <w:t>-3.99</w:t>
            </w:r>
          </w:p>
        </w:tc>
      </w:tr>
      <w:tr w:rsidR="00112AA8" w:rsidRPr="00112AA8" w14:paraId="4FA611A5"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tcPr>
          <w:p w14:paraId="1446A80A" w14:textId="77777777" w:rsidR="00112AA8" w:rsidRPr="00112AA8" w:rsidRDefault="00112AA8" w:rsidP="00112AA8">
            <w:pPr>
              <w:spacing w:after="0"/>
              <w:rPr>
                <w:rFonts w:cstheme="minorHAnsi"/>
              </w:rPr>
            </w:pP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75A95149" w14:textId="77777777" w:rsidR="00112AA8" w:rsidRPr="00112AA8" w:rsidRDefault="00112AA8" w:rsidP="00112AA8">
            <w:pPr>
              <w:jc w:val="center"/>
              <w:rPr>
                <w:rFonts w:cstheme="minorHAnsi"/>
              </w:rPr>
            </w:pPr>
            <w:r w:rsidRPr="00112AA8">
              <w:rPr>
                <w:rFonts w:cstheme="minorHAnsi"/>
              </w:rPr>
              <w:t>(0.61)</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7BA04C8F" w14:textId="77777777" w:rsidR="00112AA8" w:rsidRPr="00112AA8" w:rsidRDefault="00112AA8" w:rsidP="00112AA8">
            <w:pPr>
              <w:jc w:val="center"/>
              <w:rPr>
                <w:rFonts w:cstheme="minorHAnsi"/>
              </w:rPr>
            </w:pPr>
            <w:r w:rsidRPr="00112AA8">
              <w:rPr>
                <w:rFonts w:cstheme="minorHAnsi"/>
              </w:rPr>
              <w:t>(0.66)</w:t>
            </w:r>
          </w:p>
        </w:tc>
      </w:tr>
      <w:tr w:rsidR="00112AA8" w:rsidRPr="00112AA8" w14:paraId="0F78BAA5"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30FFBEFC" w14:textId="77777777" w:rsidR="00112AA8" w:rsidRPr="00112AA8" w:rsidRDefault="00112AA8" w:rsidP="00112AA8">
            <w:pPr>
              <w:spacing w:after="0"/>
              <w:rPr>
                <w:rFonts w:cstheme="minorHAnsi"/>
              </w:rPr>
            </w:pPr>
            <w:r w:rsidRPr="00112AA8">
              <w:rPr>
                <w:rFonts w:cstheme="minorHAnsi"/>
              </w:rPr>
              <w:t>2</w:t>
            </w: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5E4E8D6E" w14:textId="77777777" w:rsidR="00112AA8" w:rsidRPr="00112AA8" w:rsidRDefault="00112AA8" w:rsidP="00112AA8">
            <w:pPr>
              <w:jc w:val="center"/>
              <w:rPr>
                <w:rFonts w:cstheme="minorHAnsi"/>
              </w:rPr>
            </w:pPr>
            <w:r w:rsidRPr="00112AA8">
              <w:rPr>
                <w:rFonts w:cstheme="minorHAnsi"/>
              </w:rPr>
              <w:t>-5.39</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0694A488" w14:textId="77777777" w:rsidR="00112AA8" w:rsidRPr="00112AA8" w:rsidRDefault="00112AA8" w:rsidP="00112AA8">
            <w:pPr>
              <w:jc w:val="center"/>
              <w:rPr>
                <w:rFonts w:cstheme="minorHAnsi"/>
              </w:rPr>
            </w:pPr>
            <w:r w:rsidRPr="00112AA8">
              <w:rPr>
                <w:rFonts w:cstheme="minorHAnsi"/>
              </w:rPr>
              <w:t>-5.53</w:t>
            </w:r>
          </w:p>
        </w:tc>
      </w:tr>
      <w:tr w:rsidR="00112AA8" w:rsidRPr="00112AA8" w14:paraId="2DF07FA9"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tcPr>
          <w:p w14:paraId="259CF920" w14:textId="77777777" w:rsidR="00112AA8" w:rsidRPr="00112AA8" w:rsidRDefault="00112AA8" w:rsidP="00112AA8">
            <w:pPr>
              <w:spacing w:after="0"/>
              <w:rPr>
                <w:rFonts w:cstheme="minorHAnsi"/>
              </w:rPr>
            </w:pP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120E0869" w14:textId="77777777" w:rsidR="00112AA8" w:rsidRPr="00112AA8" w:rsidRDefault="00112AA8" w:rsidP="00112AA8">
            <w:pPr>
              <w:jc w:val="center"/>
              <w:rPr>
                <w:rFonts w:cstheme="minorHAnsi"/>
              </w:rPr>
            </w:pPr>
            <w:r w:rsidRPr="00112AA8">
              <w:rPr>
                <w:rFonts w:cstheme="minorHAnsi"/>
              </w:rPr>
              <w:t>(0.67)</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3F655812" w14:textId="77777777" w:rsidR="00112AA8" w:rsidRPr="00112AA8" w:rsidRDefault="00112AA8" w:rsidP="00112AA8">
            <w:pPr>
              <w:jc w:val="center"/>
              <w:rPr>
                <w:rFonts w:cstheme="minorHAnsi"/>
              </w:rPr>
            </w:pPr>
            <w:r w:rsidRPr="00112AA8">
              <w:rPr>
                <w:rFonts w:cstheme="minorHAnsi"/>
              </w:rPr>
              <w:t>(0.74)</w:t>
            </w:r>
          </w:p>
        </w:tc>
      </w:tr>
      <w:tr w:rsidR="00112AA8" w:rsidRPr="00112AA8" w14:paraId="1A042876"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7E5E370E" w14:textId="77777777" w:rsidR="00112AA8" w:rsidRPr="00112AA8" w:rsidRDefault="00112AA8" w:rsidP="00112AA8">
            <w:pPr>
              <w:spacing w:after="0"/>
              <w:rPr>
                <w:rFonts w:cstheme="minorHAnsi"/>
              </w:rPr>
            </w:pPr>
            <w:r w:rsidRPr="00112AA8">
              <w:rPr>
                <w:rFonts w:cstheme="minorHAnsi"/>
              </w:rPr>
              <w:t>3</w:t>
            </w: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7F730AEB" w14:textId="77777777" w:rsidR="00112AA8" w:rsidRPr="00112AA8" w:rsidRDefault="00112AA8" w:rsidP="00112AA8">
            <w:pPr>
              <w:jc w:val="center"/>
              <w:rPr>
                <w:rFonts w:cstheme="minorHAnsi"/>
              </w:rPr>
            </w:pPr>
            <w:r w:rsidRPr="00112AA8">
              <w:rPr>
                <w:rFonts w:cstheme="minorHAnsi"/>
              </w:rPr>
              <w:t>-5.29</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7B76DCDE" w14:textId="77777777" w:rsidR="00112AA8" w:rsidRPr="00112AA8" w:rsidRDefault="00112AA8" w:rsidP="00112AA8">
            <w:pPr>
              <w:jc w:val="center"/>
              <w:rPr>
                <w:rFonts w:cstheme="minorHAnsi"/>
              </w:rPr>
            </w:pPr>
            <w:r w:rsidRPr="00112AA8">
              <w:rPr>
                <w:rFonts w:cstheme="minorHAnsi"/>
              </w:rPr>
              <w:t>-5.24</w:t>
            </w:r>
          </w:p>
        </w:tc>
      </w:tr>
      <w:tr w:rsidR="00112AA8" w:rsidRPr="00112AA8" w14:paraId="2295FD8D"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tcPr>
          <w:p w14:paraId="2C90FB6E" w14:textId="77777777" w:rsidR="00112AA8" w:rsidRPr="00112AA8" w:rsidRDefault="00112AA8" w:rsidP="00112AA8">
            <w:pPr>
              <w:spacing w:after="0"/>
              <w:rPr>
                <w:rFonts w:cstheme="minorHAnsi"/>
              </w:rPr>
            </w:pP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510A6627" w14:textId="77777777" w:rsidR="00112AA8" w:rsidRPr="00112AA8" w:rsidRDefault="00112AA8" w:rsidP="00112AA8">
            <w:pPr>
              <w:jc w:val="center"/>
              <w:rPr>
                <w:rFonts w:cstheme="minorHAnsi"/>
              </w:rPr>
            </w:pPr>
            <w:r w:rsidRPr="00112AA8">
              <w:rPr>
                <w:rFonts w:cstheme="minorHAnsi"/>
              </w:rPr>
              <w:t>(0.78)</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16FDD30B" w14:textId="77777777" w:rsidR="00112AA8" w:rsidRPr="00112AA8" w:rsidRDefault="00112AA8" w:rsidP="00112AA8">
            <w:pPr>
              <w:jc w:val="center"/>
              <w:rPr>
                <w:rFonts w:cstheme="minorHAnsi"/>
              </w:rPr>
            </w:pPr>
            <w:r w:rsidRPr="00112AA8">
              <w:rPr>
                <w:rFonts w:cstheme="minorHAnsi"/>
              </w:rPr>
              <w:t>(0.94)</w:t>
            </w:r>
          </w:p>
        </w:tc>
      </w:tr>
      <w:tr w:rsidR="00112AA8" w:rsidRPr="00112AA8" w14:paraId="582050D5"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6F2CD8AC" w14:textId="77777777" w:rsidR="00112AA8" w:rsidRPr="00112AA8" w:rsidRDefault="00112AA8" w:rsidP="00112AA8">
            <w:pPr>
              <w:spacing w:after="0"/>
              <w:rPr>
                <w:rFonts w:cstheme="minorHAnsi"/>
              </w:rPr>
            </w:pPr>
            <w:r w:rsidRPr="00112AA8">
              <w:rPr>
                <w:rFonts w:cstheme="minorHAnsi"/>
              </w:rPr>
              <w:t>4</w:t>
            </w: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26811F25" w14:textId="77777777" w:rsidR="00112AA8" w:rsidRPr="00112AA8" w:rsidRDefault="00112AA8" w:rsidP="00112AA8">
            <w:pPr>
              <w:jc w:val="center"/>
              <w:rPr>
                <w:rFonts w:cstheme="minorHAnsi"/>
              </w:rPr>
            </w:pPr>
            <w:r w:rsidRPr="00112AA8">
              <w:rPr>
                <w:rFonts w:cstheme="minorHAnsi"/>
              </w:rPr>
              <w:t>-4.68</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42948E35" w14:textId="77777777" w:rsidR="00112AA8" w:rsidRPr="00112AA8" w:rsidRDefault="00112AA8" w:rsidP="00112AA8">
            <w:pPr>
              <w:jc w:val="center"/>
              <w:rPr>
                <w:rFonts w:cstheme="minorHAnsi"/>
              </w:rPr>
            </w:pPr>
            <w:r w:rsidRPr="00112AA8">
              <w:rPr>
                <w:rFonts w:cstheme="minorHAnsi"/>
              </w:rPr>
              <w:t>-4.12</w:t>
            </w:r>
          </w:p>
        </w:tc>
      </w:tr>
      <w:tr w:rsidR="00112AA8" w:rsidRPr="00112AA8" w14:paraId="6A7DAC38"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tcPr>
          <w:p w14:paraId="6AC9E374" w14:textId="77777777" w:rsidR="00112AA8" w:rsidRPr="00112AA8" w:rsidRDefault="00112AA8" w:rsidP="00112AA8">
            <w:pPr>
              <w:spacing w:after="0"/>
              <w:rPr>
                <w:rFonts w:cstheme="minorHAnsi"/>
              </w:rPr>
            </w:pP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5E27BE71" w14:textId="77777777" w:rsidR="00112AA8" w:rsidRPr="00112AA8" w:rsidRDefault="00112AA8" w:rsidP="00112AA8">
            <w:pPr>
              <w:jc w:val="center"/>
              <w:rPr>
                <w:rFonts w:cstheme="minorHAnsi"/>
              </w:rPr>
            </w:pPr>
            <w:r w:rsidRPr="00112AA8">
              <w:rPr>
                <w:rFonts w:cstheme="minorHAnsi"/>
              </w:rPr>
              <w:t>(1.17)</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35C1E512" w14:textId="77777777" w:rsidR="00112AA8" w:rsidRPr="00112AA8" w:rsidRDefault="00112AA8" w:rsidP="00112AA8">
            <w:pPr>
              <w:jc w:val="center"/>
              <w:rPr>
                <w:rFonts w:cstheme="minorHAnsi"/>
              </w:rPr>
            </w:pPr>
            <w:r w:rsidRPr="00112AA8">
              <w:rPr>
                <w:rFonts w:cstheme="minorHAnsi"/>
              </w:rPr>
              <w:t>(1.34)</w:t>
            </w:r>
          </w:p>
        </w:tc>
      </w:tr>
      <w:tr w:rsidR="00112AA8" w:rsidRPr="00112AA8" w14:paraId="2EED4A64" w14:textId="77777777" w:rsidTr="007218FA">
        <w:trPr>
          <w:jc w:val="center"/>
        </w:trPr>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7244C186" w14:textId="77777777" w:rsidR="00112AA8" w:rsidRPr="00112AA8" w:rsidRDefault="00112AA8" w:rsidP="00112AA8">
            <w:pPr>
              <w:spacing w:after="0"/>
              <w:rPr>
                <w:rFonts w:cstheme="minorHAnsi"/>
              </w:rPr>
            </w:pPr>
            <w:r w:rsidRPr="00112AA8">
              <w:rPr>
                <w:rFonts w:cstheme="minorHAnsi"/>
              </w:rPr>
              <w:t>5</w:t>
            </w:r>
          </w:p>
        </w:tc>
        <w:tc>
          <w:tcPr>
            <w:tcW w:w="1170" w:type="dxa"/>
            <w:tcBorders>
              <w:top w:val="nil"/>
              <w:left w:val="nil"/>
              <w:bottom w:val="nil"/>
              <w:right w:val="nil"/>
            </w:tcBorders>
            <w:shd w:val="clear" w:color="auto" w:fill="FFFFFF"/>
            <w:tcMar>
              <w:top w:w="0" w:type="dxa"/>
              <w:left w:w="0" w:type="dxa"/>
              <w:bottom w:w="0" w:type="dxa"/>
              <w:right w:w="0" w:type="dxa"/>
            </w:tcMar>
            <w:vAlign w:val="center"/>
            <w:hideMark/>
          </w:tcPr>
          <w:p w14:paraId="52C12212" w14:textId="77777777" w:rsidR="00112AA8" w:rsidRPr="00112AA8" w:rsidRDefault="00112AA8" w:rsidP="00112AA8">
            <w:pPr>
              <w:jc w:val="center"/>
              <w:rPr>
                <w:rFonts w:cstheme="minorHAnsi"/>
              </w:rPr>
            </w:pPr>
            <w:r w:rsidRPr="00112AA8">
              <w:rPr>
                <w:rFonts w:cstheme="minorHAnsi"/>
              </w:rPr>
              <w:t>-5.69</w:t>
            </w:r>
          </w:p>
        </w:tc>
        <w:tc>
          <w:tcPr>
            <w:tcW w:w="1080" w:type="dxa"/>
            <w:tcBorders>
              <w:top w:val="nil"/>
              <w:left w:val="nil"/>
              <w:bottom w:val="nil"/>
              <w:right w:val="nil"/>
            </w:tcBorders>
            <w:shd w:val="clear" w:color="auto" w:fill="FFFFFF"/>
            <w:tcMar>
              <w:top w:w="0" w:type="dxa"/>
              <w:left w:w="0" w:type="dxa"/>
              <w:bottom w:w="0" w:type="dxa"/>
              <w:right w:w="0" w:type="dxa"/>
            </w:tcMar>
            <w:vAlign w:val="center"/>
            <w:hideMark/>
          </w:tcPr>
          <w:p w14:paraId="5644F80F" w14:textId="77777777" w:rsidR="00112AA8" w:rsidRPr="00112AA8" w:rsidRDefault="00112AA8" w:rsidP="00112AA8">
            <w:pPr>
              <w:jc w:val="center"/>
              <w:rPr>
                <w:rFonts w:cstheme="minorHAnsi"/>
              </w:rPr>
            </w:pPr>
            <w:r w:rsidRPr="00112AA8">
              <w:rPr>
                <w:rFonts w:cstheme="minorHAnsi"/>
              </w:rPr>
              <w:t>-5.84</w:t>
            </w:r>
          </w:p>
        </w:tc>
      </w:tr>
      <w:tr w:rsidR="00112AA8" w:rsidRPr="00112AA8" w14:paraId="498826BA" w14:textId="77777777" w:rsidTr="00C16A5A">
        <w:trPr>
          <w:jc w:val="center"/>
        </w:trPr>
        <w:tc>
          <w:tcPr>
            <w:tcW w:w="1170" w:type="dxa"/>
            <w:tcBorders>
              <w:top w:val="nil"/>
              <w:left w:val="nil"/>
              <w:right w:val="nil"/>
            </w:tcBorders>
            <w:shd w:val="clear" w:color="auto" w:fill="FFFFFF"/>
            <w:tcMar>
              <w:top w:w="0" w:type="dxa"/>
              <w:left w:w="0" w:type="dxa"/>
              <w:bottom w:w="0" w:type="dxa"/>
              <w:right w:w="0" w:type="dxa"/>
            </w:tcMar>
            <w:vAlign w:val="center"/>
          </w:tcPr>
          <w:p w14:paraId="604BAA3B" w14:textId="77777777" w:rsidR="00112AA8" w:rsidRPr="00112AA8" w:rsidRDefault="00112AA8" w:rsidP="00112AA8">
            <w:pPr>
              <w:spacing w:after="0"/>
              <w:rPr>
                <w:rFonts w:cstheme="minorHAnsi"/>
              </w:rPr>
            </w:pPr>
          </w:p>
        </w:tc>
        <w:tc>
          <w:tcPr>
            <w:tcW w:w="1170" w:type="dxa"/>
            <w:tcBorders>
              <w:top w:val="nil"/>
              <w:left w:val="nil"/>
              <w:right w:val="nil"/>
            </w:tcBorders>
            <w:shd w:val="clear" w:color="auto" w:fill="FFFFFF"/>
            <w:tcMar>
              <w:top w:w="0" w:type="dxa"/>
              <w:left w:w="0" w:type="dxa"/>
              <w:bottom w:w="0" w:type="dxa"/>
              <w:right w:w="0" w:type="dxa"/>
            </w:tcMar>
            <w:vAlign w:val="center"/>
            <w:hideMark/>
          </w:tcPr>
          <w:p w14:paraId="51CE7359" w14:textId="77777777" w:rsidR="00112AA8" w:rsidRPr="00112AA8" w:rsidRDefault="00112AA8" w:rsidP="00112AA8">
            <w:pPr>
              <w:jc w:val="center"/>
              <w:rPr>
                <w:rFonts w:cstheme="minorHAnsi"/>
              </w:rPr>
            </w:pPr>
            <w:r w:rsidRPr="00112AA8">
              <w:rPr>
                <w:rFonts w:cstheme="minorHAnsi"/>
              </w:rPr>
              <w:t>(1.65)</w:t>
            </w:r>
          </w:p>
        </w:tc>
        <w:tc>
          <w:tcPr>
            <w:tcW w:w="1080" w:type="dxa"/>
            <w:tcBorders>
              <w:top w:val="nil"/>
              <w:left w:val="nil"/>
              <w:right w:val="nil"/>
            </w:tcBorders>
            <w:shd w:val="clear" w:color="auto" w:fill="FFFFFF"/>
            <w:tcMar>
              <w:top w:w="0" w:type="dxa"/>
              <w:left w:w="0" w:type="dxa"/>
              <w:bottom w:w="0" w:type="dxa"/>
              <w:right w:w="0" w:type="dxa"/>
            </w:tcMar>
            <w:vAlign w:val="center"/>
            <w:hideMark/>
          </w:tcPr>
          <w:p w14:paraId="782BF5F8" w14:textId="77777777" w:rsidR="00112AA8" w:rsidRPr="00112AA8" w:rsidRDefault="00112AA8" w:rsidP="00112AA8">
            <w:pPr>
              <w:jc w:val="center"/>
              <w:rPr>
                <w:rFonts w:cstheme="minorHAnsi"/>
              </w:rPr>
            </w:pPr>
            <w:r w:rsidRPr="00112AA8">
              <w:rPr>
                <w:rFonts w:cstheme="minorHAnsi"/>
              </w:rPr>
              <w:t>(1.81)</w:t>
            </w:r>
          </w:p>
        </w:tc>
      </w:tr>
      <w:tr w:rsidR="00112AA8" w:rsidRPr="00112AA8" w14:paraId="13B08AA5" w14:textId="77777777" w:rsidTr="00C16A5A">
        <w:trPr>
          <w:jc w:val="center"/>
        </w:trPr>
        <w:tc>
          <w:tcPr>
            <w:tcW w:w="1170"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07427C53" w14:textId="5B34C3A4" w:rsidR="00112AA8" w:rsidRPr="00112AA8" w:rsidRDefault="00C16A5A" w:rsidP="00112AA8">
            <w:pPr>
              <w:spacing w:after="0"/>
              <w:rPr>
                <w:rFonts w:cstheme="minorHAnsi"/>
              </w:rPr>
            </w:pPr>
            <w:r>
              <w:rPr>
                <w:rFonts w:cstheme="minorHAnsi"/>
              </w:rPr>
              <w:t>N</w:t>
            </w:r>
          </w:p>
        </w:tc>
        <w:tc>
          <w:tcPr>
            <w:tcW w:w="1170"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1CA82BF6" w14:textId="77777777" w:rsidR="00112AA8" w:rsidRPr="00112AA8" w:rsidRDefault="00112AA8" w:rsidP="00112AA8">
            <w:pPr>
              <w:jc w:val="center"/>
              <w:rPr>
                <w:rFonts w:cstheme="minorHAnsi"/>
              </w:rPr>
            </w:pPr>
            <w:r w:rsidRPr="00112AA8">
              <w:rPr>
                <w:rFonts w:cstheme="minorHAnsi"/>
              </w:rPr>
              <w:t>42299</w:t>
            </w:r>
          </w:p>
        </w:tc>
        <w:tc>
          <w:tcPr>
            <w:tcW w:w="1080"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AAB2B7E" w14:textId="77777777" w:rsidR="00112AA8" w:rsidRPr="00112AA8" w:rsidRDefault="00112AA8" w:rsidP="00112AA8">
            <w:pPr>
              <w:jc w:val="center"/>
              <w:rPr>
                <w:rFonts w:cstheme="minorHAnsi"/>
              </w:rPr>
            </w:pPr>
            <w:r w:rsidRPr="00112AA8">
              <w:rPr>
                <w:rFonts w:cstheme="minorHAnsi"/>
              </w:rPr>
              <w:t>37035</w:t>
            </w:r>
          </w:p>
        </w:tc>
      </w:tr>
    </w:tbl>
    <w:p w14:paraId="4F969EAA" w14:textId="11546169" w:rsidR="00112AA8" w:rsidRDefault="00112AA8" w:rsidP="00112AA8">
      <w:pPr>
        <w:rPr>
          <w:rFonts w:cstheme="minorHAnsi"/>
        </w:rPr>
      </w:pPr>
    </w:p>
    <w:p w14:paraId="6D29C6D8" w14:textId="5769B648" w:rsidR="008A2820" w:rsidRDefault="00AD2638" w:rsidP="008A2820">
      <w:pPr>
        <w:pStyle w:val="ListParagraph"/>
        <w:numPr>
          <w:ilvl w:val="0"/>
          <w:numId w:val="1"/>
        </w:numPr>
        <w:rPr>
          <w:rFonts w:cstheme="minorHAnsi"/>
        </w:rPr>
      </w:pPr>
      <w:r>
        <w:rPr>
          <w:rFonts w:cstheme="minorHAnsi"/>
        </w:rPr>
        <w:t>The table below shows a re-estimation of the model using the Sun and Abraham method.</w:t>
      </w:r>
    </w:p>
    <w:tbl>
      <w:tblPr>
        <w:tblStyle w:val="Table"/>
        <w:tblW w:w="0" w:type="auto"/>
        <w:jc w:val="center"/>
        <w:tblInd w:w="0" w:type="dxa"/>
        <w:tblLayout w:type="fixed"/>
        <w:tblLook w:val="0420" w:firstRow="1" w:lastRow="0" w:firstColumn="0" w:lastColumn="0" w:noHBand="0" w:noVBand="1"/>
      </w:tblPr>
      <w:tblGrid>
        <w:gridCol w:w="1710"/>
        <w:gridCol w:w="1680"/>
        <w:gridCol w:w="1680"/>
        <w:gridCol w:w="1680"/>
      </w:tblGrid>
      <w:tr w:rsidR="00AD2638" w14:paraId="479A2A7C" w14:textId="77777777" w:rsidTr="00AD2638">
        <w:trPr>
          <w:cnfStyle w:val="100000000000" w:firstRow="1" w:lastRow="0" w:firstColumn="0" w:lastColumn="0" w:oddVBand="0" w:evenVBand="0" w:oddHBand="0" w:evenHBand="0" w:firstRowFirstColumn="0" w:firstRowLastColumn="0" w:lastRowFirstColumn="0" w:lastRowLastColumn="0"/>
          <w:cantSplit/>
          <w:tblHeader/>
          <w:jc w:val="center"/>
        </w:trPr>
        <w:tc>
          <w:tcPr>
            <w:tcW w:w="171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377F59" w14:textId="0D756393" w:rsidR="00AD2638" w:rsidRPr="00AD2638" w:rsidRDefault="00AD2638" w:rsidP="00AD2638">
            <w:pPr>
              <w:keepNext/>
              <w:spacing w:before="100" w:after="100"/>
              <w:ind w:left="100" w:right="100"/>
              <w:jc w:val="center"/>
              <w:rPr>
                <w:rFonts w:cstheme="minorHAnsi"/>
              </w:rPr>
            </w:pPr>
            <w:bookmarkStart w:id="0" w:name="_Hlk114840944"/>
            <w:r w:rsidRPr="00112AA8">
              <w:rPr>
                <w:rFonts w:cstheme="minorHAnsi"/>
                <w:b/>
              </w:rPr>
              <w:t>Year Relative to Expansion</w:t>
            </w:r>
          </w:p>
        </w:tc>
        <w:tc>
          <w:tcPr>
            <w:tcW w:w="16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A1D5EA3" w14:textId="573414FC" w:rsidR="00AD2638" w:rsidRPr="00AD2638" w:rsidRDefault="00AD2638" w:rsidP="00AD2638">
            <w:pPr>
              <w:keepNext/>
              <w:spacing w:before="100" w:after="100"/>
              <w:ind w:left="100" w:right="100"/>
              <w:jc w:val="center"/>
              <w:rPr>
                <w:rFonts w:cstheme="minorHAnsi"/>
              </w:rPr>
            </w:pPr>
            <w:r w:rsidRPr="00AD2638">
              <w:rPr>
                <w:rFonts w:eastAsia="Arial" w:cstheme="minorHAnsi"/>
                <w:b/>
                <w:color w:val="000000"/>
                <w:sz w:val="22"/>
                <w:szCs w:val="22"/>
              </w:rPr>
              <w:t>2014</w:t>
            </w:r>
            <w:r>
              <w:rPr>
                <w:rFonts w:eastAsia="Arial" w:cstheme="minorHAnsi"/>
                <w:b/>
                <w:color w:val="000000"/>
                <w:sz w:val="22"/>
                <w:szCs w:val="22"/>
              </w:rPr>
              <w:t xml:space="preserve"> Expanders</w:t>
            </w:r>
          </w:p>
        </w:tc>
        <w:tc>
          <w:tcPr>
            <w:tcW w:w="16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3C45CDE" w14:textId="5BC1BD47" w:rsidR="00AD2638" w:rsidRPr="00AD2638" w:rsidRDefault="00AD2638" w:rsidP="00AD2638">
            <w:pPr>
              <w:keepNext/>
              <w:spacing w:before="100" w:after="100"/>
              <w:ind w:left="100" w:right="100"/>
              <w:jc w:val="center"/>
              <w:rPr>
                <w:rFonts w:cstheme="minorHAnsi"/>
              </w:rPr>
            </w:pPr>
            <w:r w:rsidRPr="00AD2638">
              <w:rPr>
                <w:rFonts w:eastAsia="Arial" w:cstheme="minorHAnsi"/>
                <w:b/>
                <w:color w:val="000000"/>
                <w:sz w:val="22"/>
                <w:szCs w:val="22"/>
              </w:rPr>
              <w:t>2015</w:t>
            </w:r>
            <w:r>
              <w:rPr>
                <w:rFonts w:eastAsia="Arial" w:cstheme="minorHAnsi"/>
                <w:b/>
                <w:color w:val="000000"/>
                <w:sz w:val="22"/>
                <w:szCs w:val="22"/>
              </w:rPr>
              <w:t xml:space="preserve"> Expanders</w:t>
            </w:r>
          </w:p>
        </w:tc>
        <w:tc>
          <w:tcPr>
            <w:tcW w:w="16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F2B9FB0" w14:textId="1A4D5EB9" w:rsidR="00AD2638" w:rsidRPr="00AD2638" w:rsidRDefault="00AD2638" w:rsidP="00AD2638">
            <w:pPr>
              <w:keepNext/>
              <w:spacing w:before="100" w:after="100"/>
              <w:ind w:left="100" w:right="100"/>
              <w:jc w:val="center"/>
              <w:rPr>
                <w:rFonts w:cstheme="minorHAnsi"/>
              </w:rPr>
            </w:pPr>
            <w:r w:rsidRPr="00AD2638">
              <w:rPr>
                <w:rFonts w:eastAsia="Arial" w:cstheme="minorHAnsi"/>
                <w:b/>
                <w:color w:val="000000"/>
                <w:sz w:val="22"/>
                <w:szCs w:val="22"/>
              </w:rPr>
              <w:t>2016</w:t>
            </w:r>
            <w:r>
              <w:rPr>
                <w:rFonts w:eastAsia="Arial" w:cstheme="minorHAnsi"/>
                <w:b/>
                <w:color w:val="000000"/>
                <w:sz w:val="22"/>
                <w:szCs w:val="22"/>
              </w:rPr>
              <w:t xml:space="preserve"> Expanders</w:t>
            </w:r>
          </w:p>
        </w:tc>
      </w:tr>
      <w:tr w:rsidR="00AD2638" w14:paraId="1F4628A6" w14:textId="77777777" w:rsidTr="00AD2638">
        <w:trPr>
          <w:cantSplit/>
          <w:jc w:val="center"/>
        </w:trPr>
        <w:tc>
          <w:tcPr>
            <w:tcW w:w="171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005CA128"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-5</w:t>
            </w:r>
          </w:p>
        </w:tc>
        <w:tc>
          <w:tcPr>
            <w:tcW w:w="168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7C9F214B" w14:textId="77777777" w:rsidR="00AD2638" w:rsidRPr="00AD2638" w:rsidRDefault="00AD2638">
            <w:pPr>
              <w:keepNext/>
              <w:spacing w:before="100" w:after="100"/>
              <w:ind w:left="100" w:right="100"/>
              <w:rPr>
                <w:rFonts w:cstheme="minorHAnsi"/>
              </w:rPr>
            </w:pPr>
            <w:proofErr w:type="gramStart"/>
            <w:r w:rsidRPr="00AD2638">
              <w:rPr>
                <w:rFonts w:eastAsia="Arial" w:cstheme="minorHAnsi"/>
                <w:color w:val="000000"/>
                <w:sz w:val="22"/>
                <w:szCs w:val="22"/>
              </w:rPr>
              <w:t>0.96  (</w:t>
            </w:r>
            <w:proofErr w:type="gramEnd"/>
            <w:r w:rsidRPr="00AD2638">
              <w:rPr>
                <w:rFonts w:eastAsia="Arial" w:cstheme="minorHAnsi"/>
                <w:color w:val="000000"/>
                <w:sz w:val="22"/>
                <w:szCs w:val="22"/>
              </w:rPr>
              <w:t xml:space="preserve"> 0.88 )</w:t>
            </w:r>
          </w:p>
        </w:tc>
        <w:tc>
          <w:tcPr>
            <w:tcW w:w="168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7FCD2910" w14:textId="77777777" w:rsidR="00AD2638" w:rsidRPr="00AD2638" w:rsidRDefault="00AD2638">
            <w:pPr>
              <w:keepNext/>
              <w:spacing w:before="100" w:after="100"/>
              <w:ind w:left="100" w:right="100"/>
              <w:rPr>
                <w:rFonts w:cstheme="minorHAnsi"/>
              </w:rPr>
            </w:pPr>
            <w:proofErr w:type="gramStart"/>
            <w:r w:rsidRPr="00AD2638">
              <w:rPr>
                <w:rFonts w:eastAsia="Arial" w:cstheme="minorHAnsi"/>
                <w:color w:val="000000"/>
                <w:sz w:val="22"/>
                <w:szCs w:val="22"/>
              </w:rPr>
              <w:t>0.56  (</w:t>
            </w:r>
            <w:proofErr w:type="gramEnd"/>
            <w:r w:rsidRPr="00AD2638">
              <w:rPr>
                <w:rFonts w:eastAsia="Arial" w:cstheme="minorHAnsi"/>
                <w:color w:val="000000"/>
                <w:sz w:val="22"/>
                <w:szCs w:val="22"/>
              </w:rPr>
              <w:t xml:space="preserve"> 1.05 )</w:t>
            </w:r>
          </w:p>
        </w:tc>
        <w:tc>
          <w:tcPr>
            <w:tcW w:w="168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7CAD4BE9"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-2.</w:t>
            </w:r>
            <w:proofErr w:type="gramStart"/>
            <w:r w:rsidRPr="00AD2638">
              <w:rPr>
                <w:rFonts w:eastAsia="Arial" w:cstheme="minorHAnsi"/>
                <w:color w:val="000000"/>
                <w:sz w:val="22"/>
                <w:szCs w:val="22"/>
              </w:rPr>
              <w:t>02  (</w:t>
            </w:r>
            <w:proofErr w:type="gramEnd"/>
            <w:r w:rsidRPr="00AD2638">
              <w:rPr>
                <w:rFonts w:eastAsia="Arial" w:cstheme="minorHAnsi"/>
                <w:color w:val="000000"/>
                <w:sz w:val="22"/>
                <w:szCs w:val="22"/>
              </w:rPr>
              <w:t xml:space="preserve"> 3.45 )</w:t>
            </w:r>
          </w:p>
        </w:tc>
      </w:tr>
      <w:tr w:rsidR="00AD2638" w14:paraId="62C6B7C3" w14:textId="77777777" w:rsidTr="00AD2638">
        <w:trPr>
          <w:cantSplit/>
          <w:jc w:val="center"/>
        </w:trPr>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61923DA5"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-4</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4253DEDF"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-0.</w:t>
            </w:r>
            <w:proofErr w:type="gramStart"/>
            <w:r w:rsidRPr="00AD2638">
              <w:rPr>
                <w:rFonts w:eastAsia="Arial" w:cstheme="minorHAnsi"/>
                <w:color w:val="000000"/>
                <w:sz w:val="22"/>
                <w:szCs w:val="22"/>
              </w:rPr>
              <w:t>55  (</w:t>
            </w:r>
            <w:proofErr w:type="gramEnd"/>
            <w:r w:rsidRPr="00AD2638">
              <w:rPr>
                <w:rFonts w:eastAsia="Arial" w:cstheme="minorHAnsi"/>
                <w:color w:val="000000"/>
                <w:sz w:val="22"/>
                <w:szCs w:val="22"/>
              </w:rPr>
              <w:t xml:space="preserve"> 1.02 )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2699FB7D" w14:textId="77777777" w:rsidR="00AD2638" w:rsidRPr="00AD2638" w:rsidRDefault="00AD2638">
            <w:pPr>
              <w:keepNext/>
              <w:spacing w:before="100" w:after="100"/>
              <w:ind w:left="100" w:right="100"/>
              <w:rPr>
                <w:rFonts w:cstheme="minorHAnsi"/>
              </w:rPr>
            </w:pPr>
            <w:proofErr w:type="gramStart"/>
            <w:r w:rsidRPr="00AD2638">
              <w:rPr>
                <w:rFonts w:eastAsia="Arial" w:cstheme="minorHAnsi"/>
                <w:color w:val="000000"/>
                <w:sz w:val="22"/>
                <w:szCs w:val="22"/>
              </w:rPr>
              <w:t>0.76  (</w:t>
            </w:r>
            <w:proofErr w:type="gramEnd"/>
            <w:r w:rsidRPr="00AD2638">
              <w:rPr>
                <w:rFonts w:eastAsia="Arial" w:cstheme="minorHAnsi"/>
                <w:color w:val="000000"/>
                <w:sz w:val="22"/>
                <w:szCs w:val="22"/>
              </w:rPr>
              <w:t xml:space="preserve"> 0.82 )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7C51A227"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-1.</w:t>
            </w:r>
            <w:proofErr w:type="gramStart"/>
            <w:r w:rsidRPr="00AD2638">
              <w:rPr>
                <w:rFonts w:eastAsia="Arial" w:cstheme="minorHAnsi"/>
                <w:color w:val="000000"/>
                <w:sz w:val="22"/>
                <w:szCs w:val="22"/>
              </w:rPr>
              <w:t>81  (</w:t>
            </w:r>
            <w:proofErr w:type="gramEnd"/>
            <w:r w:rsidRPr="00AD2638">
              <w:rPr>
                <w:rFonts w:eastAsia="Arial" w:cstheme="minorHAnsi"/>
                <w:color w:val="000000"/>
                <w:sz w:val="22"/>
                <w:szCs w:val="22"/>
              </w:rPr>
              <w:t xml:space="preserve"> 1.53 )</w:t>
            </w:r>
          </w:p>
        </w:tc>
      </w:tr>
      <w:tr w:rsidR="00AD2638" w14:paraId="55CF575E" w14:textId="77777777" w:rsidTr="00AD2638">
        <w:trPr>
          <w:cantSplit/>
          <w:jc w:val="center"/>
        </w:trPr>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7C84AEF2"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-3</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09386477"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-0.</w:t>
            </w:r>
            <w:proofErr w:type="gramStart"/>
            <w:r w:rsidRPr="00AD2638">
              <w:rPr>
                <w:rFonts w:eastAsia="Arial" w:cstheme="minorHAnsi"/>
                <w:color w:val="000000"/>
                <w:sz w:val="22"/>
                <w:szCs w:val="22"/>
              </w:rPr>
              <w:t>69  (</w:t>
            </w:r>
            <w:proofErr w:type="gramEnd"/>
            <w:r w:rsidRPr="00AD2638">
              <w:rPr>
                <w:rFonts w:eastAsia="Arial" w:cstheme="minorHAnsi"/>
                <w:color w:val="000000"/>
                <w:sz w:val="22"/>
                <w:szCs w:val="22"/>
              </w:rPr>
              <w:t xml:space="preserve"> 0.74 )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5372E818" w14:textId="77777777" w:rsidR="00AD2638" w:rsidRPr="00AD2638" w:rsidRDefault="00AD2638">
            <w:pPr>
              <w:keepNext/>
              <w:spacing w:before="100" w:after="100"/>
              <w:ind w:left="100" w:right="100"/>
              <w:rPr>
                <w:rFonts w:cstheme="minorHAnsi"/>
              </w:rPr>
            </w:pPr>
            <w:proofErr w:type="gramStart"/>
            <w:r w:rsidRPr="00AD2638">
              <w:rPr>
                <w:rFonts w:eastAsia="Arial" w:cstheme="minorHAnsi"/>
                <w:color w:val="000000"/>
                <w:sz w:val="22"/>
                <w:szCs w:val="22"/>
              </w:rPr>
              <w:t>1.52  (</w:t>
            </w:r>
            <w:proofErr w:type="gramEnd"/>
            <w:r w:rsidRPr="00AD2638">
              <w:rPr>
                <w:rFonts w:eastAsia="Arial" w:cstheme="minorHAnsi"/>
                <w:color w:val="000000"/>
                <w:sz w:val="22"/>
                <w:szCs w:val="22"/>
              </w:rPr>
              <w:t xml:space="preserve"> 1.21 )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7A3EC9C4"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-1.</w:t>
            </w:r>
            <w:proofErr w:type="gramStart"/>
            <w:r w:rsidRPr="00AD2638">
              <w:rPr>
                <w:rFonts w:eastAsia="Arial" w:cstheme="minorHAnsi"/>
                <w:color w:val="000000"/>
                <w:sz w:val="22"/>
                <w:szCs w:val="22"/>
              </w:rPr>
              <w:t>43  (</w:t>
            </w:r>
            <w:proofErr w:type="gramEnd"/>
            <w:r w:rsidRPr="00AD2638">
              <w:rPr>
                <w:rFonts w:eastAsia="Arial" w:cstheme="minorHAnsi"/>
                <w:color w:val="000000"/>
                <w:sz w:val="22"/>
                <w:szCs w:val="22"/>
              </w:rPr>
              <w:t xml:space="preserve"> 1.99 )</w:t>
            </w:r>
          </w:p>
        </w:tc>
      </w:tr>
      <w:tr w:rsidR="00AD2638" w14:paraId="13E7A6F0" w14:textId="77777777" w:rsidTr="00AD2638">
        <w:trPr>
          <w:cantSplit/>
          <w:jc w:val="center"/>
        </w:trPr>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0E579209"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-2</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508A116D"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-0.</w:t>
            </w:r>
            <w:proofErr w:type="gramStart"/>
            <w:r w:rsidRPr="00AD2638">
              <w:rPr>
                <w:rFonts w:eastAsia="Arial" w:cstheme="minorHAnsi"/>
                <w:color w:val="000000"/>
                <w:sz w:val="22"/>
                <w:szCs w:val="22"/>
              </w:rPr>
              <w:t>74  (</w:t>
            </w:r>
            <w:proofErr w:type="gramEnd"/>
            <w:r w:rsidRPr="00AD2638">
              <w:rPr>
                <w:rFonts w:eastAsia="Arial" w:cstheme="minorHAnsi"/>
                <w:color w:val="000000"/>
                <w:sz w:val="22"/>
                <w:szCs w:val="22"/>
              </w:rPr>
              <w:t xml:space="preserve"> 0.44 )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5BCB583D" w14:textId="77777777" w:rsidR="00AD2638" w:rsidRPr="00AD2638" w:rsidRDefault="00AD2638">
            <w:pPr>
              <w:keepNext/>
              <w:spacing w:before="100" w:after="100"/>
              <w:ind w:left="100" w:right="100"/>
              <w:rPr>
                <w:rFonts w:cstheme="minorHAnsi"/>
              </w:rPr>
            </w:pPr>
            <w:proofErr w:type="gramStart"/>
            <w:r w:rsidRPr="00AD2638">
              <w:rPr>
                <w:rFonts w:eastAsia="Arial" w:cstheme="minorHAnsi"/>
                <w:color w:val="000000"/>
                <w:sz w:val="22"/>
                <w:szCs w:val="22"/>
              </w:rPr>
              <w:t>1.31  (</w:t>
            </w:r>
            <w:proofErr w:type="gramEnd"/>
            <w:r w:rsidRPr="00AD2638">
              <w:rPr>
                <w:rFonts w:eastAsia="Arial" w:cstheme="minorHAnsi"/>
                <w:color w:val="000000"/>
                <w:sz w:val="22"/>
                <w:szCs w:val="22"/>
              </w:rPr>
              <w:t xml:space="preserve"> 0.5 )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23050D9B"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-1.</w:t>
            </w:r>
            <w:proofErr w:type="gramStart"/>
            <w:r w:rsidRPr="00AD2638">
              <w:rPr>
                <w:rFonts w:eastAsia="Arial" w:cstheme="minorHAnsi"/>
                <w:color w:val="000000"/>
                <w:sz w:val="22"/>
                <w:szCs w:val="22"/>
              </w:rPr>
              <w:t>43  (</w:t>
            </w:r>
            <w:proofErr w:type="gramEnd"/>
            <w:r w:rsidRPr="00AD2638">
              <w:rPr>
                <w:rFonts w:eastAsia="Arial" w:cstheme="minorHAnsi"/>
                <w:color w:val="000000"/>
                <w:sz w:val="22"/>
                <w:szCs w:val="22"/>
              </w:rPr>
              <w:t xml:space="preserve"> 1.47 )</w:t>
            </w:r>
          </w:p>
        </w:tc>
      </w:tr>
      <w:tr w:rsidR="00AD2638" w14:paraId="5FB77EE6" w14:textId="77777777" w:rsidTr="00AD2638">
        <w:trPr>
          <w:cantSplit/>
          <w:jc w:val="center"/>
        </w:trPr>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38FBFE6F"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0</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365CB979"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-2.</w:t>
            </w:r>
            <w:proofErr w:type="gramStart"/>
            <w:r w:rsidRPr="00AD2638">
              <w:rPr>
                <w:rFonts w:eastAsia="Arial" w:cstheme="minorHAnsi"/>
                <w:color w:val="000000"/>
                <w:sz w:val="22"/>
                <w:szCs w:val="22"/>
              </w:rPr>
              <w:t>62  (</w:t>
            </w:r>
            <w:proofErr w:type="gramEnd"/>
            <w:r w:rsidRPr="00AD2638">
              <w:rPr>
                <w:rFonts w:eastAsia="Arial" w:cstheme="minorHAnsi"/>
                <w:color w:val="000000"/>
                <w:sz w:val="22"/>
                <w:szCs w:val="22"/>
              </w:rPr>
              <w:t xml:space="preserve"> 0.49 )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1E4425EF"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-0.</w:t>
            </w:r>
            <w:proofErr w:type="gramStart"/>
            <w:r w:rsidRPr="00AD2638">
              <w:rPr>
                <w:rFonts w:eastAsia="Arial" w:cstheme="minorHAnsi"/>
                <w:color w:val="000000"/>
                <w:sz w:val="22"/>
                <w:szCs w:val="22"/>
              </w:rPr>
              <w:t>88  (</w:t>
            </w:r>
            <w:proofErr w:type="gramEnd"/>
            <w:r w:rsidRPr="00AD2638">
              <w:rPr>
                <w:rFonts w:eastAsia="Arial" w:cstheme="minorHAnsi"/>
                <w:color w:val="000000"/>
                <w:sz w:val="22"/>
                <w:szCs w:val="22"/>
              </w:rPr>
              <w:t xml:space="preserve"> 1.02 )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37700689"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-3.</w:t>
            </w:r>
            <w:proofErr w:type="gramStart"/>
            <w:r w:rsidRPr="00AD2638">
              <w:rPr>
                <w:rFonts w:eastAsia="Arial" w:cstheme="minorHAnsi"/>
                <w:color w:val="000000"/>
                <w:sz w:val="22"/>
                <w:szCs w:val="22"/>
              </w:rPr>
              <w:t>11  (</w:t>
            </w:r>
            <w:proofErr w:type="gramEnd"/>
            <w:r w:rsidRPr="00AD2638">
              <w:rPr>
                <w:rFonts w:eastAsia="Arial" w:cstheme="minorHAnsi"/>
                <w:color w:val="000000"/>
                <w:sz w:val="22"/>
                <w:szCs w:val="22"/>
              </w:rPr>
              <w:t xml:space="preserve"> 0.95 )</w:t>
            </w:r>
          </w:p>
        </w:tc>
      </w:tr>
      <w:tr w:rsidR="00AD2638" w14:paraId="6EB6304A" w14:textId="77777777" w:rsidTr="00AD2638">
        <w:trPr>
          <w:cantSplit/>
          <w:jc w:val="center"/>
        </w:trPr>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1D8C2230"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1</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24083CBE"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-4.</w:t>
            </w:r>
            <w:proofErr w:type="gramStart"/>
            <w:r w:rsidRPr="00AD2638">
              <w:rPr>
                <w:rFonts w:eastAsia="Arial" w:cstheme="minorHAnsi"/>
                <w:color w:val="000000"/>
                <w:sz w:val="22"/>
                <w:szCs w:val="22"/>
              </w:rPr>
              <w:t>02  (</w:t>
            </w:r>
            <w:proofErr w:type="gramEnd"/>
            <w:r w:rsidRPr="00AD2638">
              <w:rPr>
                <w:rFonts w:eastAsia="Arial" w:cstheme="minorHAnsi"/>
                <w:color w:val="000000"/>
                <w:sz w:val="22"/>
                <w:szCs w:val="22"/>
              </w:rPr>
              <w:t xml:space="preserve"> 0.66 )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6B0F0C6E"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-3.</w:t>
            </w:r>
            <w:proofErr w:type="gramStart"/>
            <w:r w:rsidRPr="00AD2638">
              <w:rPr>
                <w:rFonts w:eastAsia="Arial" w:cstheme="minorHAnsi"/>
                <w:color w:val="000000"/>
                <w:sz w:val="22"/>
                <w:szCs w:val="22"/>
              </w:rPr>
              <w:t>22  (</w:t>
            </w:r>
            <w:proofErr w:type="gramEnd"/>
            <w:r w:rsidRPr="00AD2638">
              <w:rPr>
                <w:rFonts w:eastAsia="Arial" w:cstheme="minorHAnsi"/>
                <w:color w:val="000000"/>
                <w:sz w:val="22"/>
                <w:szCs w:val="22"/>
              </w:rPr>
              <w:t xml:space="preserve"> 1.36 )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3B5CB5C6"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-6.</w:t>
            </w:r>
            <w:proofErr w:type="gramStart"/>
            <w:r w:rsidRPr="00AD2638">
              <w:rPr>
                <w:rFonts w:eastAsia="Arial" w:cstheme="minorHAnsi"/>
                <w:color w:val="000000"/>
                <w:sz w:val="22"/>
                <w:szCs w:val="22"/>
              </w:rPr>
              <w:t>68  (</w:t>
            </w:r>
            <w:proofErr w:type="gramEnd"/>
            <w:r w:rsidRPr="00AD2638">
              <w:rPr>
                <w:rFonts w:eastAsia="Arial" w:cstheme="minorHAnsi"/>
                <w:color w:val="000000"/>
                <w:sz w:val="22"/>
                <w:szCs w:val="22"/>
              </w:rPr>
              <w:t xml:space="preserve"> 2.82 )</w:t>
            </w:r>
          </w:p>
        </w:tc>
      </w:tr>
      <w:tr w:rsidR="00AD2638" w14:paraId="05BC5DDC" w14:textId="77777777" w:rsidTr="00AD2638">
        <w:trPr>
          <w:cantSplit/>
          <w:jc w:val="center"/>
        </w:trPr>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5E676C09"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2</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40A87780"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-5.</w:t>
            </w:r>
            <w:proofErr w:type="gramStart"/>
            <w:r w:rsidRPr="00AD2638">
              <w:rPr>
                <w:rFonts w:eastAsia="Arial" w:cstheme="minorHAnsi"/>
                <w:color w:val="000000"/>
                <w:sz w:val="22"/>
                <w:szCs w:val="22"/>
              </w:rPr>
              <w:t>57  (</w:t>
            </w:r>
            <w:proofErr w:type="gramEnd"/>
            <w:r w:rsidRPr="00AD2638">
              <w:rPr>
                <w:rFonts w:eastAsia="Arial" w:cstheme="minorHAnsi"/>
                <w:color w:val="000000"/>
                <w:sz w:val="22"/>
                <w:szCs w:val="22"/>
              </w:rPr>
              <w:t xml:space="preserve"> 0.75 )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19FD485D"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-3.</w:t>
            </w:r>
            <w:proofErr w:type="gramStart"/>
            <w:r w:rsidRPr="00AD2638">
              <w:rPr>
                <w:rFonts w:eastAsia="Arial" w:cstheme="minorHAnsi"/>
                <w:color w:val="000000"/>
                <w:sz w:val="22"/>
                <w:szCs w:val="22"/>
              </w:rPr>
              <w:t>91  (</w:t>
            </w:r>
            <w:proofErr w:type="gramEnd"/>
            <w:r w:rsidRPr="00AD2638">
              <w:rPr>
                <w:rFonts w:eastAsia="Arial" w:cstheme="minorHAnsi"/>
                <w:color w:val="000000"/>
                <w:sz w:val="22"/>
                <w:szCs w:val="22"/>
              </w:rPr>
              <w:t xml:space="preserve"> 1.21 )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24CDC99D"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-6.</w:t>
            </w:r>
            <w:proofErr w:type="gramStart"/>
            <w:r w:rsidRPr="00AD2638">
              <w:rPr>
                <w:rFonts w:eastAsia="Arial" w:cstheme="minorHAnsi"/>
                <w:color w:val="000000"/>
                <w:sz w:val="22"/>
                <w:szCs w:val="22"/>
              </w:rPr>
              <w:t>53  (</w:t>
            </w:r>
            <w:proofErr w:type="gramEnd"/>
            <w:r w:rsidRPr="00AD2638">
              <w:rPr>
                <w:rFonts w:eastAsia="Arial" w:cstheme="minorHAnsi"/>
                <w:color w:val="000000"/>
                <w:sz w:val="22"/>
                <w:szCs w:val="22"/>
              </w:rPr>
              <w:t xml:space="preserve"> 3.24 )</w:t>
            </w:r>
          </w:p>
        </w:tc>
      </w:tr>
      <w:tr w:rsidR="00AD2638" w14:paraId="6318CE63" w14:textId="77777777" w:rsidTr="00AD2638">
        <w:trPr>
          <w:cantSplit/>
          <w:jc w:val="center"/>
        </w:trPr>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266981E3"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3</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38A8A773"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-5.</w:t>
            </w:r>
            <w:proofErr w:type="gramStart"/>
            <w:r w:rsidRPr="00AD2638">
              <w:rPr>
                <w:rFonts w:eastAsia="Arial" w:cstheme="minorHAnsi"/>
                <w:color w:val="000000"/>
                <w:sz w:val="22"/>
                <w:szCs w:val="22"/>
              </w:rPr>
              <w:t>27  (</w:t>
            </w:r>
            <w:proofErr w:type="gramEnd"/>
            <w:r w:rsidRPr="00AD2638">
              <w:rPr>
                <w:rFonts w:eastAsia="Arial" w:cstheme="minorHAnsi"/>
                <w:color w:val="000000"/>
                <w:sz w:val="22"/>
                <w:szCs w:val="22"/>
              </w:rPr>
              <w:t xml:space="preserve"> 0.95 )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392CB348"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-3.</w:t>
            </w:r>
            <w:proofErr w:type="gramStart"/>
            <w:r w:rsidRPr="00AD2638">
              <w:rPr>
                <w:rFonts w:eastAsia="Arial" w:cstheme="minorHAnsi"/>
                <w:color w:val="000000"/>
                <w:sz w:val="22"/>
                <w:szCs w:val="22"/>
              </w:rPr>
              <w:t>47  (</w:t>
            </w:r>
            <w:proofErr w:type="gramEnd"/>
            <w:r w:rsidRPr="00AD2638">
              <w:rPr>
                <w:rFonts w:eastAsia="Arial" w:cstheme="minorHAnsi"/>
                <w:color w:val="000000"/>
                <w:sz w:val="22"/>
                <w:szCs w:val="22"/>
              </w:rPr>
              <w:t xml:space="preserve"> 1.54 )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02E69618"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-8.</w:t>
            </w:r>
            <w:proofErr w:type="gramStart"/>
            <w:r w:rsidRPr="00AD2638">
              <w:rPr>
                <w:rFonts w:eastAsia="Arial" w:cstheme="minorHAnsi"/>
                <w:color w:val="000000"/>
                <w:sz w:val="22"/>
                <w:szCs w:val="22"/>
              </w:rPr>
              <w:t>56  (</w:t>
            </w:r>
            <w:proofErr w:type="gramEnd"/>
            <w:r w:rsidRPr="00AD2638">
              <w:rPr>
                <w:rFonts w:eastAsia="Arial" w:cstheme="minorHAnsi"/>
                <w:color w:val="000000"/>
                <w:sz w:val="22"/>
                <w:szCs w:val="22"/>
              </w:rPr>
              <w:t xml:space="preserve"> 3.22 )</w:t>
            </w:r>
          </w:p>
        </w:tc>
      </w:tr>
      <w:tr w:rsidR="00AD2638" w14:paraId="3AAAAE4E" w14:textId="77777777" w:rsidTr="00AD2638">
        <w:trPr>
          <w:cantSplit/>
          <w:jc w:val="center"/>
        </w:trPr>
        <w:tc>
          <w:tcPr>
            <w:tcW w:w="1710" w:type="dxa"/>
            <w:tcBorders>
              <w:top w:val="nil"/>
              <w:left w:val="nil"/>
              <w:bottom w:val="nil"/>
              <w:right w:val="nil"/>
            </w:tcBorders>
            <w:shd w:val="clear" w:color="auto" w:fill="FFFFFF"/>
            <w:tcMar>
              <w:top w:w="0" w:type="dxa"/>
              <w:left w:w="0" w:type="dxa"/>
              <w:bottom w:w="0" w:type="dxa"/>
              <w:right w:w="0" w:type="dxa"/>
            </w:tcMar>
            <w:vAlign w:val="center"/>
            <w:hideMark/>
          </w:tcPr>
          <w:p w14:paraId="49B2AA99"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4</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66477902"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-4.</w:t>
            </w:r>
            <w:proofErr w:type="gramStart"/>
            <w:r w:rsidRPr="00AD2638">
              <w:rPr>
                <w:rFonts w:eastAsia="Arial" w:cstheme="minorHAnsi"/>
                <w:color w:val="000000"/>
                <w:sz w:val="22"/>
                <w:szCs w:val="22"/>
              </w:rPr>
              <w:t>15  (</w:t>
            </w:r>
            <w:proofErr w:type="gramEnd"/>
            <w:r w:rsidRPr="00AD2638">
              <w:rPr>
                <w:rFonts w:eastAsia="Arial" w:cstheme="minorHAnsi"/>
                <w:color w:val="000000"/>
                <w:sz w:val="22"/>
                <w:szCs w:val="22"/>
              </w:rPr>
              <w:t xml:space="preserve"> 1.34 )</w:t>
            </w:r>
          </w:p>
        </w:tc>
        <w:tc>
          <w:tcPr>
            <w:tcW w:w="1680" w:type="dxa"/>
            <w:tcBorders>
              <w:top w:val="nil"/>
              <w:left w:val="nil"/>
              <w:bottom w:val="nil"/>
              <w:right w:val="nil"/>
            </w:tcBorders>
            <w:shd w:val="clear" w:color="auto" w:fill="FFFFFF"/>
            <w:tcMar>
              <w:top w:w="0" w:type="dxa"/>
              <w:left w:w="0" w:type="dxa"/>
              <w:bottom w:w="0" w:type="dxa"/>
              <w:right w:w="0" w:type="dxa"/>
            </w:tcMar>
            <w:vAlign w:val="center"/>
            <w:hideMark/>
          </w:tcPr>
          <w:p w14:paraId="5EFA423A"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-5.</w:t>
            </w:r>
            <w:proofErr w:type="gramStart"/>
            <w:r w:rsidRPr="00AD2638">
              <w:rPr>
                <w:rFonts w:eastAsia="Arial" w:cstheme="minorHAnsi"/>
                <w:color w:val="000000"/>
                <w:sz w:val="22"/>
                <w:szCs w:val="22"/>
              </w:rPr>
              <w:t>19  (</w:t>
            </w:r>
            <w:proofErr w:type="gramEnd"/>
            <w:r w:rsidRPr="00AD2638">
              <w:rPr>
                <w:rFonts w:eastAsia="Arial" w:cstheme="minorHAnsi"/>
                <w:color w:val="000000"/>
                <w:sz w:val="22"/>
                <w:szCs w:val="22"/>
              </w:rPr>
              <w:t xml:space="preserve"> 1.63 )</w:t>
            </w:r>
          </w:p>
        </w:tc>
        <w:tc>
          <w:tcPr>
            <w:tcW w:w="1680" w:type="dxa"/>
            <w:tcBorders>
              <w:top w:val="nil"/>
              <w:left w:val="nil"/>
              <w:bottom w:val="nil"/>
              <w:right w:val="nil"/>
            </w:tcBorders>
            <w:shd w:val="clear" w:color="auto" w:fill="FFFFFF"/>
            <w:tcMar>
              <w:top w:w="0" w:type="dxa"/>
              <w:left w:w="0" w:type="dxa"/>
              <w:bottom w:w="0" w:type="dxa"/>
              <w:right w:w="0" w:type="dxa"/>
            </w:tcMar>
            <w:vAlign w:val="center"/>
          </w:tcPr>
          <w:p w14:paraId="41CB989E" w14:textId="77777777" w:rsidR="00AD2638" w:rsidRPr="00AD2638" w:rsidRDefault="00AD2638">
            <w:pPr>
              <w:keepNext/>
              <w:spacing w:before="100" w:after="100"/>
              <w:ind w:left="100" w:right="100"/>
              <w:rPr>
                <w:rFonts w:cstheme="minorHAnsi"/>
              </w:rPr>
            </w:pPr>
          </w:p>
        </w:tc>
      </w:tr>
      <w:tr w:rsidR="00AD2638" w14:paraId="20147B71" w14:textId="77777777" w:rsidTr="00AD2638">
        <w:trPr>
          <w:cantSplit/>
          <w:jc w:val="center"/>
        </w:trPr>
        <w:tc>
          <w:tcPr>
            <w:tcW w:w="171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0EDB60F"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5</w:t>
            </w:r>
          </w:p>
        </w:tc>
        <w:tc>
          <w:tcPr>
            <w:tcW w:w="168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A6E417A" w14:textId="77777777" w:rsidR="00AD2638" w:rsidRPr="00AD2638" w:rsidRDefault="00AD2638">
            <w:pPr>
              <w:keepNext/>
              <w:spacing w:before="100" w:after="100"/>
              <w:ind w:left="100" w:right="100"/>
              <w:rPr>
                <w:rFonts w:cstheme="minorHAnsi"/>
              </w:rPr>
            </w:pPr>
            <w:r w:rsidRPr="00AD2638">
              <w:rPr>
                <w:rFonts w:eastAsia="Arial" w:cstheme="minorHAnsi"/>
                <w:color w:val="000000"/>
                <w:sz w:val="22"/>
                <w:szCs w:val="22"/>
              </w:rPr>
              <w:t>-5.</w:t>
            </w:r>
            <w:proofErr w:type="gramStart"/>
            <w:r w:rsidRPr="00AD2638">
              <w:rPr>
                <w:rFonts w:eastAsia="Arial" w:cstheme="minorHAnsi"/>
                <w:color w:val="000000"/>
                <w:sz w:val="22"/>
                <w:szCs w:val="22"/>
              </w:rPr>
              <w:t>88  (</w:t>
            </w:r>
            <w:proofErr w:type="gramEnd"/>
            <w:r w:rsidRPr="00AD2638">
              <w:rPr>
                <w:rFonts w:eastAsia="Arial" w:cstheme="minorHAnsi"/>
                <w:color w:val="000000"/>
                <w:sz w:val="22"/>
                <w:szCs w:val="22"/>
              </w:rPr>
              <w:t xml:space="preserve"> 1.8 )</w:t>
            </w:r>
          </w:p>
        </w:tc>
        <w:tc>
          <w:tcPr>
            <w:tcW w:w="1680" w:type="dxa"/>
            <w:tcBorders>
              <w:top w:val="nil"/>
              <w:left w:val="nil"/>
              <w:bottom w:val="single" w:sz="18" w:space="0" w:color="666666"/>
              <w:right w:val="nil"/>
            </w:tcBorders>
            <w:shd w:val="clear" w:color="auto" w:fill="FFFFFF"/>
            <w:tcMar>
              <w:top w:w="0" w:type="dxa"/>
              <w:left w:w="0" w:type="dxa"/>
              <w:bottom w:w="0" w:type="dxa"/>
              <w:right w:w="0" w:type="dxa"/>
            </w:tcMar>
            <w:vAlign w:val="center"/>
          </w:tcPr>
          <w:p w14:paraId="72D2D1F7" w14:textId="77777777" w:rsidR="00AD2638" w:rsidRPr="00AD2638" w:rsidRDefault="00AD2638">
            <w:pPr>
              <w:keepNext/>
              <w:spacing w:before="100" w:after="100"/>
              <w:ind w:left="100" w:right="100"/>
              <w:rPr>
                <w:rFonts w:cstheme="minorHAnsi"/>
              </w:rPr>
            </w:pPr>
          </w:p>
        </w:tc>
        <w:tc>
          <w:tcPr>
            <w:tcW w:w="1680" w:type="dxa"/>
            <w:tcBorders>
              <w:top w:val="nil"/>
              <w:left w:val="nil"/>
              <w:bottom w:val="single" w:sz="18" w:space="0" w:color="666666"/>
              <w:right w:val="nil"/>
            </w:tcBorders>
            <w:shd w:val="clear" w:color="auto" w:fill="FFFFFF"/>
            <w:tcMar>
              <w:top w:w="0" w:type="dxa"/>
              <w:left w:w="0" w:type="dxa"/>
              <w:bottom w:w="0" w:type="dxa"/>
              <w:right w:w="0" w:type="dxa"/>
            </w:tcMar>
            <w:vAlign w:val="center"/>
          </w:tcPr>
          <w:p w14:paraId="1CCDD942" w14:textId="77777777" w:rsidR="00AD2638" w:rsidRPr="00AD2638" w:rsidRDefault="00AD2638">
            <w:pPr>
              <w:keepNext/>
              <w:spacing w:before="100" w:after="100"/>
              <w:ind w:left="100" w:right="100"/>
              <w:rPr>
                <w:rFonts w:cstheme="minorHAnsi"/>
              </w:rPr>
            </w:pPr>
          </w:p>
        </w:tc>
        <w:bookmarkEnd w:id="0"/>
      </w:tr>
    </w:tbl>
    <w:p w14:paraId="0D82DA0D" w14:textId="59CD27A4" w:rsidR="00AD2638" w:rsidRDefault="00AD2638" w:rsidP="00AD2638">
      <w:pPr>
        <w:rPr>
          <w:rFonts w:cstheme="minorHAnsi"/>
        </w:rPr>
      </w:pPr>
    </w:p>
    <w:p w14:paraId="2E76AD06" w14:textId="3D0A750A" w:rsidR="00A93C1F" w:rsidRDefault="00A93C1F">
      <w:pPr>
        <w:rPr>
          <w:rFonts w:cstheme="minorHAnsi"/>
        </w:rPr>
      </w:pPr>
      <w:r>
        <w:rPr>
          <w:rFonts w:cstheme="minorHAnsi"/>
        </w:rPr>
        <w:br w:type="page"/>
      </w:r>
    </w:p>
    <w:p w14:paraId="5538D91F" w14:textId="31D6AABC" w:rsidR="0022284A" w:rsidRDefault="00892838" w:rsidP="00A93C1F">
      <w:pPr>
        <w:pStyle w:val="ListParagraph"/>
        <w:numPr>
          <w:ilvl w:val="0"/>
          <w:numId w:val="1"/>
        </w:numPr>
        <w:rPr>
          <w:rFonts w:cstheme="minorHAnsi"/>
        </w:rPr>
      </w:pPr>
      <w:r>
        <w:rPr>
          <w:rFonts w:cstheme="minorHAnsi"/>
        </w:rPr>
        <w:t>The figure below shows the results from the Sun &amp; Abraham method, aggregated across different years of expansion.</w:t>
      </w:r>
    </w:p>
    <w:p w14:paraId="1360C5F7" w14:textId="72974BF5" w:rsidR="00892838" w:rsidRDefault="00892838" w:rsidP="00892838">
      <w:pPr>
        <w:pStyle w:val="ListParagraph"/>
        <w:rPr>
          <w:rFonts w:cstheme="minorHAnsi"/>
        </w:rPr>
      </w:pPr>
      <w:r>
        <w:rPr>
          <w:noProof/>
        </w:rPr>
        <w:drawing>
          <wp:inline distT="0" distB="0" distL="0" distR="0" wp14:anchorId="1F161B26" wp14:editId="70BF3669">
            <wp:extent cx="3501081" cy="4199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2896" cy="4213722"/>
                    </a:xfrm>
                    <a:prstGeom prst="rect">
                      <a:avLst/>
                    </a:prstGeom>
                  </pic:spPr>
                </pic:pic>
              </a:graphicData>
            </a:graphic>
          </wp:inline>
        </w:drawing>
      </w:r>
    </w:p>
    <w:p w14:paraId="0E43FB57" w14:textId="18D44A14" w:rsidR="00892838" w:rsidRDefault="00461F5F" w:rsidP="00892838">
      <w:pPr>
        <w:pStyle w:val="ListParagraph"/>
        <w:numPr>
          <w:ilvl w:val="0"/>
          <w:numId w:val="1"/>
        </w:numPr>
        <w:rPr>
          <w:rFonts w:cstheme="minorHAnsi"/>
        </w:rPr>
      </w:pPr>
      <w:r>
        <w:rPr>
          <w:rFonts w:cstheme="minorHAnsi"/>
        </w:rPr>
        <w:t xml:space="preserve">An alternative event study using the Callaway and </w:t>
      </w:r>
      <w:proofErr w:type="spellStart"/>
      <w:r>
        <w:rPr>
          <w:rFonts w:cstheme="minorHAnsi"/>
        </w:rPr>
        <w:t>Sant’Anna</w:t>
      </w:r>
      <w:proofErr w:type="spellEnd"/>
      <w:r>
        <w:rPr>
          <w:rFonts w:cstheme="minorHAnsi"/>
        </w:rPr>
        <w:t xml:space="preserve"> methods is shown below.</w:t>
      </w:r>
    </w:p>
    <w:p w14:paraId="232A956B" w14:textId="09650A18" w:rsidR="00461F5F" w:rsidRDefault="00461F5F" w:rsidP="00461F5F">
      <w:pPr>
        <w:pStyle w:val="ListParagraph"/>
        <w:rPr>
          <w:rFonts w:cstheme="minorHAnsi"/>
        </w:rPr>
      </w:pPr>
      <w:r>
        <w:rPr>
          <w:noProof/>
        </w:rPr>
        <w:drawing>
          <wp:inline distT="0" distB="0" distL="0" distR="0" wp14:anchorId="13458B78" wp14:editId="6C30103A">
            <wp:extent cx="4093640" cy="31099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742"/>
                    <a:stretch/>
                  </pic:blipFill>
                  <pic:spPr bwMode="auto">
                    <a:xfrm>
                      <a:off x="0" y="0"/>
                      <a:ext cx="4121720" cy="3131321"/>
                    </a:xfrm>
                    <a:prstGeom prst="rect">
                      <a:avLst/>
                    </a:prstGeom>
                    <a:ln>
                      <a:noFill/>
                    </a:ln>
                    <a:extLst>
                      <a:ext uri="{53640926-AAD7-44D8-BBD7-CCE9431645EC}">
                        <a14:shadowObscured xmlns:a14="http://schemas.microsoft.com/office/drawing/2010/main"/>
                      </a:ext>
                    </a:extLst>
                  </pic:spPr>
                </pic:pic>
              </a:graphicData>
            </a:graphic>
          </wp:inline>
        </w:drawing>
      </w:r>
    </w:p>
    <w:p w14:paraId="0440E25C" w14:textId="77777777" w:rsidR="000F58AD" w:rsidRDefault="000F58AD" w:rsidP="00461F5F">
      <w:pPr>
        <w:pStyle w:val="ListParagraph"/>
        <w:rPr>
          <w:rFonts w:cstheme="minorHAnsi"/>
        </w:rPr>
      </w:pPr>
    </w:p>
    <w:p w14:paraId="0DB325FF" w14:textId="020D1A14" w:rsidR="000F58AD" w:rsidRDefault="00A43127" w:rsidP="000F58AD">
      <w:pPr>
        <w:pStyle w:val="ListParagraph"/>
        <w:numPr>
          <w:ilvl w:val="0"/>
          <w:numId w:val="1"/>
        </w:numPr>
        <w:rPr>
          <w:rFonts w:cstheme="minorHAnsi"/>
        </w:rPr>
      </w:pPr>
      <w:r>
        <w:rPr>
          <w:rFonts w:cstheme="minorHAnsi"/>
        </w:rPr>
        <w:t>I couldn’t get this package to work, since it seemed to require a function called “</w:t>
      </w:r>
      <w:proofErr w:type="spellStart"/>
      <w:r w:rsidRPr="00A43127">
        <w:rPr>
          <w:rFonts w:cstheme="minorHAnsi"/>
        </w:rPr>
        <w:t>basisVector</w:t>
      </w:r>
      <w:proofErr w:type="spellEnd"/>
      <w:r>
        <w:rPr>
          <w:rFonts w:cstheme="minorHAnsi"/>
        </w:rPr>
        <w:t>,” which I wasn’t able to find anywhere other than a deprecated package that does not work with the version of R that I’m using.</w:t>
      </w:r>
    </w:p>
    <w:p w14:paraId="383592A3" w14:textId="19B25650" w:rsidR="00A24EE9" w:rsidRDefault="00955F63" w:rsidP="000F58AD">
      <w:pPr>
        <w:pStyle w:val="ListParagraph"/>
        <w:numPr>
          <w:ilvl w:val="0"/>
          <w:numId w:val="1"/>
        </w:numPr>
        <w:rPr>
          <w:rFonts w:cstheme="minorHAnsi"/>
        </w:rPr>
      </w:pPr>
      <w:r>
        <w:rPr>
          <w:rFonts w:cstheme="minorHAnsi"/>
        </w:rPr>
        <w:t xml:space="preserve">In general, all of the specifications show decreases in uncompensated care following Medicaid expansion, particularly in the first few years following expansion. </w:t>
      </w:r>
      <w:r w:rsidR="003346A7">
        <w:rPr>
          <w:rFonts w:cstheme="minorHAnsi"/>
        </w:rPr>
        <w:t>This is broadly the case across the different estimation methods and specifications. However</w:t>
      </w:r>
      <w:r>
        <w:rPr>
          <w:rFonts w:cstheme="minorHAnsi"/>
        </w:rPr>
        <w:t>, the result</w:t>
      </w:r>
      <w:r w:rsidR="003346A7">
        <w:rPr>
          <w:rFonts w:cstheme="minorHAnsi"/>
        </w:rPr>
        <w:t>s</w:t>
      </w:r>
      <w:r>
        <w:rPr>
          <w:rFonts w:cstheme="minorHAnsi"/>
        </w:rPr>
        <w:t xml:space="preserve"> disaggregated by year </w:t>
      </w:r>
      <w:r w:rsidR="00A24EE9">
        <w:rPr>
          <w:rFonts w:cstheme="minorHAnsi"/>
        </w:rPr>
        <w:t xml:space="preserve">suggest that the </w:t>
      </w:r>
      <w:r w:rsidR="003346A7">
        <w:rPr>
          <w:rFonts w:cstheme="minorHAnsi"/>
        </w:rPr>
        <w:t>aggregated analyses may be missing some differences between the groups</w:t>
      </w:r>
      <w:r>
        <w:rPr>
          <w:rFonts w:cstheme="minorHAnsi"/>
        </w:rPr>
        <w:t>.</w:t>
      </w:r>
      <w:r w:rsidR="003346A7">
        <w:rPr>
          <w:rFonts w:cstheme="minorHAnsi"/>
        </w:rPr>
        <w:t xml:space="preserve"> Specifically, it would probably be instructive to run the “honest </w:t>
      </w:r>
      <w:proofErr w:type="spellStart"/>
      <w:r w:rsidR="003346A7">
        <w:rPr>
          <w:rFonts w:cstheme="minorHAnsi"/>
        </w:rPr>
        <w:t>DiD</w:t>
      </w:r>
      <w:proofErr w:type="spellEnd"/>
      <w:r w:rsidR="003346A7">
        <w:rPr>
          <w:rFonts w:cstheme="minorHAnsi"/>
        </w:rPr>
        <w:t>” trends check on the disaggregated trends. The 2015 expanders seem to have higher uncompensated care costs relative to the never-expanders two years prior to expansion, while the 2014 and 2016 groups had insignificantly lower uncompensated care costs. Combining this different groups may hide some of the existing differences in the pre-period trends.</w:t>
      </w:r>
    </w:p>
    <w:p w14:paraId="58CEFE65" w14:textId="1FA31B1F" w:rsidR="00A43127" w:rsidRPr="003346A7" w:rsidRDefault="00E04262" w:rsidP="00C16A5A">
      <w:pPr>
        <w:pStyle w:val="ListParagraph"/>
        <w:numPr>
          <w:ilvl w:val="0"/>
          <w:numId w:val="1"/>
        </w:numPr>
        <w:rPr>
          <w:rFonts w:cstheme="minorHAnsi"/>
        </w:rPr>
      </w:pPr>
      <w:r>
        <w:rPr>
          <w:rFonts w:cstheme="minorHAnsi"/>
        </w:rPr>
        <w:t xml:space="preserve">This was an extremely helpful assignment for me, since I need to use the </w:t>
      </w:r>
      <w:r w:rsidR="003B0280">
        <w:rPr>
          <w:rFonts w:cstheme="minorHAnsi"/>
        </w:rPr>
        <w:t xml:space="preserve">new difference-in-difference methods in my own research. </w:t>
      </w:r>
      <w:r w:rsidR="004C2EF7">
        <w:rPr>
          <w:rFonts w:cstheme="minorHAnsi"/>
        </w:rPr>
        <w:t>The most challenging aspect was honestly the programming, since I am not very good at R</w:t>
      </w:r>
      <w:bookmarkStart w:id="1" w:name="_GoBack"/>
      <w:bookmarkEnd w:id="1"/>
      <w:r w:rsidR="004C2EF7">
        <w:rPr>
          <w:rFonts w:cstheme="minorHAnsi"/>
        </w:rPr>
        <w:t xml:space="preserve">. </w:t>
      </w:r>
      <w:r w:rsidR="00F57A5D">
        <w:rPr>
          <w:rFonts w:cstheme="minorHAnsi"/>
        </w:rPr>
        <w:t xml:space="preserve">That being said, </w:t>
      </w:r>
      <w:r w:rsidR="004C2EF7">
        <w:rPr>
          <w:rFonts w:cstheme="minorHAnsi"/>
        </w:rPr>
        <w:t xml:space="preserve">I was surprised by how easy the implementation of most of these methods was, and a little concerned that I did not have a very good understanding of what was being done. Part of this is that I am accustomed to SAS, where more information about your models is printed by default. I especially felt like I did not understand the package that implemented the Callaway &amp; </w:t>
      </w:r>
      <w:proofErr w:type="spellStart"/>
      <w:r w:rsidR="004C2EF7">
        <w:rPr>
          <w:rFonts w:cstheme="minorHAnsi"/>
        </w:rPr>
        <w:t>Sant’Anna</w:t>
      </w:r>
      <w:proofErr w:type="spellEnd"/>
      <w:r w:rsidR="004C2EF7">
        <w:rPr>
          <w:rFonts w:cstheme="minorHAnsi"/>
        </w:rPr>
        <w:t xml:space="preserve"> method very well.</w:t>
      </w:r>
      <w:r w:rsidR="00CE2B66">
        <w:rPr>
          <w:rFonts w:cstheme="minorHAnsi"/>
        </w:rPr>
        <w:t xml:space="preserve"> I was not terribly surprised that the different methods produced similar results, since I have heard from several sources that these methods tend to provide estimates in the same neighborhood. </w:t>
      </w:r>
    </w:p>
    <w:p w14:paraId="083AB761" w14:textId="4F99C2E1" w:rsidR="00C16A5A" w:rsidRDefault="00C16A5A" w:rsidP="00C16A5A">
      <w:pPr>
        <w:rPr>
          <w:rFonts w:cstheme="minorHAnsi"/>
        </w:rPr>
      </w:pPr>
    </w:p>
    <w:p w14:paraId="666A7663" w14:textId="77777777" w:rsidR="00C16A5A" w:rsidRDefault="00C16A5A" w:rsidP="00C16A5A">
      <w:pPr>
        <w:pStyle w:val="Default"/>
        <w:rPr>
          <w:color w:val="auto"/>
        </w:rPr>
      </w:pPr>
    </w:p>
    <w:p w14:paraId="1D4CB3DF" w14:textId="77777777" w:rsidR="00C16A5A" w:rsidRDefault="00C16A5A" w:rsidP="00C16A5A">
      <w:pPr>
        <w:pStyle w:val="Default"/>
        <w:rPr>
          <w:color w:val="auto"/>
        </w:rPr>
      </w:pPr>
    </w:p>
    <w:p w14:paraId="58D605E2" w14:textId="77777777" w:rsidR="00C16A5A" w:rsidRPr="00C16A5A" w:rsidRDefault="00C16A5A" w:rsidP="00C16A5A">
      <w:pPr>
        <w:rPr>
          <w:rFonts w:cstheme="minorHAnsi"/>
        </w:rPr>
      </w:pPr>
    </w:p>
    <w:sectPr w:rsidR="00C16A5A" w:rsidRPr="00C1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3316"/>
    <w:multiLevelType w:val="hybridMultilevel"/>
    <w:tmpl w:val="A800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60"/>
    <w:rsid w:val="000F58AD"/>
    <w:rsid w:val="00112AA8"/>
    <w:rsid w:val="0019040E"/>
    <w:rsid w:val="0022284A"/>
    <w:rsid w:val="003346A7"/>
    <w:rsid w:val="00354176"/>
    <w:rsid w:val="003617EA"/>
    <w:rsid w:val="003B0280"/>
    <w:rsid w:val="004225A4"/>
    <w:rsid w:val="00461F5F"/>
    <w:rsid w:val="004C2EF7"/>
    <w:rsid w:val="004D2F2A"/>
    <w:rsid w:val="006601EF"/>
    <w:rsid w:val="00685D41"/>
    <w:rsid w:val="007218FA"/>
    <w:rsid w:val="00892838"/>
    <w:rsid w:val="00895E60"/>
    <w:rsid w:val="008A2820"/>
    <w:rsid w:val="008B0584"/>
    <w:rsid w:val="00955F63"/>
    <w:rsid w:val="00A24EE9"/>
    <w:rsid w:val="00A43127"/>
    <w:rsid w:val="00A93C1F"/>
    <w:rsid w:val="00AD2638"/>
    <w:rsid w:val="00C00A4A"/>
    <w:rsid w:val="00C16A5A"/>
    <w:rsid w:val="00CE2B66"/>
    <w:rsid w:val="00CE510C"/>
    <w:rsid w:val="00D93083"/>
    <w:rsid w:val="00DE5A2D"/>
    <w:rsid w:val="00E04262"/>
    <w:rsid w:val="00E11174"/>
    <w:rsid w:val="00F57A5D"/>
    <w:rsid w:val="00FA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80E2"/>
  <w15:chartTrackingRefBased/>
  <w15:docId w15:val="{2CB98008-2FA9-4E1A-85EE-89F369DB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E60"/>
    <w:pPr>
      <w:ind w:left="720"/>
      <w:contextualSpacing/>
    </w:pPr>
  </w:style>
  <w:style w:type="table" w:customStyle="1" w:styleId="Table">
    <w:name w:val="Table"/>
    <w:semiHidden/>
    <w:qFormat/>
    <w:rsid w:val="00D93083"/>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customStyle="1" w:styleId="Default">
    <w:name w:val="Default"/>
    <w:rsid w:val="00C16A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0672">
      <w:bodyDiv w:val="1"/>
      <w:marLeft w:val="0"/>
      <w:marRight w:val="0"/>
      <w:marTop w:val="0"/>
      <w:marBottom w:val="0"/>
      <w:divBdr>
        <w:top w:val="none" w:sz="0" w:space="0" w:color="auto"/>
        <w:left w:val="none" w:sz="0" w:space="0" w:color="auto"/>
        <w:bottom w:val="none" w:sz="0" w:space="0" w:color="auto"/>
        <w:right w:val="none" w:sz="0" w:space="0" w:color="auto"/>
      </w:divBdr>
    </w:div>
    <w:div w:id="124543791">
      <w:bodyDiv w:val="1"/>
      <w:marLeft w:val="0"/>
      <w:marRight w:val="0"/>
      <w:marTop w:val="0"/>
      <w:marBottom w:val="0"/>
      <w:divBdr>
        <w:top w:val="none" w:sz="0" w:space="0" w:color="auto"/>
        <w:left w:val="none" w:sz="0" w:space="0" w:color="auto"/>
        <w:bottom w:val="none" w:sz="0" w:space="0" w:color="auto"/>
        <w:right w:val="none" w:sz="0" w:space="0" w:color="auto"/>
      </w:divBdr>
    </w:div>
    <w:div w:id="126440903">
      <w:bodyDiv w:val="1"/>
      <w:marLeft w:val="0"/>
      <w:marRight w:val="0"/>
      <w:marTop w:val="0"/>
      <w:marBottom w:val="0"/>
      <w:divBdr>
        <w:top w:val="none" w:sz="0" w:space="0" w:color="auto"/>
        <w:left w:val="none" w:sz="0" w:space="0" w:color="auto"/>
        <w:bottom w:val="none" w:sz="0" w:space="0" w:color="auto"/>
        <w:right w:val="none" w:sz="0" w:space="0" w:color="auto"/>
      </w:divBdr>
    </w:div>
    <w:div w:id="196281345">
      <w:bodyDiv w:val="1"/>
      <w:marLeft w:val="0"/>
      <w:marRight w:val="0"/>
      <w:marTop w:val="0"/>
      <w:marBottom w:val="0"/>
      <w:divBdr>
        <w:top w:val="none" w:sz="0" w:space="0" w:color="auto"/>
        <w:left w:val="none" w:sz="0" w:space="0" w:color="auto"/>
        <w:bottom w:val="none" w:sz="0" w:space="0" w:color="auto"/>
        <w:right w:val="none" w:sz="0" w:space="0" w:color="auto"/>
      </w:divBdr>
    </w:div>
    <w:div w:id="481313411">
      <w:bodyDiv w:val="1"/>
      <w:marLeft w:val="0"/>
      <w:marRight w:val="0"/>
      <w:marTop w:val="0"/>
      <w:marBottom w:val="0"/>
      <w:divBdr>
        <w:top w:val="none" w:sz="0" w:space="0" w:color="auto"/>
        <w:left w:val="none" w:sz="0" w:space="0" w:color="auto"/>
        <w:bottom w:val="none" w:sz="0" w:space="0" w:color="auto"/>
        <w:right w:val="none" w:sz="0" w:space="0" w:color="auto"/>
      </w:divBdr>
    </w:div>
    <w:div w:id="644623001">
      <w:bodyDiv w:val="1"/>
      <w:marLeft w:val="0"/>
      <w:marRight w:val="0"/>
      <w:marTop w:val="0"/>
      <w:marBottom w:val="0"/>
      <w:divBdr>
        <w:top w:val="none" w:sz="0" w:space="0" w:color="auto"/>
        <w:left w:val="none" w:sz="0" w:space="0" w:color="auto"/>
        <w:bottom w:val="none" w:sz="0" w:space="0" w:color="auto"/>
        <w:right w:val="none" w:sz="0" w:space="0" w:color="auto"/>
      </w:divBdr>
    </w:div>
    <w:div w:id="871191185">
      <w:bodyDiv w:val="1"/>
      <w:marLeft w:val="0"/>
      <w:marRight w:val="0"/>
      <w:marTop w:val="0"/>
      <w:marBottom w:val="0"/>
      <w:divBdr>
        <w:top w:val="none" w:sz="0" w:space="0" w:color="auto"/>
        <w:left w:val="none" w:sz="0" w:space="0" w:color="auto"/>
        <w:bottom w:val="none" w:sz="0" w:space="0" w:color="auto"/>
        <w:right w:val="none" w:sz="0" w:space="0" w:color="auto"/>
      </w:divBdr>
    </w:div>
    <w:div w:id="881794182">
      <w:bodyDiv w:val="1"/>
      <w:marLeft w:val="0"/>
      <w:marRight w:val="0"/>
      <w:marTop w:val="0"/>
      <w:marBottom w:val="0"/>
      <w:divBdr>
        <w:top w:val="none" w:sz="0" w:space="0" w:color="auto"/>
        <w:left w:val="none" w:sz="0" w:space="0" w:color="auto"/>
        <w:bottom w:val="none" w:sz="0" w:space="0" w:color="auto"/>
        <w:right w:val="none" w:sz="0" w:space="0" w:color="auto"/>
      </w:divBdr>
    </w:div>
    <w:div w:id="1009019779">
      <w:bodyDiv w:val="1"/>
      <w:marLeft w:val="0"/>
      <w:marRight w:val="0"/>
      <w:marTop w:val="0"/>
      <w:marBottom w:val="0"/>
      <w:divBdr>
        <w:top w:val="none" w:sz="0" w:space="0" w:color="auto"/>
        <w:left w:val="none" w:sz="0" w:space="0" w:color="auto"/>
        <w:bottom w:val="none" w:sz="0" w:space="0" w:color="auto"/>
        <w:right w:val="none" w:sz="0" w:space="0" w:color="auto"/>
      </w:divBdr>
    </w:div>
    <w:div w:id="1777364177">
      <w:bodyDiv w:val="1"/>
      <w:marLeft w:val="0"/>
      <w:marRight w:val="0"/>
      <w:marTop w:val="0"/>
      <w:marBottom w:val="0"/>
      <w:divBdr>
        <w:top w:val="none" w:sz="0" w:space="0" w:color="auto"/>
        <w:left w:val="none" w:sz="0" w:space="0" w:color="auto"/>
        <w:bottom w:val="none" w:sz="0" w:space="0" w:color="auto"/>
        <w:right w:val="none" w:sz="0" w:space="0" w:color="auto"/>
      </w:divBdr>
    </w:div>
    <w:div w:id="191662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0996B9F2C0914698A59D675A587C52" ma:contentTypeVersion="12" ma:contentTypeDescription="Create a new document." ma:contentTypeScope="" ma:versionID="9f1ab9e2540e10a450ccb4c916bc6ae6">
  <xsd:schema xmlns:xsd="http://www.w3.org/2001/XMLSchema" xmlns:xs="http://www.w3.org/2001/XMLSchema" xmlns:p="http://schemas.microsoft.com/office/2006/metadata/properties" xmlns:ns3="e9229b6d-0f48-4484-9403-a12ac9dfd3ab" xmlns:ns4="8c67efb5-b33f-4ecf-a5c9-bb89c8bec919" targetNamespace="http://schemas.microsoft.com/office/2006/metadata/properties" ma:root="true" ma:fieldsID="836cb5aa8572530f7ef3d7b0e0b094c8" ns3:_="" ns4:_="">
    <xsd:import namespace="e9229b6d-0f48-4484-9403-a12ac9dfd3ab"/>
    <xsd:import namespace="8c67efb5-b33f-4ecf-a5c9-bb89c8bec9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229b6d-0f48-4484-9403-a12ac9dfd3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67efb5-b33f-4ecf-a5c9-bb89c8bec9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FEE44E-4C3F-446A-8D39-D26D402B4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229b6d-0f48-4484-9403-a12ac9dfd3ab"/>
    <ds:schemaRef ds:uri="8c67efb5-b33f-4ecf-a5c9-bb89c8bec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CCA2D5-2925-4193-9EF3-3F546436FA6E}">
  <ds:schemaRefs>
    <ds:schemaRef ds:uri="http://schemas.microsoft.com/sharepoint/v3/contenttype/forms"/>
  </ds:schemaRefs>
</ds:datastoreItem>
</file>

<file path=customXml/itemProps3.xml><?xml version="1.0" encoding="utf-8"?>
<ds:datastoreItem xmlns:ds="http://schemas.openxmlformats.org/officeDocument/2006/customXml" ds:itemID="{70773BEB-A36A-40BD-BA4F-614D9B5DA62F}">
  <ds:schemaRefs>
    <ds:schemaRef ds:uri="8c67efb5-b33f-4ecf-a5c9-bb89c8bec919"/>
    <ds:schemaRef ds:uri="http://schemas.openxmlformats.org/package/2006/metadata/core-properties"/>
    <ds:schemaRef ds:uri="http://purl.org/dc/elements/1.1/"/>
    <ds:schemaRef ds:uri="http://schemas.microsoft.com/office/infopath/2007/PartnerControls"/>
    <ds:schemaRef ds:uri="e9229b6d-0f48-4484-9403-a12ac9dfd3ab"/>
    <ds:schemaRef ds:uri="http://purl.org/dc/terms/"/>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6</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Martha</dc:creator>
  <cp:keywords/>
  <dc:description/>
  <cp:lastModifiedBy>Wetzel, Martha</cp:lastModifiedBy>
  <cp:revision>22</cp:revision>
  <dcterms:created xsi:type="dcterms:W3CDTF">2022-09-22T19:07:00Z</dcterms:created>
  <dcterms:modified xsi:type="dcterms:W3CDTF">2022-09-23T20:39:00Z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0x010100A70996B9F2C0914698A59D675A587C52</vt:lpwstr>
  </property>
</Properties>
</file>