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79.png" ContentType="image/png"/>
  <Override PartName="/word/media/rId84.png" ContentType="image/png"/>
  <Override PartName="/word/media/rId61.png" ContentType="image/png"/>
  <Override PartName="/word/media/rId55.png" ContentType="image/png"/>
  <Override PartName="/word/media/rId74.png" ContentType="image/png"/>
  <Override PartName="/word/media/rId66.png" ContentType="image/png"/>
  <Override PartName="/word/media/rId34.png" ContentType="image/png"/>
  <Override PartName="/word/media/rId2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MPX</w:t>
      </w:r>
      <w:r>
        <w:t xml:space="preserve"> </w:t>
      </w:r>
      <w:r>
        <w:t xml:space="preserve">NYC</w:t>
      </w:r>
    </w:p>
    <w:p>
      <w:pPr>
        <w:pStyle w:val="Subtitle"/>
      </w:pPr>
      <w:r>
        <w:t xml:space="preserve">Key</w:t>
      </w:r>
      <w:r>
        <w:t xml:space="preserve"> </w:t>
      </w:r>
      <w:r>
        <w:t xml:space="preserve">findings</w:t>
      </w:r>
      <w:r>
        <w:t xml:space="preserve"> </w:t>
      </w:r>
      <w:r>
        <w:t xml:space="preserve">and</w:t>
      </w:r>
      <w:r>
        <w:t xml:space="preserve"> </w:t>
      </w:r>
      <w:r>
        <w:t xml:space="preserve">recommendations</w:t>
      </w:r>
    </w:p>
    <w:p>
      <w:pPr>
        <w:pStyle w:val="Author"/>
      </w:pPr>
      <w:r>
        <w:t xml:space="preserve">Keletso</w:t>
      </w:r>
      <w:r>
        <w:t xml:space="preserve"> </w:t>
      </w:r>
      <w:r>
        <w:t xml:space="preserve">Lehola</w:t>
      </w:r>
      <w:r>
        <w:t xml:space="preserve"> </w:t>
      </w:r>
      <w:r>
        <w:t xml:space="preserve">Lekoatsa</w:t>
      </w:r>
    </w:p>
    <w:p>
      <w:pPr>
        <w:pStyle w:val="Date"/>
      </w:pPr>
      <w:r>
        <w:t xml:space="preserve">2024-05-23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video-series"/>
    <w:p>
      <w:pPr>
        <w:pStyle w:val="Heading1"/>
      </w:pPr>
      <w:r>
        <w:t xml:space="preserve">Video Series</w:t>
      </w:r>
    </w:p>
    <w:p>
      <w:pPr>
        <w:pStyle w:val="FirstParagraph"/>
      </w:pPr>
      <w:r>
        <w:t xml:space="preserve">Queens -&gt; Brooklyn but not brooklyn to queens</w:t>
      </w:r>
    </w:p>
    <w:p>
      <w:pPr>
        <w:numPr>
          <w:ilvl w:val="0"/>
          <w:numId w:val="1001"/>
        </w:numPr>
        <w:pStyle w:val="Compact"/>
      </w:pPr>
      <w:r>
        <w:t xml:space="preserve">Updates</w:t>
      </w:r>
    </w:p>
    <w:p>
      <w:pPr>
        <w:numPr>
          <w:ilvl w:val="0"/>
          <w:numId w:val="1002"/>
        </w:numPr>
        <w:pStyle w:val="Compact"/>
      </w:pPr>
      <w:r>
        <w:t xml:space="preserve">☐ Put bar graphs above the matrix</w:t>
      </w:r>
    </w:p>
    <w:p>
      <w:pPr>
        <w:numPr>
          <w:ilvl w:val="0"/>
          <w:numId w:val="1002"/>
        </w:numPr>
        <w:pStyle w:val="Compact"/>
      </w:pPr>
      <w:r>
        <w:t xml:space="preserve">☐ Do community detection on place network</w:t>
      </w:r>
    </w:p>
    <w:p>
      <w:pPr>
        <w:numPr>
          <w:ilvl w:val="0"/>
          <w:numId w:val="1003"/>
        </w:numPr>
      </w:pPr>
      <w:r>
        <w:t xml:space="preserve">Intro / Overview</w:t>
      </w:r>
    </w:p>
    <w:p>
      <w:pPr>
        <w:numPr>
          <w:ilvl w:val="0"/>
          <w:numId w:val="1003"/>
        </w:numPr>
      </w:pPr>
      <w:r>
        <w:t xml:space="preserve">Managing</w:t>
      </w:r>
    </w:p>
    <w:p>
      <w:pPr>
        <w:numPr>
          <w:ilvl w:val="0"/>
          <w:numId w:val="1004"/>
        </w:numPr>
        <w:pStyle w:val="Compact"/>
      </w:pPr>
      <w:r>
        <w:t xml:space="preserve">☐ Goals + tasks: internal / external</w:t>
      </w:r>
    </w:p>
    <w:p>
      <w:pPr>
        <w:numPr>
          <w:ilvl w:val="0"/>
          <w:numId w:val="1004"/>
        </w:numPr>
        <w:pStyle w:val="Compact"/>
      </w:pPr>
      <w:r>
        <w:t xml:space="preserve">☐ Social capital: internal / external</w:t>
      </w:r>
    </w:p>
    <w:p>
      <w:pPr>
        <w:numPr>
          <w:ilvl w:val="0"/>
          <w:numId w:val="1004"/>
        </w:numPr>
        <w:pStyle w:val="Compact"/>
      </w:pPr>
      <w:r>
        <w:t xml:space="preserve">☐ Resources: financial / non-financial</w:t>
      </w:r>
    </w:p>
    <w:p>
      <w:pPr>
        <w:numPr>
          <w:ilvl w:val="0"/>
          <w:numId w:val="1005"/>
        </w:numPr>
        <w:pStyle w:val="Compact"/>
      </w:pPr>
      <w:r>
        <w:t xml:space="preserve">Case study</w:t>
      </w:r>
    </w:p>
    <w:p>
      <w:pPr>
        <w:numPr>
          <w:ilvl w:val="0"/>
          <w:numId w:val="1006"/>
        </w:numPr>
        <w:pStyle w:val="Compact"/>
      </w:pPr>
      <w:r>
        <w:t xml:space="preserve">☐ Technical: questionnaire + protocol + translation</w:t>
      </w:r>
    </w:p>
    <w:p>
      <w:pPr>
        <w:numPr>
          <w:ilvl w:val="0"/>
          <w:numId w:val="1006"/>
        </w:numPr>
        <w:pStyle w:val="Compact"/>
      </w:pPr>
      <w:r>
        <w:t xml:space="preserve">☐ Technical: web app dev + testing + validation</w:t>
      </w:r>
    </w:p>
    <w:p>
      <w:pPr>
        <w:numPr>
          <w:ilvl w:val="0"/>
          <w:numId w:val="1006"/>
        </w:numPr>
        <w:pStyle w:val="Compact"/>
      </w:pPr>
      <w:r>
        <w:t xml:space="preserve">☐ External: consultation (group and one-on-one)</w:t>
      </w:r>
    </w:p>
    <w:p>
      <w:pPr>
        <w:numPr>
          <w:ilvl w:val="0"/>
          <w:numId w:val="1006"/>
        </w:numPr>
        <w:pStyle w:val="Compact"/>
      </w:pPr>
      <w:r>
        <w:t xml:space="preserve">☐ External: press</w:t>
      </w:r>
    </w:p>
    <w:p>
      <w:pPr>
        <w:numPr>
          <w:ilvl w:val="0"/>
          <w:numId w:val="1006"/>
        </w:numPr>
        <w:pStyle w:val="Compact"/>
      </w:pPr>
      <w:r>
        <w:t xml:space="preserve">☐ External: marketing</w:t>
      </w:r>
    </w:p>
    <w:p>
      <w:pPr>
        <w:numPr>
          <w:ilvl w:val="0"/>
          <w:numId w:val="1006"/>
        </w:numPr>
        <w:pStyle w:val="Compact"/>
      </w:pPr>
      <w:r>
        <w:t xml:space="preserve">☐ External: partnerships</w:t>
      </w:r>
    </w:p>
    <w:p>
      <w:pPr>
        <w:numPr>
          <w:ilvl w:val="0"/>
          <w:numId w:val="1006"/>
        </w:numPr>
        <w:pStyle w:val="Compact"/>
      </w:pPr>
      <w:r>
        <w:t xml:space="preserve">☐ Administration: financial planning + fundraising</w:t>
      </w:r>
    </w:p>
    <w:p>
      <w:pPr>
        <w:numPr>
          <w:ilvl w:val="0"/>
          <w:numId w:val="1006"/>
        </w:numPr>
        <w:pStyle w:val="Compact"/>
      </w:pPr>
      <w:r>
        <w:t xml:space="preserve">☐ Administration: financial tracking + reporting</w:t>
      </w:r>
    </w:p>
    <w:p>
      <w:pPr>
        <w:numPr>
          <w:ilvl w:val="0"/>
          <w:numId w:val="1006"/>
        </w:numPr>
        <w:pStyle w:val="Compact"/>
      </w:pPr>
      <w:r>
        <w:t xml:space="preserve">☐ Administration: IRB</w:t>
      </w:r>
    </w:p>
    <w:bookmarkEnd w:id="20"/>
    <w:bookmarkStart w:id="54" w:name="methods"/>
    <w:p>
      <w:pPr>
        <w:pStyle w:val="Heading1"/>
      </w:pPr>
      <w:r>
        <w:t xml:space="preserve">Methods</w:t>
      </w:r>
    </w:p>
    <w:p>
      <w:pPr>
        <w:pStyle w:val="FirstParagraph"/>
      </w:pPr>
      <w:r>
        <w:t xml:space="preserve">Recall ring vaccination</w:t>
      </w:r>
    </w:p>
    <w:bookmarkStart w:id="42" w:name="data-collection"/>
    <w:p>
      <w:pPr>
        <w:pStyle w:val="Heading2"/>
      </w:pPr>
      <w:r>
        <w:t xml:space="preserve">Data Collection</w:t>
      </w:r>
    </w:p>
    <w:p>
      <w:pPr>
        <w:pStyle w:val="FirstParagraph"/>
      </w:pPr>
      <w:r>
        <w:t xml:space="preserve">Under the Rapid Epidemiologic Study of Prevalence, Networks, and</w:t>
      </w:r>
      <w:r>
        <w:t xml:space="preserve"> </w:t>
      </w:r>
      <w:r>
        <w:t xml:space="preserve">Demographics of Monkeypox Infection (RESPND-MI), we implemented MPX</w:t>
      </w:r>
      <w:r>
        <w:t xml:space="preserve"> </w:t>
      </w:r>
      <w:r>
        <w:t xml:space="preserve">NYC - a brief, anonymous, online survey among transgender people and</w:t>
      </w:r>
      <w:r>
        <w:t xml:space="preserve"> </w:t>
      </w:r>
      <w:r>
        <w:t xml:space="preserve">gay, bisexual, and other men who have sex with men. Data were collected</w:t>
      </w:r>
      <w:r>
        <w:t xml:space="preserve"> </w:t>
      </w:r>
      <w:r>
        <w:t xml:space="preserve">in New York city from 20 August to 15 November 2022.</w:t>
      </w:r>
    </w:p>
    <w:bookmarkStart w:id="21" w:name="respnd-mi-community-forum"/>
    <w:p>
      <w:pPr>
        <w:pStyle w:val="Heading3"/>
      </w:pPr>
      <w:r>
        <w:t xml:space="preserve">RESPND-MI Community Forum</w:t>
      </w:r>
    </w:p>
    <w:p>
      <w:pPr>
        <w:pStyle w:val="FirstParagraph"/>
      </w:pPr>
      <w:r>
        <w:t xml:space="preserve">We set out to conduct a study to guide interventions that would disrupt</w:t>
      </w:r>
      <w:r>
        <w:t xml:space="preserve"> </w:t>
      </w:r>
      <w:r>
        <w:t xml:space="preserve">chains of mpox transmission in New York City. To recruit for this study</w:t>
      </w:r>
      <w:r>
        <w:t xml:space="preserve"> </w:t>
      </w:r>
      <w:r>
        <w:t xml:space="preserve">and to communicate about mpox in a culturally competent manner, we</w:t>
      </w:r>
      <w:r>
        <w:t xml:space="preserve"> </w:t>
      </w:r>
      <w:r>
        <w:t xml:space="preserve">planned a marketing and communication campaign for gay, bisexual and</w:t>
      </w:r>
      <w:r>
        <w:t xml:space="preserve"> </w:t>
      </w:r>
      <w:r>
        <w:t xml:space="preserve">other men who have sex with men. Based on principles articulated by</w:t>
      </w:r>
      <w:r>
        <w:t xml:space="preserve"> </w:t>
      </w:r>
      <w:r>
        <w:t xml:space="preserve">activists in the global response to HIV, we prioritized rapid</w:t>
      </w:r>
      <w:r>
        <w:t xml:space="preserve"> </w:t>
      </w:r>
      <w:r>
        <w:t xml:space="preserve">consultation with a wide variety of stakeholders at the study design</w:t>
      </w:r>
      <w:r>
        <w:t xml:space="preserve"> </w:t>
      </w:r>
      <w:r>
        <w:t xml:space="preserve">stage (rather than at the results dissemination stage). These included</w:t>
      </w:r>
      <w:r>
        <w:t xml:space="preserve"> </w:t>
      </w:r>
      <w:r>
        <w:t xml:space="preserve">city and state government officials, local LGBTQ+ organizations with</w:t>
      </w:r>
      <w:r>
        <w:t xml:space="preserve"> </w:t>
      </w:r>
      <w:r>
        <w:t xml:space="preserve">health or advocacy programs, individual activists, researchers, people</w:t>
      </w:r>
      <w:r>
        <w:t xml:space="preserve"> </w:t>
      </w:r>
      <w:r>
        <w:t xml:space="preserve">in the nightlife/entertainment industry of New York, and queer and trans</w:t>
      </w:r>
      <w:r>
        <w:t xml:space="preserve"> </w:t>
      </w:r>
      <w:r>
        <w:t xml:space="preserve">people in general.</w:t>
      </w:r>
    </w:p>
    <w:p>
      <w:pPr>
        <w:pStyle w:val="BodyText"/>
      </w:pPr>
      <w:r>
        <w:t xml:space="preserve">Our goals were to validate our understanding of the unfolding mpox</w:t>
      </w:r>
      <w:r>
        <w:t xml:space="preserve"> </w:t>
      </w:r>
      <w:r>
        <w:t xml:space="preserve">health threat, to understand how our planned interventions fit in a</w:t>
      </w:r>
      <w:r>
        <w:t xml:space="preserve"> </w:t>
      </w:r>
      <w:r>
        <w:t xml:space="preserve">broader response by different stakeholders, and to gather specific</w:t>
      </w:r>
      <w:r>
        <w:t xml:space="preserve"> </w:t>
      </w:r>
      <w:r>
        <w:t xml:space="preserve">feedback on our plans. While much of this engagement occured through</w:t>
      </w:r>
      <w:r>
        <w:t xml:space="preserve"> </w:t>
      </w:r>
      <w:r>
        <w:t xml:space="preserve">one-on-one meetings, the RESPND-MI team planned a consultation meeting</w:t>
      </w:r>
      <w:r>
        <w:t xml:space="preserve"> </w:t>
      </w:r>
      <w:r>
        <w:t xml:space="preserve">on 27 June 2022 to widen our reach. Participants of that meeting</w:t>
      </w:r>
      <w:r>
        <w:t xml:space="preserve"> </w:t>
      </w:r>
      <w:r>
        <w:t xml:space="preserve">approved of the planned study and communication campaign, and requested</w:t>
      </w:r>
      <w:r>
        <w:t xml:space="preserve"> </w:t>
      </w:r>
      <w:r>
        <w:t xml:space="preserve">that we host a weekly call to enable collective learning and discussion</w:t>
      </w:r>
      <w:r>
        <w:t xml:space="preserve"> </w:t>
      </w:r>
      <w:r>
        <w:t xml:space="preserve">about the outbreak. We named this the RESPND-MI LGBTQ+ Community Forum.</w:t>
      </w:r>
      <w:r>
        <w:t xml:space="preserve"> </w:t>
      </w:r>
      <w:r>
        <w:t xml:space="preserve">We opened the call to the public and advertised it on our website and</w:t>
      </w:r>
      <w:r>
        <w:t xml:space="preserve"> </w:t>
      </w:r>
      <w:r>
        <w:t xml:space="preserve">social media, and through the press. From the initial meeting to the end</w:t>
      </w:r>
      <w:r>
        <w:t xml:space="preserve"> </w:t>
      </w:r>
      <w:r>
        <w:t xml:space="preserve">of August 2022, about 80 individuals participated in the Community</w:t>
      </w:r>
      <w:r>
        <w:t xml:space="preserve"> </w:t>
      </w:r>
      <w:r>
        <w:t xml:space="preserve">Forum. The meeting became a coordination mechanism for action across</w:t>
      </w:r>
      <w:r>
        <w:t xml:space="preserve"> </w:t>
      </w:r>
      <w:r>
        <w:t xml:space="preserve">different stakeholders and allowed the development of a comprehensive</w:t>
      </w:r>
      <w:r>
        <w:t xml:space="preserve"> </w:t>
      </w:r>
      <w:r>
        <w:t xml:space="preserve">collective response to mpox. Participants collaborated to develop and</w:t>
      </w:r>
      <w:r>
        <w:t xml:space="preserve"> </w:t>
      </w:r>
      <w:r>
        <w:t xml:space="preserve">share resources such as vaccine locators, policy briefs, health</w:t>
      </w:r>
      <w:r>
        <w:t xml:space="preserve"> </w:t>
      </w:r>
      <w:r>
        <w:t xml:space="preserve">communications materials, etc.</w:t>
      </w:r>
    </w:p>
    <w:p>
      <w:pPr>
        <w:pStyle w:val="BodyText"/>
      </w:pPr>
      <w:r>
        <w:t xml:space="preserve">It also continued to be a consultation forum. The RESPND-MI team</w:t>
      </w:r>
      <w:r>
        <w:t xml:space="preserve"> </w:t>
      </w:r>
      <w:r>
        <w:t xml:space="preserve">obtained continuous feedback on study-related matters including the</w:t>
      </w:r>
      <w:r>
        <w:t xml:space="preserve"> </w:t>
      </w:r>
      <w:r>
        <w:t xml:space="preserve">recruitment campaign, the design of a novel spatial data collection tool</w:t>
      </w:r>
      <w:r>
        <w:t xml:space="preserve"> </w:t>
      </w:r>
      <w:r>
        <w:t xml:space="preserve">and the development of the study questionnaire. The feedback obtained</w:t>
      </w:r>
      <w:r>
        <w:t xml:space="preserve"> </w:t>
      </w:r>
      <w:r>
        <w:t xml:space="preserve">through this sustained engagement led to several concrete improvements</w:t>
      </w:r>
      <w:r>
        <w:t xml:space="preserve"> </w:t>
      </w:r>
      <w:r>
        <w:t xml:space="preserve">in our approach: e.g. we went from targeting gay and bisexual men in our</w:t>
      </w:r>
      <w:r>
        <w:t xml:space="preserve"> </w:t>
      </w:r>
      <w:r>
        <w:t xml:space="preserve">communications to addressing queer and trans communities more generally.</w:t>
      </w:r>
      <w:r>
        <w:t xml:space="preserve"> </w:t>
      </w:r>
      <w:r>
        <w:t xml:space="preserve">We also went from planning an English survey to one implemented in</w:t>
      </w:r>
      <w:r>
        <w:t xml:space="preserve"> </w:t>
      </w:r>
      <w:r>
        <w:t xml:space="preserve">English and Spanish. Further details about the Community Forum and the</w:t>
      </w:r>
      <w:r>
        <w:t xml:space="preserve"> </w:t>
      </w:r>
      <w:r>
        <w:t xml:space="preserve">principles that animated this work have been previously published</w:t>
      </w:r>
      <w:r>
        <w:t xml:space="preserve"> </w:t>
      </w:r>
      <w:r>
        <w:t xml:space="preserve">(Roth et al. 2023)</w:t>
      </w:r>
      <w:r>
        <w:t xml:space="preserve">.</w:t>
      </w:r>
    </w:p>
    <w:bookmarkEnd w:id="21"/>
    <w:bookmarkStart w:id="33" w:name="recruitment"/>
    <w:p>
      <w:pPr>
        <w:pStyle w:val="Heading3"/>
      </w:pPr>
      <w:r>
        <w:t xml:space="preserve">Recruitment</w:t>
      </w:r>
    </w:p>
    <w:p>
      <w:pPr>
        <w:pStyle w:val="FirstParagraph"/>
      </w:pPr>
      <w:r>
        <w:t xml:space="preserve">We collaborated with a marketing agency to design and implement a study</w:t>
      </w:r>
      <w:r>
        <w:t xml:space="preserve"> </w:t>
      </w:r>
      <w:r>
        <w:t xml:space="preserve">recruitment campaign in English and Spanish. The initial brief was to</w:t>
      </w:r>
      <w:r>
        <w:t xml:space="preserve"> </w:t>
      </w:r>
      <w:r>
        <w:t xml:space="preserve">create a name and visual identity that convey scientific rigor, build</w:t>
      </w:r>
      <w:r>
        <w:t xml:space="preserve"> </w:t>
      </w:r>
      <w:r>
        <w:t xml:space="preserve">trust with the community, and stand out in a crowded online marketplace</w:t>
      </w:r>
      <w:r>
        <w:t xml:space="preserve"> </w:t>
      </w:r>
      <w:r>
        <w:t xml:space="preserve">(see</w:t>
      </w:r>
      <w:r>
        <w:t xml:space="preserve"> </w:t>
      </w:r>
      <w:hyperlink w:anchor="fig-requirements">
        <w:r>
          <w:rPr>
            <w:rStyle w:val="Hyperlink"/>
          </w:rPr>
          <w:t xml:space="preserve">Figure 1</w:t>
        </w:r>
      </w:hyperlink>
      <w:r>
        <w:t xml:space="preserve">). As a starting point, we suggested a campaign</w:t>
      </w:r>
      <w:r>
        <w:t xml:space="preserve"> </w:t>
      </w:r>
      <w:r>
        <w:t xml:space="preserve">that playfully uses emojis that have sexual connotations. Two campaign</w:t>
      </w:r>
      <w:r>
        <w:t xml:space="preserve"> </w:t>
      </w:r>
      <w:r>
        <w:t xml:space="preserve">names and four marketing concepts (see</w:t>
      </w:r>
      <w:r>
        <w:t xml:space="preserve"> </w:t>
      </w:r>
      <w:hyperlink w:anchor="fig-options">
        <w:r>
          <w:rPr>
            <w:rStyle w:val="Hyperlink"/>
          </w:rPr>
          <w:t xml:space="preserve">Figure 2</w:t>
        </w:r>
      </w:hyperlink>
      <w:r>
        <w:t xml:space="preserve">) were developed by</w:t>
      </w:r>
      <w:r>
        <w:t xml:space="preserve"> </w:t>
      </w:r>
      <w:r>
        <w:t xml:space="preserve">the marketing agency and presented to a meeting of the RESPND-MI</w:t>
      </w:r>
      <w:r>
        <w:t xml:space="preserve"> </w:t>
      </w:r>
      <w:r>
        <w:t xml:space="preserve">Community Forum. The final concept and name were decided by consensus</w:t>
      </w:r>
      <w:r>
        <w:t xml:space="preserve"> </w:t>
      </w:r>
      <w:r>
        <w:t xml:space="preserve">during that meeting.</w:t>
      </w:r>
    </w:p>
    <w:tbl>
      <w:tblPr>
        <w:tblStyle w:val="Table"/>
        <w:tblW w:type="pct" w:w="5000"/>
        <w:tblLook w:firstRow="0" w:lastRow="0" w:firstColumn="0" w:lastColumn="0" w:noHBand="0" w:noVBand="0" w:val="0000"/>
        <w:jc w:val="start"/>
      </w:tblPr>
      <w:tblGrid>
        <w:gridCol w:w="7920"/>
      </w:tblGrid>
      <w:tr>
        <w:tc>
          <w:tcPr/>
          <w:bookmarkStart w:id="26" w:name="fig-requirements"/>
          <w:p>
            <w:pPr>
              <w:jc w:val="center"/>
            </w:pPr>
            <w:hyperlink r:id="rId25">
              <w:r>
                <w:drawing>
                  <wp:inline>
                    <wp:extent cx="5334000" cy="2764335"/>
                    <wp:effectExtent b="0" l="0" r="0" t="0"/>
                    <wp:docPr descr="" title="" id="23" name="Picture"/>
                    <a:graphic>
                      <a:graphicData uri="http://schemas.openxmlformats.org/drawingml/2006/picture">
                        <pic:pic>
                          <pic:nvPicPr>
                            <pic:cNvPr descr="images/clipboard-2397454480.png" id="24" name="Picture"/>
                            <pic:cNvPicPr>
                              <a:picLocks noChangeArrowheads="1" noChangeAspect="1"/>
                            </pic:cNvPicPr>
                          </pic:nvPicPr>
                          <pic:blipFill>
                            <a:blip r:embed="rId22"/>
                            <a:stretch>
                              <a:fillRect/>
                            </a:stretch>
                          </pic:blipFill>
                          <pic:spPr bwMode="auto">
                            <a:xfrm>
                              <a:off x="0" y="0"/>
                              <a:ext cx="5334000" cy="2764335"/>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1: Requirements for MPX NYC</w:t>
            </w:r>
            <w:r>
              <w:t xml:space="preserve"> </w:t>
            </w:r>
            <w:r>
              <w:t xml:space="preserve">Study</w:t>
            </w:r>
          </w:p>
          <w:bookmarkEnd w:id="26"/>
        </w:tc>
      </w:tr>
    </w:tbl>
    <w:p>
      <w:pPr>
        <w:pStyle w:val="BodyText"/>
      </w:pPr>
      <w:r>
        <w:t xml:space="preserve">Marketing materials were developed based on the concept and name. These</w:t>
      </w:r>
      <w:r>
        <w:t xml:space="preserve"> </w:t>
      </w:r>
      <w:r>
        <w:t xml:space="preserve">included graphics, videos by queer influencers, and a style guide</w:t>
      </w:r>
      <w:r>
        <w:t xml:space="preserve"> </w:t>
      </w:r>
      <w:r>
        <w:t xml:space="preserve">(including colors, icons, and fonts) for all public-facing materials of</w:t>
      </w:r>
      <w:r>
        <w:t xml:space="preserve"> </w:t>
      </w:r>
      <w:r>
        <w:t xml:space="preserve">the MPX NYC study. We organized these materials into a</w:t>
      </w:r>
      <w:r>
        <w:t xml:space="preserve"> </w:t>
      </w:r>
      <w:r>
        <w:t xml:space="preserve">“</w:t>
      </w:r>
      <w:r>
        <w:t xml:space="preserve">social media</w:t>
      </w:r>
      <w:r>
        <w:t xml:space="preserve"> </w:t>
      </w:r>
      <w:r>
        <w:t xml:space="preserve">toolkit</w:t>
      </w:r>
      <w:r>
        <w:t xml:space="preserve">”</w:t>
      </w:r>
      <w:r>
        <w:t xml:space="preserve"> </w:t>
      </w:r>
      <w:r>
        <w:t xml:space="preserve">and shared them through the study website to enable individuals</w:t>
      </w:r>
      <w:r>
        <w:t xml:space="preserve"> </w:t>
      </w:r>
      <w:r>
        <w:t xml:space="preserve">and organizations to share them through their own social media accounts.</w:t>
      </w:r>
      <w:r>
        <w:t xml:space="preserve"> </w:t>
      </w:r>
      <w:r>
        <w:t xml:space="preserve">We also used them for paid advertising through Grindr, Twitter,</w:t>
      </w:r>
      <w:r>
        <w:t xml:space="preserve"> </w:t>
      </w:r>
      <w:r>
        <w:t xml:space="preserve">Instagram, and outdoor electronic billboards.</w:t>
      </w:r>
    </w:p>
    <w:p>
      <w:pPr>
        <w:pStyle w:val="BodyText"/>
      </w:pPr>
      <w:r>
        <w:t xml:space="preserve">The marketing campaign for MPX NYC was among those that won a</w:t>
      </w:r>
      <w:r>
        <w:t xml:space="preserve"> </w:t>
      </w:r>
      <w:r>
        <w:t xml:space="preserve">Health+Wellness award from Graphic Design USA in 2023</w:t>
      </w:r>
      <w:r>
        <w:t xml:space="preserve"> </w:t>
      </w:r>
      <w:r>
        <w:t xml:space="preserve">(</w:t>
      </w:r>
      <w:hyperlink r:id="rId27">
        <w:r>
          <w:rPr>
            <w:rStyle w:val="Hyperlink"/>
          </w:rPr>
          <w:t xml:space="preserve">https://gdusa.com/2023-health-wellness-awards-winner?rns=0|41441831|41441872|41441882</w:t>
        </w:r>
      </w:hyperlink>
      <w:r>
        <w:t xml:space="preserve">)</w:t>
      </w:r>
      <w:r>
        <w:t xml:space="preserve"> </w:t>
      </w:r>
      <w:r>
        <w:t xml:space="preserve">and was recognized by Out Magainze through the inclusion of the</w:t>
      </w:r>
      <w:r>
        <w:t xml:space="preserve"> </w:t>
      </w:r>
      <w:r>
        <w:t xml:space="preserve">pirncipal investigator in the 2022 OUT100 list for</w:t>
      </w:r>
      <w:r>
        <w:t xml:space="preserve"> </w:t>
      </w:r>
      <w:r>
        <w:t xml:space="preserve">“</w:t>
      </w:r>
      <w:r>
        <w:t xml:space="preserve">LGBTQ+ Policy Makers</w:t>
      </w:r>
      <w:r>
        <w:t xml:space="preserve"> </w:t>
      </w:r>
      <w:r>
        <w:t xml:space="preserve">and Advocates Changing the World</w:t>
      </w:r>
      <w:r>
        <w:t xml:space="preserve">”</w:t>
      </w:r>
      <w:r>
        <w:t xml:space="preserve"> </w:t>
      </w:r>
      <w:r>
        <w:t xml:space="preserve">(</w:t>
      </w:r>
      <w:hyperlink r:id="rId28">
        <w:r>
          <w:rPr>
            <w:rStyle w:val="Hyperlink"/>
          </w:rPr>
          <w:t xml:space="preserve">https://www.out.com/print/2022/10/27/out100-2022-lgbtq-policy-makers-and-advocates-changing-world#rebelltitem29</w:t>
        </w:r>
      </w:hyperlink>
      <w:r>
        <w:t xml:space="preserve">).</w:t>
      </w:r>
    </w:p>
    <w:tbl>
      <w:tblPr>
        <w:tblStyle w:val="Table"/>
        <w:tblW w:type="pct" w:w="5000"/>
        <w:tblLook w:firstRow="0" w:lastRow="0" w:firstColumn="0" w:lastColumn="0" w:noHBand="0" w:noVBand="0" w:val="0000"/>
        <w:jc w:val="start"/>
      </w:tblPr>
      <w:tblGrid>
        <w:gridCol w:w="7920"/>
      </w:tblGrid>
      <w:tr>
        <w:tc>
          <w:tcPr/>
          <w:bookmarkStart w:id="32" w:name="fig-options"/>
          <w:p>
            <w:pPr>
              <w:jc w:val="center"/>
            </w:pPr>
            <w:r>
              <w:drawing>
                <wp:inline>
                  <wp:extent cx="5334000" cy="3144643"/>
                  <wp:effectExtent b="0" l="0" r="0" t="0"/>
                  <wp:docPr descr="" title="" id="30" name="Picture"/>
                  <a:graphic>
                    <a:graphicData uri="http://schemas.openxmlformats.org/drawingml/2006/picture">
                      <pic:pic>
                        <pic:nvPicPr>
                          <pic:cNvPr descr="images/clipboard-22126019.png" id="31" name="Picture"/>
                          <pic:cNvPicPr>
                            <a:picLocks noChangeArrowheads="1" noChangeAspect="1"/>
                          </pic:cNvPicPr>
                        </pic:nvPicPr>
                        <pic:blipFill>
                          <a:blip r:embed="rId29"/>
                          <a:stretch>
                            <a:fillRect/>
                          </a:stretch>
                        </pic:blipFill>
                        <pic:spPr bwMode="auto">
                          <a:xfrm>
                            <a:off x="0" y="0"/>
                            <a:ext cx="5334000" cy="31446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Options for visual identity of MPX</w:t>
            </w:r>
            <w:r>
              <w:t xml:space="preserve"> </w:t>
            </w:r>
            <w:r>
              <w:t xml:space="preserve">NYC</w:t>
            </w:r>
          </w:p>
          <w:bookmarkEnd w:id="32"/>
        </w:tc>
      </w:tr>
    </w:tbl>
    <w:bookmarkEnd w:id="33"/>
    <w:bookmarkStart w:id="38" w:name="data-collection-instrument"/>
    <w:p>
      <w:pPr>
        <w:pStyle w:val="Heading3"/>
      </w:pPr>
      <w:r>
        <w:t xml:space="preserve">Data collection instrument</w:t>
      </w:r>
    </w:p>
    <w:p>
      <w:pPr>
        <w:pStyle w:val="FirstParagraph"/>
      </w:pPr>
      <w:r>
        <w:t xml:space="preserve">We rapidly designed, tested, and implemented a novel online survey</w:t>
      </w:r>
      <w:r>
        <w:t xml:space="preserve"> </w:t>
      </w:r>
      <w:r>
        <w:t xml:space="preserve">instrument which captures rich spatial information while protecting</w:t>
      </w:r>
      <w:r>
        <w:t xml:space="preserve"> </w:t>
      </w:r>
      <w:r>
        <w:t xml:space="preserve">participant anonymity. Along with standard question formats (multiple</w:t>
      </w:r>
      <w:r>
        <w:t xml:space="preserve"> </w:t>
      </w:r>
      <w:r>
        <w:t xml:space="preserve">choice, single choice, text field etc.) we developed the map-input</w:t>
      </w:r>
      <w:r>
        <w:t xml:space="preserve"> </w:t>
      </w:r>
      <w:r>
        <w:t xml:space="preserve">question format to elicit spatial data.</w:t>
      </w:r>
    </w:p>
    <w:p>
      <w:pPr>
        <w:pStyle w:val="BodyText"/>
      </w:pPr>
      <w:r>
        <w:t xml:space="preserve">In the map-input question format, participants are prompted to indicate</w:t>
      </w:r>
      <w:r>
        <w:t xml:space="preserve"> </w:t>
      </w:r>
      <w:r>
        <w:t xml:space="preserve">all places of a particular type by tapping on a displayed map (see</w:t>
      </w:r>
      <w:r>
        <w:t xml:space="preserve"> </w:t>
      </w:r>
      <w:hyperlink w:anchor="fig-mapinputformat">
        <w:r>
          <w:rPr>
            <w:rStyle w:val="Hyperlink"/>
          </w:rPr>
          <w:t xml:space="preserve">Figure 3</w:t>
        </w:r>
      </w:hyperlink>
      <w:r>
        <w:t xml:space="preserve">). Each time the user taps, a marker appears and a</w:t>
      </w:r>
      <w:r>
        <w:t xml:space="preserve"> </w:t>
      </w:r>
      <w:r>
        <w:t xml:space="preserve">pop-up window prompts them to answer a series of questions related to</w:t>
      </w:r>
      <w:r>
        <w:t xml:space="preserve"> </w:t>
      </w:r>
      <w:r>
        <w:t xml:space="preserve">that location. To protect participant anonymity, spatial data are</w:t>
      </w:r>
      <w:r>
        <w:t xml:space="preserve"> </w:t>
      </w:r>
      <w:r>
        <w:t xml:space="preserve">coarsened by transforming longitude-latitude coordinates into</w:t>
      </w:r>
      <w:r>
        <w:t xml:space="preserve"> </w:t>
      </w:r>
      <w:r>
        <w:t xml:space="preserve">identifiers for the census tracts that contain them. Census tracts are a</w:t>
      </w:r>
      <w:r>
        <w:t xml:space="preserve"> </w:t>
      </w:r>
      <w:r>
        <w:t xml:space="preserve">spatial unit that exhaustively divides the United States into areas</w:t>
      </w:r>
      <w:r>
        <w:t xml:space="preserve"> </w:t>
      </w:r>
      <w:r>
        <w:t xml:space="preserve">ranging from</w:t>
      </w:r>
      <w:r>
        <w:t xml:space="preserve"> </w:t>
      </w:r>
      <m:oMath>
        <m:r>
          <m:t>2500</m:t>
        </m:r>
      </m:oMath>
      <w:r>
        <w:t xml:space="preserve"> </w:t>
      </w:r>
      <w:r>
        <w:t xml:space="preserve">to</w:t>
      </w:r>
      <w:r>
        <w:t xml:space="preserve"> </w:t>
      </w:r>
      <m:oMath>
        <m:r>
          <m:t>8000</m:t>
        </m:r>
      </m:oMath>
      <w:r>
        <w:t xml:space="preserve"> </w:t>
      </w:r>
      <w:r>
        <w:t xml:space="preserve">in population size</w:t>
      </w:r>
      <w:r>
        <w:t xml:space="preserve"> </w:t>
      </w:r>
      <w:r>
        <w:t xml:space="preserve">(US Census 2022)</w:t>
      </w:r>
      <w:r>
        <w:t xml:space="preserve">.</w:t>
      </w:r>
    </w:p>
    <w:p>
      <w:pPr>
        <w:pStyle w:val="BodyText"/>
      </w:pPr>
      <w:r>
        <w:t xml:space="preserve">The look and feel of the data collection instrument was based on the MPX</w:t>
      </w:r>
      <w:r>
        <w:t xml:space="preserve"> </w:t>
      </w:r>
      <w:r>
        <w:t xml:space="preserve">NYC style guide. The front end was developed as a single-page web</w:t>
      </w:r>
      <w:r>
        <w:t xml:space="preserve"> </w:t>
      </w:r>
      <w:r>
        <w:t xml:space="preserve">application using the React/NextJS framework</w:t>
      </w:r>
      <w:r>
        <w:t xml:space="preserve"> </w:t>
      </w:r>
      <w:r>
        <w:t xml:space="preserve">(</w:t>
      </w:r>
      <w:r>
        <w:t xml:space="preserve">“NextJS Documentation”</w:t>
      </w:r>
      <w:r>
        <w:t xml:space="preserve"> </w:t>
      </w:r>
      <w:r>
        <w:t xml:space="preserve">2024)</w:t>
      </w:r>
      <w:r>
        <w:t xml:space="preserve">. It uses the</w:t>
      </w:r>
      <w:r>
        <w:t xml:space="preserve"> </w:t>
      </w:r>
      <w:r>
        <w:t xml:space="preserve">Google Maps</w:t>
      </w:r>
      <w:r>
        <w:t xml:space="preserve"> </w:t>
      </w:r>
      <w:r>
        <w:t xml:space="preserve">(Google 2024)</w:t>
      </w:r>
      <w:r>
        <w:t xml:space="preserve"> </w:t>
      </w:r>
      <w:r>
        <w:t xml:space="preserve">API to elicit spatial coordinates, and the</w:t>
      </w:r>
      <w:r>
        <w:t xml:space="preserve"> </w:t>
      </w:r>
      <w:r>
        <w:t xml:space="preserve">Federal Communications Commission</w:t>
      </w:r>
      <w:r>
        <w:t xml:space="preserve"> </w:t>
      </w:r>
      <w:r>
        <w:t xml:space="preserve">(</w:t>
      </w:r>
      <w:r>
        <w:t xml:space="preserve">“Federal Communications Commission API,”</w:t>
      </w:r>
      <w:r>
        <w:t xml:space="preserve"> </w:t>
      </w:r>
      <w:r>
        <w:t xml:space="preserve">n.d.)</w:t>
      </w:r>
      <w:r>
        <w:t xml:space="preserve"> </w:t>
      </w:r>
      <w:r>
        <w:t xml:space="preserve">API to transform them into</w:t>
      </w:r>
      <w:r>
        <w:t xml:space="preserve"> </w:t>
      </w:r>
      <w:r>
        <w:t xml:space="preserve">census tract identifiers before data are transmitted to the back end.</w:t>
      </w:r>
      <w:r>
        <w:t xml:space="preserve"> </w:t>
      </w:r>
      <w:r>
        <w:t xml:space="preserve">The back end was hosted on a commercial cloud server platform. It</w:t>
      </w:r>
      <w:r>
        <w:t xml:space="preserve"> </w:t>
      </w:r>
      <w:r>
        <w:t xml:space="preserve">consisted of a Express.js server linked to custom-built neo4j graph</w:t>
      </w:r>
      <w:r>
        <w:t xml:space="preserve"> </w:t>
      </w:r>
      <w:r>
        <w:t xml:space="preserve">database</w:t>
      </w:r>
      <w:r>
        <w:t xml:space="preserve"> </w:t>
      </w:r>
      <w:r>
        <w:t xml:space="preserve">(Neo4j 2024)</w:t>
      </w:r>
      <w:r>
        <w:t xml:space="preserve">. The instrument underwent two rounds of user</w:t>
      </w:r>
      <w:r>
        <w:t xml:space="preserve"> </w:t>
      </w:r>
      <w:r>
        <w:t xml:space="preserve">testing before data collection started.</w:t>
      </w:r>
    </w:p>
    <w:tbl>
      <w:tblPr>
        <w:tblStyle w:val="Table"/>
        <w:tblW w:type="pct" w:w="5000"/>
        <w:tblLook w:firstRow="0" w:lastRow="0" w:firstColumn="0" w:lastColumn="0" w:noHBand="0" w:noVBand="0" w:val="0000"/>
        <w:jc w:val="start"/>
      </w:tblPr>
      <w:tblGrid>
        <w:gridCol w:w="7920"/>
      </w:tblGrid>
      <w:tr>
        <w:tc>
          <w:tcPr/>
          <w:bookmarkStart w:id="37" w:name="fig-mapinputformat"/>
          <w:p>
            <w:pPr>
              <w:jc w:val="center"/>
            </w:pPr>
            <w:r>
              <w:drawing>
                <wp:inline>
                  <wp:extent cx="5334000" cy="2978357"/>
                  <wp:effectExtent b="0" l="0" r="0" t="0"/>
                  <wp:docPr descr="" title="" id="35" name="Picture"/>
                  <a:graphic>
                    <a:graphicData uri="http://schemas.openxmlformats.org/drawingml/2006/picture">
                      <pic:pic>
                        <pic:nvPicPr>
                          <pic:cNvPr descr="images/clipboard-1908474363.png" id="36" name="Picture"/>
                          <pic:cNvPicPr>
                            <a:picLocks noChangeArrowheads="1" noChangeAspect="1"/>
                          </pic:cNvPicPr>
                        </pic:nvPicPr>
                        <pic:blipFill>
                          <a:blip r:embed="rId34"/>
                          <a:stretch>
                            <a:fillRect/>
                          </a:stretch>
                        </pic:blipFill>
                        <pic:spPr bwMode="auto">
                          <a:xfrm>
                            <a:off x="0" y="0"/>
                            <a:ext cx="5334000" cy="29783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Map input question format developed for MPX</w:t>
            </w:r>
            <w:r>
              <w:t xml:space="preserve"> </w:t>
            </w:r>
            <w:r>
              <w:t xml:space="preserve">NYC</w:t>
            </w:r>
          </w:p>
          <w:bookmarkEnd w:id="37"/>
        </w:tc>
      </w:tr>
    </w:tbl>
    <w:bookmarkEnd w:id="38"/>
    <w:bookmarkStart w:id="39" w:name="inclusion-and-exclusion-criteria"/>
    <w:p>
      <w:pPr>
        <w:pStyle w:val="Heading3"/>
      </w:pPr>
      <w:r>
        <w:t xml:space="preserve">Inclusion and Exclusion Criteria</w:t>
      </w:r>
    </w:p>
    <w:p>
      <w:pPr>
        <w:pStyle w:val="FirstParagraph"/>
      </w:pPr>
      <w:r>
        <w:t xml:space="preserve">Potential participants were included in the study if they consented to</w:t>
      </w:r>
      <w:r>
        <w:t xml:space="preserve"> </w:t>
      </w:r>
      <w:r>
        <w:t xml:space="preserve">participate, were over 18 years of age, identified as transgender, gay,</w:t>
      </w:r>
      <w:r>
        <w:t xml:space="preserve"> </w:t>
      </w:r>
      <w:r>
        <w:t xml:space="preserve">bisexual, or as men who have sex with other men, and were in New York</w:t>
      </w:r>
      <w:r>
        <w:t xml:space="preserve"> </w:t>
      </w:r>
      <w:r>
        <w:t xml:space="preserve">City in the four weeks preceding the survey. Potential participants were</w:t>
      </w:r>
      <w:r>
        <w:t xml:space="preserve"> </w:t>
      </w:r>
      <w:r>
        <w:t xml:space="preserve">excluded if they were younger than 18 years of age or they withdrew</w:t>
      </w:r>
      <w:r>
        <w:t xml:space="preserve"> </w:t>
      </w:r>
      <w:r>
        <w:t xml:space="preserve">consent.</w:t>
      </w:r>
    </w:p>
    <w:bookmarkEnd w:id="39"/>
    <w:bookmarkStart w:id="40" w:name="translation"/>
    <w:p>
      <w:pPr>
        <w:pStyle w:val="Heading3"/>
      </w:pPr>
      <w:r>
        <w:t xml:space="preserve">Translation</w:t>
      </w:r>
    </w:p>
    <w:p>
      <w:pPr>
        <w:pStyle w:val="FirstParagraph"/>
      </w:pPr>
      <w:r>
        <w:t xml:space="preserve">All study materials were professionally translated from English to</w:t>
      </w:r>
      <w:r>
        <w:t xml:space="preserve"> </w:t>
      </w:r>
      <w:r>
        <w:t xml:space="preserve">Spanish. The translation was reviewed by six professionals in</w:t>
      </w:r>
      <w:r>
        <w:t xml:space="preserve"> </w:t>
      </w:r>
      <w:r>
        <w:t xml:space="preserve">health-related fields whose primary language is Spanish.</w:t>
      </w:r>
    </w:p>
    <w:bookmarkEnd w:id="40"/>
    <w:bookmarkStart w:id="41" w:name="ethical-review"/>
    <w:p>
      <w:pPr>
        <w:pStyle w:val="Heading3"/>
      </w:pPr>
      <w:r>
        <w:t xml:space="preserve">Ethical Review</w:t>
      </w:r>
    </w:p>
    <w:p>
      <w:pPr>
        <w:pStyle w:val="FirstParagraph"/>
      </w:pPr>
      <w:r>
        <w:t xml:space="preserve">The study was reviewed and approved by the T.H. Chan School of Public</w:t>
      </w:r>
      <w:r>
        <w:t xml:space="preserve"> </w:t>
      </w:r>
      <w:r>
        <w:t xml:space="preserve">Health Institutional Review Board (IRB22-0761).</w:t>
      </w:r>
    </w:p>
    <w:bookmarkEnd w:id="41"/>
    <w:bookmarkEnd w:id="42"/>
    <w:bookmarkStart w:id="45" w:name="measures"/>
    <w:p>
      <w:pPr>
        <w:pStyle w:val="Heading2"/>
      </w:pPr>
      <w:r>
        <w:t xml:space="preserve">Measures</w:t>
      </w:r>
    </w:p>
    <w:bookmarkStart w:id="43" w:name="participants"/>
    <w:p>
      <w:pPr>
        <w:pStyle w:val="Heading3"/>
      </w:pPr>
      <w:r>
        <w:t xml:space="preserve">Participants</w:t>
      </w:r>
    </w:p>
    <w:p>
      <w:pPr>
        <w:pStyle w:val="FirstParagraph"/>
      </w:pPr>
      <w:r>
        <w:t xml:space="preserve">The brief (5 minute) questionnaire was implemented in English and</w:t>
      </w:r>
      <w:r>
        <w:t xml:space="preserve"> </w:t>
      </w:r>
      <w:r>
        <w:t xml:space="preserve">Spanish. It measured participant demographics, utilization of healthcare</w:t>
      </w:r>
      <w:r>
        <w:t xml:space="preserve"> </w:t>
      </w:r>
      <w:r>
        <w:t xml:space="preserve">services; and connection to queer or transgender community.</w:t>
      </w:r>
    </w:p>
    <w:p>
      <w:pPr>
        <w:pStyle w:val="BodyText"/>
      </w:pPr>
      <w:r>
        <w:t xml:space="preserve">Gender identity was measured using a two-step approach: first, we</w:t>
      </w:r>
      <w:r>
        <w:t xml:space="preserve"> </w:t>
      </w:r>
      <w:r>
        <w:t xml:space="preserve">solicited the participant’s current gender (man, woman, trans man, trans</w:t>
      </w:r>
      <w:r>
        <w:t xml:space="preserve"> </w:t>
      </w:r>
      <w:r>
        <w:t xml:space="preserve">woman, non-binary, other), and then sex assigned at birth (male, female,</w:t>
      </w:r>
      <w:r>
        <w:t xml:space="preserve"> </w:t>
      </w:r>
      <w:r>
        <w:t xml:space="preserve">other). Those whose gender identity and sex assigned at birth were not</w:t>
      </w:r>
      <w:r>
        <w:t xml:space="preserve"> </w:t>
      </w:r>
      <w:r>
        <w:t xml:space="preserve">concordant were categorized as transgender. We used current gender to</w:t>
      </w:r>
      <w:r>
        <w:t xml:space="preserve"> </w:t>
      </w:r>
      <w:r>
        <w:t xml:space="preserve">further categorize transgender people into men and women.</w:t>
      </w:r>
    </w:p>
    <w:p>
      <w:pPr>
        <w:pStyle w:val="BodyText"/>
      </w:pPr>
      <w:r>
        <w:t xml:space="preserve">Race was measured using a multiple selection question based on census</w:t>
      </w:r>
      <w:r>
        <w:t xml:space="preserve"> </w:t>
      </w:r>
      <w:r>
        <w:t xml:space="preserve">categories (white, black, latino/a/x, asian, pacific islander, other).</w:t>
      </w:r>
      <w:r>
        <w:t xml:space="preserve"> </w:t>
      </w:r>
      <w:r>
        <w:t xml:space="preserve">We combined gender identity and race to form a gender-race variable,</w:t>
      </w:r>
      <w:r>
        <w:t xml:space="preserve"> </w:t>
      </w:r>
      <w:r>
        <w:t xml:space="preserve">collapsing small cells across racial groups (white cisgender man, latinx</w:t>
      </w:r>
      <w:r>
        <w:t xml:space="preserve"> </w:t>
      </w:r>
      <w:r>
        <w:t xml:space="preserve">cisgender man, black cisgender man, other cisgender man, non-binary</w:t>
      </w:r>
      <w:r>
        <w:t xml:space="preserve"> </w:t>
      </w:r>
      <w:r>
        <w:t xml:space="preserve">person, transgender man, transgender woman, cisgender woman, another</w:t>
      </w:r>
      <w:r>
        <w:t xml:space="preserve"> </w:t>
      </w:r>
      <w:r>
        <w:t xml:space="preserve">demographic).</w:t>
      </w:r>
    </w:p>
    <w:bookmarkEnd w:id="43"/>
    <w:bookmarkStart w:id="44" w:name="residence-and-contact-venues"/>
    <w:p>
      <w:pPr>
        <w:pStyle w:val="Heading3"/>
      </w:pPr>
      <w:r>
        <w:t xml:space="preserve">Residence and Contact venues</w:t>
      </w:r>
    </w:p>
    <w:p>
      <w:pPr>
        <w:pStyle w:val="FirstParagraph"/>
      </w:pPr>
      <w:r>
        <w:t xml:space="preserve">Using the map-input question format, we solicited the census tract of</w:t>
      </w:r>
      <w:r>
        <w:t xml:space="preserve"> </w:t>
      </w:r>
      <w:r>
        <w:t xml:space="preserve">participants’ primary residences. Among those who reported physical or</w:t>
      </w:r>
      <w:r>
        <w:t xml:space="preserve"> </w:t>
      </w:r>
      <w:r>
        <w:t xml:space="preserve">sexual contact in a group setting in the preceding 4 weeks, we solicited</w:t>
      </w:r>
      <w:r>
        <w:t xml:space="preserve"> </w:t>
      </w:r>
      <w:r>
        <w:t xml:space="preserve">the locations of the venues at which the contact happened. We refer to</w:t>
      </w:r>
      <w:r>
        <w:t xml:space="preserve"> </w:t>
      </w:r>
      <w:r>
        <w:t xml:space="preserve">these locations as</w:t>
      </w:r>
      <w:r>
        <w:t xml:space="preserve"> </w:t>
      </w:r>
      <w:r>
        <w:t xml:space="preserve">“</w:t>
      </w:r>
      <w:r>
        <w:t xml:space="preserve">contact venues</w:t>
      </w:r>
      <w:r>
        <w:t xml:space="preserve">”</w:t>
      </w:r>
      <w:r>
        <w:t xml:space="preserve">. For each contact venue (see</w:t>
      </w:r>
      <w:r>
        <w:t xml:space="preserve"> </w:t>
      </w:r>
      <w:hyperlink w:anchor="fig-mapinputformat">
        <w:r>
          <w:rPr>
            <w:rStyle w:val="Hyperlink"/>
          </w:rPr>
          <w:t xml:space="preserve">Figure 3</w:t>
        </w:r>
      </w:hyperlink>
      <w:r>
        <w:t xml:space="preserve">), participants indicated the type of place it was</w:t>
      </w:r>
      <w:r>
        <w:t xml:space="preserve"> </w:t>
      </w:r>
      <w:r>
        <w:t xml:space="preserve">(dance party, sex party, darkroom, sport game, concert, theatre/show,</w:t>
      </w:r>
      <w:r>
        <w:t xml:space="preserve"> </w:t>
      </w:r>
      <w:r>
        <w:t xml:space="preserve">private residence, sex club, bathhouse, park, something else) and</w:t>
      </w:r>
      <w:r>
        <w:t xml:space="preserve"> </w:t>
      </w:r>
      <w:r>
        <w:t xml:space="preserve">whether they had sexual (vs. non-sexual) contact there.</w:t>
      </w:r>
    </w:p>
    <w:bookmarkEnd w:id="44"/>
    <w:bookmarkEnd w:id="45"/>
    <w:bookmarkStart w:id="53" w:name="statistical-analysis"/>
    <w:p>
      <w:pPr>
        <w:pStyle w:val="Heading2"/>
      </w:pPr>
      <w:r>
        <w:t xml:space="preserve">Statistical Analysis</w:t>
      </w:r>
    </w:p>
    <w:bookmarkStart w:id="46" w:name="Xc050e3b2b3ebc6b86d204b5e170e1fb1d90a26c"/>
    <w:p>
      <w:pPr>
        <w:pStyle w:val="Heading3"/>
      </w:pPr>
      <w:r>
        <w:t xml:space="preserve">Participant and contact venue characteristics</w:t>
      </w:r>
    </w:p>
    <w:p>
      <w:pPr>
        <w:pStyle w:val="FirstParagraph"/>
      </w:pPr>
      <w:r>
        <w:t xml:space="preserve">Participant characteristics were tabulated by contact in the preceding 4</w:t>
      </w:r>
      <w:r>
        <w:t xml:space="preserve"> </w:t>
      </w:r>
      <w:r>
        <w:t xml:space="preserve">weeks. We also tabulated contact venue characteristics by distance from</w:t>
      </w:r>
      <w:r>
        <w:t xml:space="preserve"> </w:t>
      </w:r>
      <w:r>
        <w:t xml:space="preserve">home and by sexual contact.</w:t>
      </w:r>
    </w:p>
    <w:p>
      <w:pPr>
        <w:pStyle w:val="BodyText"/>
      </w:pPr>
      <w:r>
        <w:t xml:space="preserve">Census tract identifiers were converted into community district</w:t>
      </w:r>
      <w:r>
        <w:t xml:space="preserve"> </w:t>
      </w:r>
      <w:r>
        <w:t xml:space="preserve">identifiers. Census tracts are nested in community districts. They are</w:t>
      </w:r>
      <w:r>
        <w:t xml:space="preserve"> </w:t>
      </w:r>
      <w:r>
        <w:t xml:space="preserve">defined by the City of New York</w:t>
      </w:r>
      <w:r>
        <w:t xml:space="preserve"> </w:t>
      </w:r>
      <w:r>
        <w:t xml:space="preserve">(NYC OpenData 2022)</w:t>
      </w:r>
      <w:r>
        <w:t xml:space="preserve">. For each contact</w:t>
      </w:r>
      <w:r>
        <w:t xml:space="preserve"> </w:t>
      </w:r>
      <w:r>
        <w:t xml:space="preserve">venue, we approximated the distance from home to that venue using an</w:t>
      </w:r>
      <w:r>
        <w:t xml:space="preserve"> </w:t>
      </w:r>
      <w:r>
        <w:t xml:space="preserve">ordinal variable with three levels: same community district as home;</w:t>
      </w:r>
      <w:r>
        <w:t xml:space="preserve"> </w:t>
      </w:r>
      <w:r>
        <w:t xml:space="preserve">different community district but same borough as home; different borough</w:t>
      </w:r>
      <w:r>
        <w:t xml:space="preserve"> </w:t>
      </w:r>
      <w:r>
        <w:t xml:space="preserve">than home.</w:t>
      </w:r>
    </w:p>
    <w:bookmarkEnd w:id="46"/>
    <w:bookmarkStart w:id="47" w:name="spatial-sorting-and-mixing"/>
    <w:p>
      <w:pPr>
        <w:pStyle w:val="Heading3"/>
      </w:pPr>
      <w:r>
        <w:t xml:space="preserve">Spatial sorting and mixing</w:t>
      </w:r>
    </w:p>
    <w:p>
      <w:pPr>
        <w:pStyle w:val="FirstParagraph"/>
      </w:pPr>
      <w:r>
        <w:t xml:space="preserve">To understand how different demographic groups mix in physical space, we</w:t>
      </w:r>
      <w:r>
        <w:t xml:space="preserve"> </w:t>
      </w:r>
      <w:r>
        <w:t xml:space="preserve">defined</w:t>
      </w:r>
      <w:r>
        <w:t xml:space="preserve"> </w:t>
      </w:r>
      <m:oMath>
        <m:sSub>
          <m:e>
            <m:r>
              <m:t>ψ</m:t>
            </m:r>
          </m:e>
          <m:sub>
            <m:r>
              <m:t>a</m:t>
            </m:r>
            <m:r>
              <m:rPr>
                <m:sty m:val="p"/>
              </m:rPr>
              <m:t>→</m:t>
            </m:r>
            <m:r>
              <m:t>b</m:t>
            </m:r>
          </m:sub>
        </m:sSub>
        <m:r>
          <m:rPr>
            <m:sty m:val="p"/>
          </m:rPr>
          <m:t>∈</m:t>
        </m:r>
        <m:d>
          <m:dPr>
            <m:begChr m:val="["/>
            <m:endChr m:val="]"/>
            <m:sepChr m:val=""/>
            <m:grow/>
          </m:dPr>
          <m:e>
            <m:r>
              <m:rPr>
                <m:sty m:val="p"/>
              </m:rPr>
              <m:t>−</m:t>
            </m:r>
            <m:r>
              <m:t>1</m:t>
            </m:r>
            <m:r>
              <m:rPr>
                <m:sty m:val="p"/>
              </m:rPr>
              <m:t>,</m:t>
            </m:r>
            <m:r>
              <m:rPr>
                <m:sty m:val="p"/>
              </m:rPr>
              <m:t>∞</m:t>
            </m:r>
          </m:e>
        </m:d>
      </m:oMath>
      <w:r>
        <w:t xml:space="preserve"> </w:t>
      </w:r>
      <w:r>
        <w:t xml:space="preserve">as the spatial</w:t>
      </w:r>
      <w:r>
        <w:t xml:space="preserve"> </w:t>
      </w:r>
      <w:r>
        <w:t xml:space="preserve">selection coefficient of subgroup</w:t>
      </w:r>
      <w:r>
        <w:t xml:space="preserve"> </w:t>
      </w:r>
      <m:oMath>
        <m:r>
          <m:t>a</m:t>
        </m:r>
      </m:oMath>
      <w:r>
        <w:t xml:space="preserve"> </w:t>
      </w:r>
      <w:r>
        <w:t xml:space="preserve">for subgroup</w:t>
      </w:r>
      <w:r>
        <w:t xml:space="preserve"> </w:t>
      </w:r>
      <m:oMath>
        <m:r>
          <m:t>b</m:t>
        </m:r>
      </m:oMath>
      <w:r>
        <w:t xml:space="preserve">. The spacial</w:t>
      </w:r>
      <w:r>
        <w:t xml:space="preserve"> </w:t>
      </w:r>
      <w:r>
        <w:t xml:space="preserve">selection coefficient is defined as the spacial selection ratio less 1.</w:t>
      </w:r>
      <w:r>
        <w:t xml:space="preserve"> </w:t>
      </w:r>
      <w:r>
        <w:t xml:space="preserve">The numerator for this ratio is the conditional probability of someone</w:t>
      </w:r>
      <w:r>
        <w:t xml:space="preserve"> </w:t>
      </w:r>
      <w:r>
        <w:t xml:space="preserve">in subgroup</w:t>
      </w:r>
      <w:r>
        <w:t xml:space="preserve"> </w:t>
      </w:r>
      <m:oMath>
        <m:r>
          <m:t>a</m:t>
        </m:r>
      </m:oMath>
      <w:r>
        <w:t xml:space="preserve"> </w:t>
      </w:r>
      <w:r>
        <w:t xml:space="preserve">sharing a community district with someone in subgroup</w:t>
      </w:r>
      <w:r>
        <w:t xml:space="preserve"> </w:t>
      </w:r>
      <m:oMath>
        <m:r>
          <m:t>b</m:t>
        </m:r>
      </m:oMath>
      <w:r>
        <w:t xml:space="preserve">. The denominator is the marginal probability of having</w:t>
      </w:r>
      <w:r>
        <w:t xml:space="preserve"> </w:t>
      </w:r>
      <w:r>
        <w:t xml:space="preserve">characteristic</w:t>
      </w:r>
      <w:r>
        <w:t xml:space="preserve"> </w:t>
      </w:r>
      <m:oMath>
        <m:r>
          <m:t>b</m:t>
        </m:r>
      </m:oMath>
      <w:r>
        <w:t xml:space="preserve">.</w:t>
      </w:r>
    </w:p>
    <w:p>
      <w:pPr>
        <w:pStyle w:val="BodyText"/>
      </w:pPr>
      <w:r>
        <w:t xml:space="preserve">This measure is</w:t>
      </w:r>
      <w:r>
        <w:t xml:space="preserve"> </w:t>
      </w:r>
      <m:oMath>
        <m:r>
          <m:t>0</m:t>
        </m:r>
      </m:oMath>
      <w:r>
        <w:t xml:space="preserve"> </w:t>
      </w:r>
      <w:r>
        <w:t xml:space="preserve">when contact venues and residences for subgroups</w:t>
      </w:r>
      <w:r>
        <w:t xml:space="preserve"> </w:t>
      </w:r>
      <m:oMath>
        <m:r>
          <m:t>a</m:t>
        </m:r>
      </m:oMath>
      <w:r>
        <w:t xml:space="preserve"> </w:t>
      </w:r>
      <w:r>
        <w:t xml:space="preserve">and</w:t>
      </w:r>
      <w:r>
        <w:t xml:space="preserve"> </w:t>
      </w:r>
      <m:oMath>
        <m:r>
          <m:t>b</m:t>
        </m:r>
      </m:oMath>
      <w:r>
        <w:t xml:space="preserve"> </w:t>
      </w:r>
      <w:r>
        <w:t xml:space="preserve">are distributed independently of each other in space; positive</w:t>
      </w:r>
      <w:r>
        <w:t xml:space="preserve"> </w:t>
      </w:r>
      <w:r>
        <w:t xml:space="preserve">if contact venues and residences for subgroup</w:t>
      </w:r>
      <w:r>
        <w:t xml:space="preserve"> </w:t>
      </w:r>
      <m:oMath>
        <m:r>
          <m:t>a</m:t>
        </m:r>
      </m:oMath>
      <w:r>
        <w:t xml:space="preserve"> </w:t>
      </w:r>
      <w:r>
        <w:t xml:space="preserve">tend to be in the same</w:t>
      </w:r>
      <w:r>
        <w:t xml:space="preserve"> </w:t>
      </w:r>
      <w:r>
        <w:t xml:space="preserve">community districts as those for subgroup</w:t>
      </w:r>
      <w:r>
        <w:t xml:space="preserve"> </w:t>
      </w:r>
      <m:oMath>
        <m:r>
          <m:t>b</m:t>
        </m:r>
      </m:oMath>
      <w:r>
        <w:t xml:space="preserve">; and negative if subgroup</w:t>
      </w:r>
      <w:r>
        <w:t xml:space="preserve"> </w:t>
      </w:r>
      <m:oMath>
        <m:r>
          <m:t>a</m:t>
        </m:r>
      </m:oMath>
      <w:r>
        <w:t xml:space="preserve"> </w:t>
      </w:r>
      <w:r>
        <w:t xml:space="preserve">tends to be in community districts that do not have contact venues</w:t>
      </w:r>
      <w:r>
        <w:t xml:space="preserve"> </w:t>
      </w:r>
      <w:r>
        <w:t xml:space="preserve">and residences for subgroup</w:t>
      </w:r>
      <w:r>
        <w:t xml:space="preserve"> </w:t>
      </w:r>
      <m:oMath>
        <m:r>
          <m:t>b</m:t>
        </m:r>
      </m:oMath>
      <w:r>
        <w:t xml:space="preserve">.</w:t>
      </w:r>
    </w:p>
    <w:bookmarkEnd w:id="47"/>
    <w:bookmarkStart w:id="48" w:name="participant-spatial-overlap-network"/>
    <w:p>
      <w:pPr>
        <w:pStyle w:val="Heading3"/>
      </w:pPr>
      <w:r>
        <w:t xml:space="preserve">Participant spatial overlap network</w:t>
      </w:r>
    </w:p>
    <w:p>
      <w:pPr>
        <w:pStyle w:val="FirstParagraph"/>
      </w:pPr>
      <w:r>
        <w:t xml:space="preserve">We constructed a network where nodes are participants and weighted ties</w:t>
      </w:r>
      <w:r>
        <w:t xml:space="preserve"> </w:t>
      </w:r>
      <w:r>
        <w:t xml:space="preserve">indicate the number of community districts shared by those participants.</w:t>
      </w:r>
      <w:r>
        <w:t xml:space="preserve"> </w:t>
      </w:r>
      <w:r>
        <w:t xml:space="preserve">We say two participants share a community district if both have a</w:t>
      </w:r>
      <w:r>
        <w:t xml:space="preserve"> </w:t>
      </w:r>
      <w:r>
        <w:t xml:space="preserve">residence or contact venue in that community district.</w:t>
      </w:r>
    </w:p>
    <w:bookmarkEnd w:id="48"/>
    <w:bookmarkStart w:id="51" w:name="hypothetical-immunization-intervention"/>
    <w:p>
      <w:pPr>
        <w:pStyle w:val="Heading3"/>
      </w:pPr>
      <w:r>
        <w:t xml:space="preserve">Hypothetical immunization intervention</w:t>
      </w:r>
    </w:p>
    <w:p>
      <w:pPr>
        <w:pStyle w:val="FirstParagraph"/>
      </w:pPr>
      <w:r>
        <w:t xml:space="preserve">We examined the coverage efficiency and network impact of a hypothetical</w:t>
      </w:r>
      <w:r>
        <w:t xml:space="preserve"> </w:t>
      </w:r>
      <w:r>
        <w:t xml:space="preserve">intervention to slow down the wide dissemination of a novel pathogen.</w:t>
      </w:r>
      <w:r>
        <w:t xml:space="preserve"> </w:t>
      </w:r>
      <w:r>
        <w:t xml:space="preserve">The intervention a) lists community districts in decreasing order of</w:t>
      </w:r>
      <w:r>
        <w:t xml:space="preserve"> </w:t>
      </w:r>
      <w:r>
        <w:t xml:space="preserve">count of residences and contact venues, b) immunizes all individuals who</w:t>
      </w:r>
      <w:r>
        <w:t xml:space="preserve"> </w:t>
      </w:r>
      <w:r>
        <w:t xml:space="preserve">have a residence or contact venue in the top district, c) removes all</w:t>
      </w:r>
      <w:r>
        <w:t xml:space="preserve"> </w:t>
      </w:r>
      <w:r>
        <w:t xml:space="preserve">contact venues and residences for immunized individuals. We say the</w:t>
      </w:r>
      <w:r>
        <w:t xml:space="preserve"> </w:t>
      </w:r>
      <w:r>
        <w:t xml:space="preserve">hypothetical intervention is of order</w:t>
      </w:r>
      <w:r>
        <w:t xml:space="preserve"> </w:t>
      </w:r>
      <m:oMath>
        <m:r>
          <m:t>k</m:t>
        </m:r>
        <m:r>
          <m:rPr>
            <m:sty m:val="p"/>
          </m:rPr>
          <m:t>∈</m:t>
        </m:r>
        <m:r>
          <m:rPr>
            <m:sty m:val="p"/>
            <m:scr m:val="double-struck"/>
          </m:rPr>
          <m:t>Z</m:t>
        </m:r>
      </m:oMath>
      <w:r>
        <w:t xml:space="preserve"> </w:t>
      </w:r>
      <w:r>
        <w:t xml:space="preserve">if these steps</w:t>
      </w:r>
      <w:r>
        <w:t xml:space="preserve"> </w:t>
      </w:r>
      <w:r>
        <w:t xml:space="preserve">are completed</w:t>
      </w:r>
      <w:r>
        <w:t xml:space="preserve"> </w:t>
      </w:r>
      <m:oMath>
        <m:r>
          <m:t>k</m:t>
        </m:r>
      </m:oMath>
      <w:r>
        <w:t xml:space="preserve"> </w:t>
      </w:r>
      <w:r>
        <w:t xml:space="preserve">times.</w:t>
      </w:r>
    </w:p>
    <w:bookmarkStart w:id="49" w:name="efficiency"/>
    <w:p>
      <w:pPr>
        <w:pStyle w:val="Heading4"/>
      </w:pPr>
      <w:r>
        <w:t xml:space="preserve">Efficiency</w:t>
      </w:r>
    </w:p>
    <w:p>
      <w:pPr>
        <w:pStyle w:val="FirstParagraph"/>
      </w:pPr>
      <w:r>
        <w:t xml:space="preserve">We examined coverage efficiency by plotting the proportion of immunized</w:t>
      </w:r>
      <w:r>
        <w:t xml:space="preserve"> </w:t>
      </w:r>
      <w:r>
        <w:t xml:space="preserve">individuals against the order of the hypothetical intervention (</w:t>
      </w:r>
      <m:oMath>
        <m:r>
          <m:t>k</m:t>
        </m:r>
      </m:oMath>
      <w:r>
        <w:t xml:space="preserve">)</w:t>
      </w:r>
      <w:r>
        <w:t xml:space="preserve"> </w:t>
      </w:r>
      <w:r>
        <w:t xml:space="preserve">carried out in community districts. For low</w:t>
      </w:r>
      <w:r>
        <w:t xml:space="preserve"> </w:t>
      </w:r>
      <m:oMath>
        <m:r>
          <m:t>k</m:t>
        </m:r>
      </m:oMath>
      <w:r>
        <w:t xml:space="preserve">, the proportion of</w:t>
      </w:r>
      <w:r>
        <w:t xml:space="preserve"> </w:t>
      </w:r>
      <w:r>
        <w:t xml:space="preserve">immunized individuals will grow faster than the order of the</w:t>
      </w:r>
      <w:r>
        <w:t xml:space="preserve"> </w:t>
      </w:r>
      <w:r>
        <w:t xml:space="preserve">hypothetical intervention.</w:t>
      </w:r>
    </w:p>
    <w:bookmarkEnd w:id="49"/>
    <w:bookmarkStart w:id="50" w:name="network-impact"/>
    <w:p>
      <w:pPr>
        <w:pStyle w:val="Heading4"/>
      </w:pPr>
      <w:r>
        <w:t xml:space="preserve">Network impact</w:t>
      </w:r>
    </w:p>
    <w:p>
      <w:pPr>
        <w:pStyle w:val="FirstParagraph"/>
      </w:pPr>
      <w:r>
        <w:t xml:space="preserve">We used the community district overlap network to understand how the</w:t>
      </w:r>
      <w:r>
        <w:t xml:space="preserve"> </w:t>
      </w:r>
      <w:r>
        <w:t xml:space="preserve">hypothetical intervention would likely affect transmission dynamics. In</w:t>
      </w:r>
      <w:r>
        <w:t xml:space="preserve"> </w:t>
      </w:r>
      <w:r>
        <w:t xml:space="preserve">that network, immunizing a community district removes all individuals</w:t>
      </w:r>
      <w:r>
        <w:t xml:space="preserve"> </w:t>
      </w:r>
      <w:r>
        <w:t xml:space="preserve">who have a residence or contact place in that that community district</w:t>
      </w:r>
      <w:r>
        <w:t xml:space="preserve"> </w:t>
      </w:r>
      <w:r>
        <w:t xml:space="preserve">from the network. (This is analogous to using a 100% efficacious vaccine</w:t>
      </w:r>
      <w:r>
        <w:t xml:space="preserve"> </w:t>
      </w:r>
      <w:r>
        <w:t xml:space="preserve">and achieving 100% coverage in immunized community districts.) For each</w:t>
      </w:r>
      <w:r>
        <w:t xml:space="preserve"> </w:t>
      </w:r>
      <m:oMath>
        <m:r>
          <m:t>k</m:t>
        </m:r>
      </m:oMath>
      <w:r>
        <w:t xml:space="preserve">, we calculated centrality measures to show how the participant</w:t>
      </w:r>
      <w:r>
        <w:t xml:space="preserve"> </w:t>
      </w:r>
      <w:r>
        <w:t xml:space="preserve">spatial overlap network would evolve as more community districts are</w:t>
      </w:r>
      <w:r>
        <w:t xml:space="preserve"> </w:t>
      </w:r>
      <w:r>
        <w:t xml:space="preserve">immunized.</w:t>
      </w:r>
    </w:p>
    <w:bookmarkEnd w:id="50"/>
    <w:bookmarkEnd w:id="51"/>
    <w:bookmarkStart w:id="52" w:name="statistical-inference"/>
    <w:p>
      <w:pPr>
        <w:pStyle w:val="Heading3"/>
      </w:pPr>
      <w:r>
        <w:t xml:space="preserve">Statistical Inference</w:t>
      </w:r>
    </w:p>
    <w:p>
      <w:pPr>
        <w:pStyle w:val="FirstParagraph"/>
      </w:pPr>
      <w:r>
        <w:t xml:space="preserve">We used the non-parametric bootstrap to calculate point estimates and</w:t>
      </w:r>
      <w:r>
        <w:t xml:space="preserve"> </w:t>
      </w:r>
      <w:r>
        <w:t xml:space="preserve">95% confidence intervals (CI). Participants were re-sampled with</w:t>
      </w:r>
      <w:r>
        <w:t xml:space="preserve"> </w:t>
      </w:r>
      <w:r>
        <w:t xml:space="preserve">replacement 10 times.</w:t>
      </w:r>
      <w:r>
        <w:t xml:space="preserve"> </w:t>
      </w:r>
      <w:r>
        <w:t xml:space="preserve">For each measure, the lower and upper bound of confidence intervals were</w:t>
      </w:r>
      <w:r>
        <w:t xml:space="preserve"> </w:t>
      </w:r>
      <w:r>
        <w:t xml:space="preserve">calculated as the 0.025th and 0.975th quantiles of the empirical</w:t>
      </w:r>
      <w:r>
        <w:t xml:space="preserve"> </w:t>
      </w:r>
      <w:r>
        <w:t xml:space="preserve">distribution produced by re-sampling.</w:t>
      </w:r>
    </w:p>
    <w:bookmarkEnd w:id="52"/>
    <w:bookmarkEnd w:id="53"/>
    <w:bookmarkEnd w:id="54"/>
    <w:bookmarkStart w:id="90" w:name="results"/>
    <w:p>
      <w:pPr>
        <w:pStyle w:val="Heading1"/>
      </w:pPr>
      <w:r>
        <w:t xml:space="preserve">Results</w:t>
      </w:r>
    </w:p>
    <w:bookmarkStart w:id="60" w:name="participants-1"/>
    <w:p>
      <w:pPr>
        <w:pStyle w:val="Heading2"/>
      </w:pPr>
      <w:r>
        <w:t xml:space="preserve">Participants</w:t>
      </w:r>
    </w:p>
    <w:p>
      <w:pPr>
        <w:pStyle w:val="FirstParagraph"/>
      </w:pPr>
      <w:r>
        <w:t xml:space="preserve">The MPX NYC survey was open from 30 September to 15 November, 2022, and</w:t>
      </w:r>
      <w:r>
        <w:t xml:space="preserve"> </w:t>
      </w:r>
      <w:r>
        <w:t xml:space="preserve">rapidly recruited a diverse group of participants (see</w:t>
      </w:r>
      <w:r>
        <w:t xml:space="preserve"> </w:t>
      </w:r>
      <w:hyperlink w:anchor="fig-descriptives">
        <w:r>
          <w:rPr>
            <w:rStyle w:val="Hyperlink"/>
          </w:rPr>
          <w:t xml:space="preserve">Figure 5</w:t>
        </w:r>
      </w:hyperlink>
      <w:r>
        <w:t xml:space="preserve">). About 70% of participants were recruited over two 48</w:t>
      </w:r>
      <w:r>
        <w:t xml:space="preserve"> </w:t>
      </w:r>
      <w:r>
        <w:t xml:space="preserve">hour periods: half were recruited from 30 to 31 Aug, and another 20%</w:t>
      </w:r>
      <w:r>
        <w:t xml:space="preserve"> </w:t>
      </w:r>
      <w:r>
        <w:t xml:space="preserve">from 10 to 11 September). Over 50% of participants were between the ages</w:t>
      </w:r>
      <w:r>
        <w:t xml:space="preserve"> </w:t>
      </w:r>
      <w:r>
        <w:t xml:space="preserve">of 18-34 at the time of the survey. Two fifths were white cisgender men,</w:t>
      </w:r>
      <w:r>
        <w:t xml:space="preserve"> </w:t>
      </w:r>
      <w:r>
        <w:t xml:space="preserve">about 15% were latinx cisgender men, and 10% were black cisgender men.</w:t>
      </w:r>
      <w:r>
        <w:t xml:space="preserve"> </w:t>
      </w:r>
      <w:r>
        <w:t xml:space="preserve">About 5% of participants were transgender (with slightly over half being</w:t>
      </w:r>
      <w:r>
        <w:t xml:space="preserve"> </w:t>
      </w:r>
      <w:r>
        <w:t xml:space="preserve">transgender men). Non-binary individuals comprised 7%. Two thirds of</w:t>
      </w:r>
      <w:r>
        <w:t xml:space="preserve"> </w:t>
      </w:r>
      <w:r>
        <w:t xml:space="preserve">participants identified as gay, 14% as bisexual, and 12% as queer. Just</w:t>
      </w:r>
      <w:r>
        <w:t xml:space="preserve"> </w:t>
      </w:r>
      <w:r>
        <w:t xml:space="preserve">under half of participants resided in the borough of Manhattan, and one</w:t>
      </w:r>
      <w:r>
        <w:t xml:space="preserve"> </w:t>
      </w:r>
      <w:r>
        <w:t xml:space="preserve">third lived in Brooklyn.</w:t>
      </w:r>
    </w:p>
    <w:tbl>
      <w:tblPr>
        <w:tblStyle w:val="Table"/>
        <w:tblW w:type="pct" w:w="5000"/>
        <w:tblLook w:firstRow="0" w:lastRow="0" w:firstColumn="0" w:lastColumn="0" w:noHBand="0" w:noVBand="0" w:val="0000"/>
        <w:jc w:val="start"/>
      </w:tblPr>
      <w:tblGrid>
        <w:gridCol w:w="7920"/>
      </w:tblGrid>
      <w:tr>
        <w:tc>
          <w:tcPr/>
          <w:bookmarkStart w:id="58" w:name="fig-sexorientation-racegender"/>
          <w:p>
            <w:pPr>
              <w:jc w:val="center"/>
            </w:pPr>
            <w:r>
              <w:drawing>
                <wp:inline>
                  <wp:extent cx="5334000" cy="4533900"/>
                  <wp:effectExtent b="0" l="0" r="0" t="0"/>
                  <wp:docPr descr="" title="" id="56" name="Picture"/>
                  <a:graphic>
                    <a:graphicData uri="http://schemas.openxmlformats.org/drawingml/2006/picture">
                      <pic:pic>
                        <pic:nvPicPr>
                          <pic:cNvPr descr="_manuscript_files/figure-docx/fig-sexorientation-racegender-1.png" id="57" name="Picture"/>
                          <pic:cNvPicPr>
                            <a:picLocks noChangeArrowheads="1" noChangeAspect="1"/>
                          </pic:cNvPicPr>
                        </pic:nvPicPr>
                        <pic:blipFill>
                          <a:blip r:embed="rId55"/>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Sexual orientation of MPX NYC participants by race and gender</w:t>
            </w:r>
          </w:p>
          <w:bookmarkEnd w:id="58"/>
        </w:tc>
      </w:tr>
    </w:tbl>
    <w:p>
      <w:pPr>
        <w:pStyle w:val="BodyText"/>
      </w:pPr>
      <w:r>
        <w:t xml:space="preserve">The sexual orientation of participants differed by gender (see</w:t>
      </w:r>
      <w:r>
        <w:t xml:space="preserve"> </w:t>
      </w:r>
      <w:hyperlink w:anchor="fig-sexorientation-racegender">
        <w:r>
          <w:rPr>
            <w:rStyle w:val="Hyperlink"/>
          </w:rPr>
          <w:t xml:space="preserve">Figure 4</w:t>
        </w:r>
      </w:hyperlink>
      <w:r>
        <w:t xml:space="preserve">). The vast majority of cisgender men</w:t>
      </w:r>
      <w:r>
        <w:t xml:space="preserve"> </w:t>
      </w:r>
      <w:r>
        <w:t xml:space="preserve">identified as gay, with some identifying as bisexual. Transgender men</w:t>
      </w:r>
      <w:r>
        <w:t xml:space="preserve"> </w:t>
      </w:r>
      <w:r>
        <w:t xml:space="preserve">were most likely to identify as queer, bisexual, or gay whereas</w:t>
      </w:r>
      <w:r>
        <w:t xml:space="preserve"> </w:t>
      </w:r>
      <w:r>
        <w:t xml:space="preserve">transgender women tended to identify as straight, bisexual, or other</w:t>
      </w:r>
      <w:r>
        <w:t xml:space="preserve"> </w:t>
      </w:r>
      <w:r>
        <w:t xml:space="preserve">sexual orientations. Cisgender women tended to be straight, followed by</w:t>
      </w:r>
      <w:r>
        <w:t xml:space="preserve"> </w:t>
      </w:r>
      <w:r>
        <w:t xml:space="preserve">biseuxual, followed by queer. For non-binary people, most identifed as</w:t>
      </w:r>
      <w:r>
        <w:t xml:space="preserve"> </w:t>
      </w:r>
      <w:r>
        <w:t xml:space="preserve">queer, followed by gay and bisexual.</w:t>
      </w:r>
    </w:p>
    <w:p>
      <w:pPr>
        <w:pStyle w:val="BodyText"/>
      </w:pPr>
      <w:r>
        <w:t xml:space="preserve">In terms of health status, one in ten participants reported living with</w:t>
      </w:r>
      <w:r>
        <w:t xml:space="preserve"> </w:t>
      </w:r>
      <w:r>
        <w:t xml:space="preserve">HIV - the overwhelming majority were virally suppressed. In addition,</w:t>
      </w:r>
      <w:r>
        <w:t xml:space="preserve"> </w:t>
      </w:r>
      <w:r>
        <w:t xml:space="preserve">about 0% reported at least one STI symptom. In terms of health</w:t>
      </w:r>
      <w:r>
        <w:t xml:space="preserve"> </w:t>
      </w:r>
      <w:r>
        <w:t xml:space="preserve">services, two out of five participants were on PrEP at the time they</w:t>
      </w:r>
      <w:r>
        <w:t xml:space="preserve"> </w:t>
      </w:r>
      <w:r>
        <w:t xml:space="preserve">took the survey, two-thirds had received the MPOX vaccine though only 8%</w:t>
      </w:r>
      <w:r>
        <w:t xml:space="preserve"> </w:t>
      </w:r>
      <w:r>
        <w:t xml:space="preserve">had received MPOX testing.</w:t>
      </w:r>
    </w:p>
    <w:p>
      <w:pPr>
        <w:pStyle w:val="BodyText"/>
      </w:pPr>
      <w:r>
        <w:t xml:space="preserve">MPX NYC participants were deeply connected to queer and trans people in</w:t>
      </w:r>
      <w:r>
        <w:t xml:space="preserve"> </w:t>
      </w:r>
      <w:r>
        <w:t xml:space="preserve">New York City. About two-thirds reported being in recent (preceding 4</w:t>
      </w:r>
      <w:r>
        <w:t xml:space="preserve"> </w:t>
      </w:r>
      <w:r>
        <w:t xml:space="preserve">weeks) contact with 1 - 10 friends in this community whereas only 20%</w:t>
      </w:r>
      <w:r>
        <w:t xml:space="preserve"> </w:t>
      </w:r>
      <w:r>
        <w:t xml:space="preserve">reported not being in contact with queer and trans friends over the same</w:t>
      </w:r>
      <w:r>
        <w:t xml:space="preserve"> </w:t>
      </w:r>
      <w:r>
        <w:t xml:space="preserve">period. About half of the participants had betwen 1 and 3 recent sex</w:t>
      </w:r>
      <w:r>
        <w:t xml:space="preserve"> </w:t>
      </w:r>
      <w:r>
        <w:t xml:space="preserve">partners with 15% reporting over 5 partners. Related to sex partners,</w:t>
      </w:r>
      <w:r>
        <w:t xml:space="preserve"> </w:t>
      </w:r>
      <w:r>
        <w:t xml:space="preserve">about one third reported spending less than 15 minutes on average when</w:t>
      </w:r>
      <w:r>
        <w:t xml:space="preserve"> </w:t>
      </w:r>
      <w:r>
        <w:t xml:space="preserve">traveling to a hookup while a third spent 16-30 minutes. Almost one of</w:t>
      </w:r>
      <w:r>
        <w:t xml:space="preserve"> </w:t>
      </w:r>
      <w:r>
        <w:t xml:space="preserve">four participants reported having physical (non-sexual) contact with</w:t>
      </w:r>
      <w:r>
        <w:t xml:space="preserve"> </w:t>
      </w:r>
      <w:r>
        <w:t xml:space="preserve">over 5 individuals over the preceding four weeks, and one third reported</w:t>
      </w:r>
      <w:r>
        <w:t xml:space="preserve"> </w:t>
      </w:r>
      <w:r>
        <w:t xml:space="preserve">having no recent contact.</w:t>
      </w:r>
    </w:p>
    <w:tbl>
      <w:tblPr>
        <w:tblStyle w:val="Table"/>
        <w:tblW w:type="pct" w:w="5000"/>
        <w:tblLook w:firstRow="0" w:lastRow="0" w:firstColumn="0" w:lastColumn="0" w:noHBand="0" w:noVBand="0" w:val="0000"/>
        <w:jc w:val="start"/>
      </w:tblPr>
      <w:tblGrid>
        <w:gridCol w:w="7920"/>
      </w:tblGrid>
      <w:tr>
        <w:tc>
          <w:tcPr/>
          <w:bookmarkStart w:id="59" w:name="fig-descriptiv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Physical or sexual contact in group setting in past 4 weeks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bottom w:val="single" w:sz="16" w:space="0" w:color="D3D3D3"/>
                  </w:tcBorders>
                </w:tcPr>
                <w:p>
                  <w:pPr>
                    <w:spacing w:before="0" w:after="60"/>
                    <w:keepNext/>
                    <w:jc w:val="center"/>
                  </w:pPr>
                  <w:r>
                    <w:rPr>
                      <w:b w:val="true"/>
                      <w:rFonts w:ascii="Calibri" w:hAnsi="Calibri"/>
                      <w:sz w:val="20"/>
                    </w:rPr>
                    <w:t xml:space="preserve">N</w:t>
                  </w:r>
                </w:p>
              </w:tc>
              <w:tc>
                <w:tcPr>
                  <w:tcBorders>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1,304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530</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774</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18-24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25-34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35-44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Multi Racial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Group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Gender identity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630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 Binary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 x 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552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334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Non-Binary Person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Sexual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860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362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498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Bisexual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Straight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579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channel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Grindr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Partner toolkit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Instagram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Twitter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date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30-31 Aug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611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01-10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10-11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12 Sep - 31 Nov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queer/trans friends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539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333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physical contact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301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286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sex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travelTimeCut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16-30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31-45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693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Number STI Symptoms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1,093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681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PrEP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658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440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Test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472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727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Vaccination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461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313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6"/>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6"/>
                </w:tcPr>
                <w:p>
                  <w:pPr>
                    <w:spacing w:before="0" w:after="60"/>
                    <w:keepNext/>
                  </w:pPr>
                  <w:r>
                    <w:rPr>
                      <w:vertAlign w:val="superscript"/>
                      <w:i/>
                      <w:rFonts w:ascii="Calibri" w:hAnsi="Calibri"/>
                      <w:sz w:val="20"/>
                    </w:rPr>
                    <w:t xml:space="default">2</w:t>
                  </w:r>
                  <w:r>
                    <w:rPr>
                      <w:rFonts w:ascii="Calibri" w:hAnsi="Calibri"/>
                      <w:sz w:val="20"/>
                    </w:rPr>
                    <w:t xml:space="default">Pearson's Chi-squared test; Fisher's exact test</w:t>
                  </w:r>
                </w:p>
              </w:tc>
            </w:tr>
            <w:tr>
              <w:trPr>
                <w:cantSplit/>
              </w:trPr>
              <w:tc>
                <w:tcPr>
                  <w:gridSpan w:val="6"/>
                </w:tcPr>
                <w:p>
                  <w:pPr>
                    <w:spacing w:before="0" w:after="60"/>
                    <w:keepNext/>
                  </w:pPr>
                  <w:r>
                    <w:rPr>
                      <w:i/>
                      <w:rFonts w:ascii="Calibri" w:hAnsi="Calibri"/>
                      <w:sz w:val="20"/>
                    </w:rPr>
                    <w:t xml:space="preserve">Data source: MPX NYC 2022</w:t>
                  </w:r>
                </w:p>
              </w:tc>
            </w:tr>
          </w:tbl>
          <w:p>
            <w:pPr>
              <w:jc w:val="center"/>
            </w:pPr>
            <w:pPr>
              <w:jc w:val="start"/>
              <w:spacing w:before="200"/>
              <w:pStyle w:val="ImageCaption"/>
            </w:pPr>
            <w:r>
              <w:t xml:space="preserve">Figure 5: Participants in MPX NYC Study by Sex / Physical Contact in Congregate Setting in past 4 weeks</w:t>
            </w:r>
          </w:p>
          <w:bookmarkEnd w:id="59"/>
        </w:tc>
      </w:tr>
    </w:tbl>
    <w:p>
      <w:pPr>
        <w:pStyle w:val="BodyText"/>
      </w:pPr>
      <w:r>
        <w:t xml:space="preserve">Participants who reported recent physical or sexual contact in a group</w:t>
      </w:r>
      <w:r>
        <w:t xml:space="preserve"> </w:t>
      </w:r>
      <w:r>
        <w:t xml:space="preserve">setting were slightly younger than those who did not. They were more</w:t>
      </w:r>
      <w:r>
        <w:t xml:space="preserve"> </w:t>
      </w:r>
      <w:r>
        <w:t xml:space="preserve">likely to identify as gay and less likely to identify as straight. Those</w:t>
      </w:r>
      <w:r>
        <w:t xml:space="preserve"> </w:t>
      </w:r>
      <w:r>
        <w:t xml:space="preserve">who had contact were more likely to live in Manhattan and less likely to</w:t>
      </w:r>
      <w:r>
        <w:t xml:space="preserve"> </w:t>
      </w:r>
      <w:r>
        <w:t xml:space="preserve">live in Queens. Surprisingly, they were less likely to have been</w:t>
      </w:r>
      <w:r>
        <w:t xml:space="preserve"> </w:t>
      </w:r>
      <w:r>
        <w:t xml:space="preserve">recruited through a Grindr advertisement. They were also more likely to</w:t>
      </w:r>
      <w:r>
        <w:t xml:space="preserve"> </w:t>
      </w:r>
      <w:r>
        <w:t xml:space="preserve">have been recruited before the first Grindr pop-up advertisement on 1</w:t>
      </w:r>
      <w:r>
        <w:t xml:space="preserve"> </w:t>
      </w:r>
      <w:r>
        <w:t xml:space="preserve">September 2022.</w:t>
      </w:r>
    </w:p>
    <w:p>
      <w:pPr>
        <w:pStyle w:val="BodyText"/>
      </w:pPr>
      <w:r>
        <w:t xml:space="preserve">Finally, those who reported recent contact in a group setting did not</w:t>
      </w:r>
      <w:r>
        <w:t xml:space="preserve"> </w:t>
      </w:r>
      <w:r>
        <w:t xml:space="preserve">differ with those who did not in terms of their HIV status and viral</w:t>
      </w:r>
      <w:r>
        <w:t xml:space="preserve"> </w:t>
      </w:r>
      <w:r>
        <w:t xml:space="preserve">suppression. They were more likely to have at least one STI symptom than</w:t>
      </w:r>
      <w:r>
        <w:t xml:space="preserve"> </w:t>
      </w:r>
      <w:r>
        <w:t xml:space="preserve">those who did not have recent contact in a group setting. This group had</w:t>
      </w:r>
      <w:r>
        <w:t xml:space="preserve"> </w:t>
      </w:r>
      <w:r>
        <w:t xml:space="preserve">higher utilization of PrEP, mpox testing, and mpox vaccine. They were</w:t>
      </w:r>
      <w:r>
        <w:t xml:space="preserve"> </w:t>
      </w:r>
      <w:r>
        <w:t xml:space="preserve">more closely connected with the queer and trans community: they reported</w:t>
      </w:r>
      <w:r>
        <w:t xml:space="preserve"> </w:t>
      </w:r>
      <w:r>
        <w:t xml:space="preserve">more contact with friends, more physical contact partners and more</w:t>
      </w:r>
      <w:r>
        <w:t xml:space="preserve"> </w:t>
      </w:r>
      <w:r>
        <w:t xml:space="preserve">sexual contact partners. They spent more time travelling to hookups than</w:t>
      </w:r>
      <w:r>
        <w:t xml:space="preserve"> </w:t>
      </w:r>
      <w:r>
        <w:t xml:space="preserve">participants who had not had recent contact in a group setting.</w:t>
      </w:r>
    </w:p>
    <w:bookmarkEnd w:id="60"/>
    <w:bookmarkStart w:id="65" w:name="contact-venues"/>
    <w:p>
      <w:pPr>
        <w:pStyle w:val="Heading2"/>
      </w:pPr>
      <w:r>
        <w:t xml:space="preserve">Contact venues</w:t>
      </w:r>
    </w:p>
    <w:p>
      <w:pPr>
        <w:pStyle w:val="FirstParagraph"/>
      </w:pPr>
      <w:r>
        <w:t xml:space="preserve">Among all MPX NYC participants, 40% (530) reported reported having had</w:t>
      </w:r>
      <w:r>
        <w:t xml:space="preserve"> </w:t>
      </w:r>
      <w:r>
        <w:t xml:space="preserve">sex or physical contact with two or more people at the same time. These</w:t>
      </w:r>
      <w:r>
        <w:t xml:space="preserve"> </w:t>
      </w:r>
      <w:r>
        <w:t xml:space="preserve">participants identified</w:t>
      </w:r>
      <w:r>
        <w:t xml:space="preserve"> </w:t>
      </w:r>
      <m:oMath>
        <m:r>
          <m:t>604</m:t>
        </m:r>
      </m:oMath>
      <w:r>
        <w:t xml:space="preserve"> </w:t>
      </w:r>
      <w:r>
        <w:t xml:space="preserve">locations at which they had contact</w:t>
      </w:r>
      <w:r>
        <w:t xml:space="preserve"> </w:t>
      </w:r>
      <w:r>
        <w:t xml:space="preserve">(contact venues). About two out of five contact venues were private</w:t>
      </w:r>
      <w:r>
        <w:t xml:space="preserve"> </w:t>
      </w:r>
      <w:r>
        <w:t xml:space="preserve">residences, and about a quarter were dance parties. More than half of</w:t>
      </w:r>
      <w:r>
        <w:t xml:space="preserve"> </w:t>
      </w:r>
      <w:r>
        <w:t xml:space="preserve">the places contace venues were in Manhattan, while less than a third</w:t>
      </w:r>
      <w:r>
        <w:t xml:space="preserve"> </w:t>
      </w:r>
      <w:r>
        <w:t xml:space="preserve">were in the Brooklyn. A quarter of all contact venues were in the same</w:t>
      </w:r>
      <w:r>
        <w:t xml:space="preserve"> </w:t>
      </w:r>
      <w:r>
        <w:t xml:space="preserve">community as participants’ residences, a third were in a different</w:t>
      </w:r>
      <w:r>
        <w:t xml:space="preserve"> </w:t>
      </w:r>
      <w:r>
        <w:t xml:space="preserve">borough, and the remainder were in the same borough as home, but a</w:t>
      </w:r>
      <w:r>
        <w:t xml:space="preserve"> </w:t>
      </w:r>
      <w:r>
        <w:t xml:space="preserve">different community district.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604</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Sexual contact at place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352 (58%)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Place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concert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dance-party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darkroom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private-residence-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 (41%)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sex-party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something-else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sport-game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theatre/show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place_borough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178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 (54%)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Distance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Community District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182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 (38%)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Different 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 (32%)</w:t>
            </w:r>
          </w:p>
        </w:tc>
      </w:tr>
      <w:tr>
        <w:trPr>
          <w:cantSplit/>
        </w:trPr>
        <w:tc>
          <w:tcPr>
            <w:gridSpan w:val="2"/>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2"/>
          </w:tcPr>
          <w:p>
            <w:pPr>
              <w:spacing w:before="0" w:after="60"/>
              <w:keepNext/>
            </w:pPr>
            <w:r>
              <w:rPr>
                <w:i/>
                <w:rFonts w:ascii="Calibri" w:hAnsi="Calibri"/>
                <w:sz w:val="20"/>
              </w:rPr>
              <w:t xml:space="preserve">Data source: MPX NYC 2022</w:t>
            </w:r>
          </w:p>
        </w:tc>
      </w:tr>
    </w:tbl>
    <w:p>
      <w:pPr>
        <w:pStyle w:val="BodyText"/>
      </w:pPr>
      <w:r>
        <w:t xml:space="preserve">Contact venues at which participants had sexual contact were</w:t>
      </w:r>
      <w:r>
        <w:t xml:space="preserve"> </w:t>
      </w:r>
      <w:r>
        <w:t xml:space="preserve">overwhelmingly private residences whereas contact venues at which they</w:t>
      </w:r>
      <w:r>
        <w:t xml:space="preserve"> </w:t>
      </w:r>
      <w:r>
        <w:t xml:space="preserve">had non-sexual physical contact were mostly dance parties (see</w:t>
      </w:r>
      <w:r>
        <w:t xml:space="preserve"> </w:t>
      </w:r>
      <w:hyperlink w:anchor="fig-places-distance-sexcontact">
        <w:r>
          <w:rPr>
            <w:rStyle w:val="Hyperlink"/>
          </w:rPr>
          <w:t xml:space="preserve">Figure 6</w:t>
        </w:r>
      </w:hyperlink>
      <w:r>
        <w:t xml:space="preserve">). The closer to home a location was, the</w:t>
      </w:r>
      <w:r>
        <w:t xml:space="preserve"> </w:t>
      </w:r>
      <w:r>
        <w:t xml:space="preserve">more likely it was to be a private residence and the more likely it was</w:t>
      </w:r>
      <w:r>
        <w:t xml:space="preserve"> </w:t>
      </w:r>
      <w:r>
        <w:t xml:space="preserve">the site of sexual contact. By contrast, the futher from home a contac</w:t>
      </w:r>
      <w:r>
        <w:t xml:space="preserve"> </w:t>
      </w:r>
      <w:r>
        <w:t xml:space="preserve">venue was, the less likely it was to be a dance party.</w:t>
      </w:r>
    </w:p>
    <w:tbl>
      <w:tblPr>
        <w:tblStyle w:val="Table"/>
        <w:tblW w:type="pct" w:w="5000"/>
        <w:tblLook w:firstRow="0" w:lastRow="0" w:firstColumn="0" w:lastColumn="0" w:noHBand="0" w:noVBand="0" w:val="0000"/>
        <w:jc w:val="start"/>
      </w:tblPr>
      <w:tblGrid>
        <w:gridCol w:w="7920"/>
      </w:tblGrid>
      <w:tr>
        <w:tc>
          <w:tcPr/>
          <w:bookmarkStart w:id="64" w:name="fig-places-distance-sexcontact"/>
          <w:p>
            <w:pPr>
              <w:jc w:val="center"/>
            </w:pPr>
            <w:r>
              <w:drawing>
                <wp:inline>
                  <wp:extent cx="5334000" cy="5334000"/>
                  <wp:effectExtent b="0" l="0" r="0" t="0"/>
                  <wp:docPr descr="" title="" id="62" name="Picture"/>
                  <a:graphic>
                    <a:graphicData uri="http://schemas.openxmlformats.org/drawingml/2006/picture">
                      <pic:pic>
                        <pic:nvPicPr>
                          <pic:cNvPr descr="_manuscript_files/figure-docx/fig-places-distance-sexcontact-1.png" id="63" name="Picture"/>
                          <pic:cNvPicPr>
                            <a:picLocks noChangeArrowheads="1" noChangeAspect="1"/>
                          </pic:cNvPicPr>
                        </pic:nvPicPr>
                        <pic:blipFill>
                          <a:blip r:embed="rId6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MPX NYC contact venue type by distance from home and sexual contact</w:t>
            </w:r>
          </w:p>
          <w:bookmarkEnd w:id="64"/>
        </w:tc>
      </w:tr>
    </w:tbl>
    <w:bookmarkEnd w:id="65"/>
    <w:bookmarkStart w:id="73" w:name="movement"/>
    <w:p>
      <w:pPr>
        <w:pStyle w:val="Heading2"/>
      </w:pPr>
      <w:r>
        <w:t xml:space="preserve">Movement</w:t>
      </w:r>
    </w:p>
    <w:p>
      <w:pPr>
        <w:pStyle w:val="FirstParagraph"/>
      </w:pPr>
      <w:hyperlink w:anchor="fig-communities-movement">
        <w:r>
          <w:rPr>
            <w:rStyle w:val="Hyperlink"/>
          </w:rPr>
          <w:t xml:space="preserve">Figure 7</w:t>
        </w:r>
      </w:hyperlink>
      <w:r>
        <w:t xml:space="preserve"> </w:t>
      </w:r>
      <w:r>
        <w:t xml:space="preserve">maps each contact venue’s community district</w:t>
      </w:r>
      <w:r>
        <w:t xml:space="preserve"> </w:t>
      </w:r>
      <w:r>
        <w:t xml:space="preserve">(x-axis) against the participant’s home community district (y-axis). The</w:t>
      </w:r>
      <w:r>
        <w:t xml:space="preserve"> </w:t>
      </w:r>
      <w:r>
        <w:t xml:space="preserve">size of the dot is proportional to the total count of contact venues</w:t>
      </w:r>
      <w:r>
        <w:t xml:space="preserve"> </w:t>
      </w:r>
      <w:r>
        <w:t xml:space="preserve">with the given home and contact venue community district. The color of</w:t>
      </w:r>
      <w:r>
        <w:t xml:space="preserve"> </w:t>
      </w:r>
      <w:r>
        <w:t xml:space="preserve">the dt represents the borough of the contact venue.</w:t>
      </w:r>
    </w:p>
    <w:p>
      <w:pPr>
        <w:pStyle w:val="BodyText"/>
      </w:pPr>
      <w:r>
        <w:t xml:space="preserve">The dots on the diagonal line from top left to bottom right, show</w:t>
      </w:r>
      <w:r>
        <w:t xml:space="preserve"> </w:t>
      </w:r>
      <w:r>
        <w:t xml:space="preserve">prominantly, indicating that a sizeable proportion of movement happens</w:t>
      </w:r>
      <w:r>
        <w:t xml:space="preserve"> </w:t>
      </w:r>
      <w:r>
        <w:t xml:space="preserve">within community districts. The figue also shows four prominant</w:t>
      </w:r>
      <w:r>
        <w:t xml:space="preserve"> </w:t>
      </w:r>
      <w:r>
        <w:t xml:space="preserve">clusters - the cluster at the top left (in pink) shows significant</w:t>
      </w:r>
      <w:r>
        <w:t xml:space="preserve"> </w:t>
      </w:r>
      <w:r>
        <w:t xml:space="preserve">movement between home and contact venues within Brooklyn and the cluster</w:t>
      </w:r>
      <w:r>
        <w:t xml:space="preserve"> </w:t>
      </w:r>
      <w:r>
        <w:t xml:space="preserve">towards the middle of the plot (in purple) shows significant movement</w:t>
      </w:r>
      <w:r>
        <w:t xml:space="preserve"> </w:t>
      </w:r>
      <w:r>
        <w:t xml:space="preserve">within Manhattan. The clusters at the top center and bottom left show</w:t>
      </w:r>
      <w:r>
        <w:t xml:space="preserve"> </w:t>
      </w:r>
      <w:r>
        <w:t xml:space="preserve">significant movement from Brooklyn to Manhattan and from Manhattan to</w:t>
      </w:r>
      <w:r>
        <w:t xml:space="preserve"> </w:t>
      </w:r>
      <w:r>
        <w:t xml:space="preserve">Brooklyn, respectively.</w:t>
      </w:r>
    </w:p>
    <w:p>
      <w:pPr>
        <w:pStyle w:val="BodyText"/>
      </w:pPr>
      <w:r>
        <w:t xml:space="preserve">The bar graphs on the right and at the bottom show the overall</w:t>
      </w:r>
      <w:r>
        <w:t xml:space="preserve"> </w:t>
      </w:r>
      <w:r>
        <w:t xml:space="preserve">distribution of home community district among participants who had</w:t>
      </w:r>
      <w:r>
        <w:t xml:space="preserve"> </w:t>
      </w:r>
      <w:r>
        <w:t xml:space="preserve">sexual or social contact in a group setting. Within Brooklyn, Manhattan,</w:t>
      </w:r>
      <w:r>
        <w:t xml:space="preserve"> </w:t>
      </w:r>
      <w:r>
        <w:t xml:space="preserve">and Queens, there is an uneven distribution of homes across community</w:t>
      </w:r>
      <w:r>
        <w:t xml:space="preserve"> </w:t>
      </w:r>
      <w:r>
        <w:t xml:space="preserve">districts (bar graph on right). In Manhatan, for instance, community</w:t>
      </w:r>
      <w:r>
        <w:t xml:space="preserve"> </w:t>
      </w:r>
      <w:r>
        <w:t xml:space="preserve">district MN03 appears to contain a disproportinately large share of</w:t>
      </w:r>
      <w:r>
        <w:t xml:space="preserve"> </w:t>
      </w:r>
      <w:r>
        <w:t xml:space="preserve">residences.</w:t>
      </w:r>
    </w:p>
    <w:p>
      <w:pPr>
        <w:pStyle w:val="BodyText"/>
      </w:pPr>
      <w:r>
        <w:t xml:space="preserve">The bar graph at the bottom shows that contact venues are even more</w:t>
      </w:r>
      <w:r>
        <w:t xml:space="preserve"> </w:t>
      </w:r>
      <w:r>
        <w:t xml:space="preserve">unevenly distributed across community districts than homes are. The</w:t>
      </w:r>
      <w:r>
        <w:t xml:space="preserve"> </w:t>
      </w:r>
      <w:r>
        <w:t xml:space="preserve">share of contact venues by community districts was 4-6 percentage points</w:t>
      </w:r>
      <w:r>
        <w:t xml:space="preserve"> </w:t>
      </w:r>
      <w:r>
        <w:t xml:space="preserve">higher than the share of residences in MN04, BK01, and MN05. This</w:t>
      </w:r>
      <w:r>
        <w:t xml:space="preserve"> </w:t>
      </w:r>
      <w:r>
        <w:t xml:space="preserve">suggests that participants leave their home community districts to</w:t>
      </w:r>
      <w:r>
        <w:t xml:space="preserve"> </w:t>
      </w:r>
      <w:r>
        <w:t xml:space="preserve">gather in these community districts for social events.</w:t>
      </w:r>
    </w:p>
    <w:p>
      <w:pPr>
        <w:pStyle w:val="BodyText"/>
      </w:pPr>
      <w:r>
        <w:drawing>
          <wp:inline>
            <wp:extent cx="5334000" cy="5334000"/>
            <wp:effectExtent b="0" l="0" r="0" t="0"/>
            <wp:docPr descr="" title="" id="67" name="Picture"/>
            <a:graphic>
              <a:graphicData uri="http://schemas.openxmlformats.org/drawingml/2006/picture">
                <pic:pic>
                  <pic:nvPicPr>
                    <pic:cNvPr descr="_manuscript_files/figure-docx/unnamed-chunk-4-1.png" id="68" name="Picture"/>
                    <pic:cNvPicPr>
                      <a:picLocks noChangeArrowheads="1" noChangeAspect="1"/>
                    </pic:cNvPicPr>
                  </pic:nvPicPr>
                  <pic:blipFill>
                    <a:blip r:embed="rId66"/>
                    <a:stretch>
                      <a:fillRect/>
                    </a:stretch>
                  </pic:blipFill>
                  <pic:spPr bwMode="auto">
                    <a:xfrm>
                      <a:off x="0" y="0"/>
                      <a:ext cx="5334000" cy="533400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Pr>
      <w:tblGrid>
        <w:gridCol w:w="7920"/>
      </w:tblGrid>
      <w:tr>
        <w:tc>
          <w:tcPr/>
          <w:bookmarkStart w:id="72" w:name="fig-communities-movement"/>
          <w:p>
            <w:pPr>
              <w:jc w:val="center"/>
            </w:pPr>
            <w:r>
              <w:drawing>
                <wp:inline>
                  <wp:extent cx="5334000" cy="5334000"/>
                  <wp:effectExtent b="0" l="0" r="0" t="0"/>
                  <wp:docPr descr="" title="" id="70" name="Picture"/>
                  <a:graphic>
                    <a:graphicData uri="http://schemas.openxmlformats.org/drawingml/2006/picture">
                      <pic:pic>
                        <pic:nvPicPr>
                          <pic:cNvPr descr="_manuscript_files/figure-docx/fig-communities-movement-1.png" id="71" name="Picture"/>
                          <pic:cNvPicPr>
                            <a:picLocks noChangeArrowheads="1" noChangeAspect="1"/>
                          </pic:cNvPicPr>
                        </pic:nvPicPr>
                        <pic:blipFill>
                          <a:blip r:embed="rId6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Movement between home and contact venues by MPX NYC participant. The figure maps each contact venue’s community district (x-axis) against the participant’s home community district (y-axis). The size of the dot is proportional to the total count of contact venues with the given home and contact venue community district. The color of the dot represents the borough of the contact venue.</w:t>
            </w:r>
          </w:p>
          <w:bookmarkEnd w:id="72"/>
        </w:tc>
      </w:tr>
    </w:tbl>
    <w:bookmarkEnd w:id="73"/>
    <w:bookmarkStart w:id="78" w:name="mixing"/>
    <w:p>
      <w:pPr>
        <w:pStyle w:val="Heading2"/>
      </w:pPr>
      <w:r>
        <w:t xml:space="preserve">Mixing</w:t>
      </w:r>
    </w:p>
    <w:p>
      <w:pPr>
        <w:pStyle w:val="FirstParagraph"/>
      </w:pPr>
      <w:hyperlink w:anchor="fig-subgroup-mixing">
        <w:r>
          <w:rPr>
            <w:rStyle w:val="Hyperlink"/>
          </w:rPr>
          <w:t xml:space="preserve">Figure 8</w:t>
        </w:r>
      </w:hyperlink>
      <w:r>
        <w:t xml:space="preserve"> </w:t>
      </w:r>
      <w:r>
        <w:t xml:space="preserve">quantifies the degree to which individuals with</w:t>
      </w:r>
      <w:r>
        <w:t xml:space="preserve"> </w:t>
      </w:r>
      <w:r>
        <w:t xml:space="preserve">characteristics shown on the left live or play in an overalappoing set</w:t>
      </w:r>
      <w:r>
        <w:t xml:space="preserve"> </w:t>
      </w:r>
      <w:r>
        <w:t xml:space="preserve">of community districts with individuals whose characteristics are shown</w:t>
      </w:r>
      <w:r>
        <w:t xml:space="preserve"> </w:t>
      </w:r>
      <w:r>
        <w:t xml:space="preserve">at the top. Different sub-groups showed different patterns of</w:t>
      </w:r>
      <w:r>
        <w:t xml:space="preserve"> </w:t>
      </w:r>
      <w:r>
        <w:t xml:space="preserve">co-attendance of community districts. Overall, MPX NYC participants</w:t>
      </w:r>
      <w:r>
        <w:t xml:space="preserve"> </w:t>
      </w:r>
      <w:r>
        <w:t xml:space="preserve">showed spatial homophily - the spatial selection coefficient from a</w:t>
      </w:r>
      <w:r>
        <w:t xml:space="preserve"> </w:t>
      </w:r>
      <w:r>
        <w:t xml:space="preserve">given group to the same group was positive for all levels of</w:t>
      </w:r>
      <w:r>
        <w:t xml:space="preserve"> </w:t>
      </w:r>
      <w:r>
        <w:t xml:space="preserve">race-gender, sexual orientation, and age. In addition, black cisgender</w:t>
      </w:r>
      <w:r>
        <w:t xml:space="preserve"> </w:t>
      </w:r>
      <w:r>
        <w:t xml:space="preserve">men and non-binary persons tended to visit or live in different</w:t>
      </w:r>
      <w:r>
        <w:t xml:space="preserve"> </w:t>
      </w:r>
      <w:r>
        <w:t xml:space="preserve">neighborhoods than white cisgender men. Non-binary persons also showed a</w:t>
      </w:r>
      <w:r>
        <w:t xml:space="preserve"> </w:t>
      </w:r>
      <w:r>
        <w:t xml:space="preserve">preference for community districts in which transgender men live. Gay</w:t>
      </w:r>
      <w:r>
        <w:t xml:space="preserve"> </w:t>
      </w:r>
      <w:r>
        <w:t xml:space="preserve">identified participants preferred to live and play in community</w:t>
      </w:r>
      <w:r>
        <w:t xml:space="preserve"> </w:t>
      </w:r>
      <w:r>
        <w:t xml:space="preserve">districts where bisexual, straight and queer identified participants did</w:t>
      </w:r>
      <w:r>
        <w:t xml:space="preserve"> </w:t>
      </w:r>
      <w:r>
        <w:t xml:space="preserve">not live. Similarly, those groups selected against community districts</w:t>
      </w:r>
      <w:r>
        <w:t xml:space="preserve"> </w:t>
      </w:r>
      <w:r>
        <w:t xml:space="preserve">in which gay identified individuals live or play.</w:t>
      </w:r>
    </w:p>
    <w:tbl>
      <w:tblPr>
        <w:tblStyle w:val="Table"/>
        <w:tblW w:type="pct" w:w="5000"/>
        <w:tblLook w:firstRow="0" w:lastRow="0" w:firstColumn="0" w:lastColumn="0" w:noHBand="0" w:noVBand="0" w:val="0000"/>
        <w:jc w:val="start"/>
      </w:tblPr>
      <w:tblGrid>
        <w:gridCol w:w="7920"/>
      </w:tblGrid>
      <w:tr>
        <w:tc>
          <w:tcPr/>
          <w:bookmarkStart w:id="77" w:name="fig-subgroup-mixing"/>
          <w:p>
            <w:pPr>
              <w:jc w:val="center"/>
            </w:pPr>
            <w:r>
              <w:drawing>
                <wp:inline>
                  <wp:extent cx="5334000" cy="7556500"/>
                  <wp:effectExtent b="0" l="0" r="0" t="0"/>
                  <wp:docPr descr="" title="" id="75" name="Picture"/>
                  <a:graphic>
                    <a:graphicData uri="http://schemas.openxmlformats.org/drawingml/2006/picture">
                      <pic:pic>
                        <pic:nvPicPr>
                          <pic:cNvPr descr="_manuscript_files/figure-docx/fig-subgroup-mixing-1.png" id="76" name="Picture"/>
                          <pic:cNvPicPr>
                            <a:picLocks noChangeArrowheads="1" noChangeAspect="1"/>
                          </pic:cNvPicPr>
                        </pic:nvPicPr>
                        <pic:blipFill>
                          <a:blip r:embed="rId74"/>
                          <a:stretch>
                            <a:fillRect/>
                          </a:stretch>
                        </pic:blipFill>
                        <pic:spPr bwMode="auto">
                          <a:xfrm>
                            <a:off x="0" y="0"/>
                            <a:ext cx="5334000" cy="7556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Social mixing matrices for MPX NYC participants by race-gender (top), sexual orientation (bottom left), and age (bottom right)</w:t>
            </w:r>
          </w:p>
          <w:bookmarkEnd w:id="77"/>
        </w:tc>
      </w:tr>
    </w:tbl>
    <w:bookmarkEnd w:id="78"/>
    <w:bookmarkStart w:id="89" w:name="interventions"/>
    <w:p>
      <w:pPr>
        <w:pStyle w:val="Heading2"/>
      </w:pPr>
      <w:r>
        <w:t xml:space="preserve">Interventions</w:t>
      </w:r>
    </w:p>
    <w:bookmarkStart w:id="83" w:name="efficient-interventions"/>
    <w:p>
      <w:pPr>
        <w:pStyle w:val="Heading3"/>
      </w:pPr>
      <w:r>
        <w:t xml:space="preserve">Efficient interventions</w:t>
      </w:r>
    </w:p>
    <w:p>
      <w:pPr>
        <w:pStyle w:val="FirstParagraph"/>
      </w:pPr>
      <w:r>
        <w:t xml:space="preserve">Since these data were collected to inform programmatic response to a new</w:t>
      </w:r>
      <w:r>
        <w:t xml:space="preserve"> </w:t>
      </w:r>
      <w:r>
        <w:t xml:space="preserve">health threat, we illustrated the implications of the pattern of</w:t>
      </w:r>
      <w:r>
        <w:t xml:space="preserve"> </w:t>
      </w:r>
      <w:r>
        <w:t xml:space="preserve">connection between people and places for intervention design through a</w:t>
      </w:r>
      <w:r>
        <w:t xml:space="preserve"> </w:t>
      </w:r>
      <w:r>
        <w:t xml:space="preserve">thought experiment: we examined two approaches to conducting a</w:t>
      </w:r>
      <w:r>
        <w:t xml:space="preserve"> </w:t>
      </w:r>
      <w:r>
        <w:t xml:space="preserve">hypothetical place-based immunization intervention. In this hypothetical</w:t>
      </w:r>
      <w:r>
        <w:t xml:space="preserve"> </w:t>
      </w:r>
      <w:r>
        <w:t xml:space="preserve">intervention, we assume that it is possible to immunize entire community</w:t>
      </w:r>
      <w:r>
        <w:t xml:space="preserve"> </w:t>
      </w:r>
      <w:r>
        <w:t xml:space="preserve">districts at a time, but that we can only immunize one comunity district</w:t>
      </w:r>
      <w:r>
        <w:t xml:space="preserve"> </w:t>
      </w:r>
      <w:r>
        <w:t xml:space="preserve">at a time. There is one parameter we can vary to produce different</w:t>
      </w:r>
      <w:r>
        <w:t xml:space="preserve"> </w:t>
      </w:r>
      <w:r>
        <w:t xml:space="preserve">versions of this intervention: the order in which they are immunized.</w:t>
      </w:r>
    </w:p>
    <w:p>
      <w:pPr>
        <w:pStyle w:val="BodyText"/>
      </w:pPr>
      <w:r>
        <w:t xml:space="preserve">We examined two strategies for choosing an ordering of community</w:t>
      </w:r>
      <w:r>
        <w:t xml:space="preserve"> </w:t>
      </w:r>
      <w:r>
        <w:t xml:space="preserve">districts. In the first strategy, we ranked districts according to the</w:t>
      </w:r>
      <w:r>
        <w:t xml:space="preserve"> </w:t>
      </w:r>
      <w:r>
        <w:t xml:space="preserve">number of contact venues which are contained by the district plus the</w:t>
      </w:r>
      <w:r>
        <w:t xml:space="preserve"> </w:t>
      </w:r>
      <w:r>
        <w:t xml:space="preserve">number participants who live in the community district. We call this the</w:t>
      </w:r>
      <w:r>
        <w:t xml:space="preserve"> </w:t>
      </w:r>
      <w:r>
        <w:t xml:space="preserve">“</w:t>
      </w:r>
      <w:r>
        <w:t xml:space="preserve">contact-based</w:t>
      </w:r>
      <w:r>
        <w:t xml:space="preserve">”</w:t>
      </w:r>
      <w:r>
        <w:t xml:space="preserve"> </w:t>
      </w:r>
      <w:r>
        <w:t xml:space="preserve">strategy. In the second strategy, we subtracted from</w:t>
      </w:r>
      <w:r>
        <w:t xml:space="preserve"> </w:t>
      </w:r>
      <w:r>
        <w:t xml:space="preserve">this number, the count of contact venues which are in the same community</w:t>
      </w:r>
      <w:r>
        <w:t xml:space="preserve"> </w:t>
      </w:r>
      <w:r>
        <w:t xml:space="preserve">district as the participant’s home. We call this the</w:t>
      </w:r>
      <w:r>
        <w:t xml:space="preserve"> </w:t>
      </w:r>
      <w:r>
        <w:t xml:space="preserve">“</w:t>
      </w:r>
      <w:r>
        <w:t xml:space="preserve">movment-based</w:t>
      </w:r>
      <w:r>
        <w:t xml:space="preserve">”</w:t>
      </w:r>
      <w:r>
        <w:t xml:space="preserve"> </w:t>
      </w:r>
      <w:r>
        <w:t xml:space="preserve">strategy. Whereas the former strategy prioritizes community districts</w:t>
      </w:r>
      <w:r>
        <w:t xml:space="preserve"> </w:t>
      </w:r>
      <w:r>
        <w:t xml:space="preserve">with high contact for the intervention, the latter strategy prioritizes</w:t>
      </w:r>
      <w:r>
        <w:t xml:space="preserve"> </w:t>
      </w:r>
      <w:r>
        <w:t xml:space="preserve">community districts with a high level of movement in and out of the</w:t>
      </w:r>
      <w:r>
        <w:t xml:space="preserve"> </w:t>
      </w:r>
      <w:r>
        <w:t xml:space="preserve">community district.</w:t>
      </w:r>
    </w:p>
    <w:p>
      <w:pPr>
        <w:pStyle w:val="BodyText"/>
      </w:pPr>
      <w:r>
        <w:t xml:space="preserve">We assessed these strategies against two outcomes. The first is the</w:t>
      </w:r>
      <w:r>
        <w:t xml:space="preserve"> </w:t>
      </w:r>
      <w:r>
        <w:t xml:space="preserve">total number of immunized people divided by the number of immunized</w:t>
      </w:r>
      <w:r>
        <w:t xml:space="preserve"> </w:t>
      </w:r>
      <w:r>
        <w:t xml:space="preserve">community districts, and the second is the proportion of individuals who</w:t>
      </w:r>
      <w:r>
        <w:t xml:space="preserve"> </w:t>
      </w:r>
      <w:r>
        <w:t xml:space="preserve">are in the largest connected component of the network that connects</w:t>
      </w:r>
      <w:r>
        <w:t xml:space="preserve"> </w:t>
      </w:r>
      <w:r>
        <w:t xml:space="preserve">particiopants through their shared community districts. The former</w:t>
      </w:r>
      <w:r>
        <w:t xml:space="preserve"> </w:t>
      </w:r>
      <w:r>
        <w:t xml:space="preserve">measure assesses the efficiency of the intervention (an efficient</w:t>
      </w:r>
      <w:r>
        <w:t xml:space="preserve"> </w:t>
      </w:r>
      <w:r>
        <w:t xml:space="preserve">intervention is one which immunizes a high number of people though a low</w:t>
      </w:r>
      <w:r>
        <w:t xml:space="preserve"> </w:t>
      </w:r>
      <w:r>
        <w:t xml:space="preserve">number of community districts). The latter assess the effectiveness of</w:t>
      </w:r>
      <w:r>
        <w:t xml:space="preserve"> </w:t>
      </w:r>
      <w:r>
        <w:t xml:space="preserve">the intervention in breaking apart the largest connected component of</w:t>
      </w:r>
      <w:r>
        <w:t xml:space="preserve"> </w:t>
      </w:r>
      <w:r>
        <w:t xml:space="preserve">the network which connects survey participants through their overalpping</w:t>
      </w:r>
      <w:r>
        <w:t xml:space="preserve"> </w:t>
      </w:r>
      <w:r>
        <w:t xml:space="preserve">community districts so as to slow the dissemination of a pathogen</w:t>
      </w:r>
      <w:r>
        <w:t xml:space="preserve"> </w:t>
      </w:r>
      <w:r>
        <w:t xml:space="preserve">accross the city.</w:t>
      </w:r>
    </w:p>
    <w:p>
      <w:pPr>
        <w:pStyle w:val="BodyText"/>
      </w:pPr>
      <w:r>
        <w:t xml:space="preserve">This network has individuals as nodes. A tie between two individuals</w:t>
      </w:r>
      <w:r>
        <w:t xml:space="preserve"> </w:t>
      </w:r>
      <w:r>
        <w:t xml:space="preserve">indicates that those two live or have had a contact event in the same</w:t>
      </w:r>
      <w:r>
        <w:t xml:space="preserve"> </w:t>
      </w:r>
      <w:r>
        <w:t xml:space="preserve">community districts. The ties are weighted by the number of community</w:t>
      </w:r>
      <w:r>
        <w:t xml:space="preserve"> </w:t>
      </w:r>
      <w:r>
        <w:t xml:space="preserve">districts that are shared by the pair of participants in this way. The</w:t>
      </w:r>
      <w:r>
        <w:t xml:space="preserve"> </w:t>
      </w:r>
      <w:r>
        <w:t xml:space="preserve">network encodes the potential for the two individual to make contact</w:t>
      </w:r>
      <w:r>
        <w:t xml:space="preserve"> </w:t>
      </w:r>
      <w:r>
        <w:t xml:space="preserve">with one another and transmit a pathogen. The more community districts</w:t>
      </w:r>
      <w:r>
        <w:t xml:space="preserve"> </w:t>
      </w:r>
      <w:r>
        <w:t xml:space="preserve">they share, the more likely it is that they will make contact and/or</w:t>
      </w:r>
      <w:r>
        <w:t xml:space="preserve"> </w:t>
      </w:r>
      <w:r>
        <w:t xml:space="preserve">transmit a pathogen. The better connected this network is, the more</w:t>
      </w:r>
      <w:r>
        <w:t xml:space="preserve"> </w:t>
      </w:r>
      <w:r>
        <w:t xml:space="preserve">likely that a newly introduced infectious disease would disseminate</w:t>
      </w:r>
      <w:r>
        <w:t xml:space="preserve"> </w:t>
      </w:r>
      <w:r>
        <w:t xml:space="preserve">quickly accross the population. The less connected it is, the less</w:t>
      </w:r>
      <w:r>
        <w:t xml:space="preserve"> </w:t>
      </w:r>
      <w:r>
        <w:t xml:space="preserve">likley that such a dissemination could happen.</w:t>
      </w:r>
    </w:p>
    <w:p>
      <w:pPr>
        <w:pStyle w:val="BodyText"/>
      </w:pPr>
      <w:r>
        <w:t xml:space="preserve">One way to understand how well connected a network is is to examine its</w:t>
      </w:r>
      <w:r>
        <w:t xml:space="preserve"> </w:t>
      </w:r>
      <w:r>
        <w:t xml:space="preserve">connected components. A connected component is the set of nodes where</w:t>
      </w:r>
      <w:r>
        <w:t xml:space="preserve"> </w:t>
      </w:r>
      <w:r>
        <w:t xml:space="preserve">each node is reachable from any other node by tracing a path through</w:t>
      </w:r>
      <w:r>
        <w:t xml:space="preserve"> </w:t>
      </w:r>
      <w:r>
        <w:t xml:space="preserve">network ties, and where there are no nodes excluded from the set which</w:t>
      </w:r>
      <w:r>
        <w:t xml:space="preserve"> </w:t>
      </w:r>
      <w:r>
        <w:t xml:space="preserve">are reachable from any node in the set. In many human systems, networks</w:t>
      </w:r>
      <w:r>
        <w:t xml:space="preserve"> </w:t>
      </w:r>
      <w:r>
        <w:t xml:space="preserve">have a</w:t>
      </w:r>
      <w:r>
        <w:t xml:space="preserve"> </w:t>
      </w:r>
      <w:r>
        <w:t xml:space="preserve">“</w:t>
      </w:r>
      <w:r>
        <w:t xml:space="preserve">large connected component</w:t>
      </w:r>
      <w:r>
        <w:t xml:space="preserve">”</w:t>
      </w:r>
      <w:r>
        <w:t xml:space="preserve"> </w:t>
      </w:r>
      <w:r>
        <w:t xml:space="preserve">- connected component that contains</w:t>
      </w:r>
      <w:r>
        <w:t xml:space="preserve"> </w:t>
      </w:r>
      <w:r>
        <w:t xml:space="preserve">the vast majority of the nodes in the network - with other, usually much</w:t>
      </w:r>
      <w:r>
        <w:t xml:space="preserve"> </w:t>
      </w:r>
      <w:r>
        <w:t xml:space="preserve">smaller, connected components.</w:t>
      </w:r>
    </w:p>
    <w:p>
      <w:pPr>
        <w:pStyle w:val="BodyText"/>
      </w:pPr>
      <w:r>
        <w:t xml:space="preserve">To assess the effectiveness of the intervention strategy, we calculated</w:t>
      </w:r>
      <w:r>
        <w:t xml:space="preserve"> </w:t>
      </w:r>
      <w:r>
        <w:t xml:space="preserve">the proportion of participants which are included in the largest</w:t>
      </w:r>
      <w:r>
        <w:t xml:space="preserve"> </w:t>
      </w:r>
      <w:r>
        <w:t xml:space="preserve">connected component as community districts are immunized. To the</w:t>
      </w:r>
      <w:r>
        <w:t xml:space="preserve"> </w:t>
      </w:r>
      <w:r>
        <w:t xml:space="preserve">network, immunizing a community district has the effect of removing ties</w:t>
      </w:r>
      <w:r>
        <w:t xml:space="preserve"> </w:t>
      </w:r>
      <w:r>
        <w:t xml:space="preserve">between individuals who share that community district, and marking those</w:t>
      </w:r>
      <w:r>
        <w:t xml:space="preserve"> </w:t>
      </w:r>
      <w:r>
        <w:t xml:space="preserve">individuals as vaccinated. The more community districts are immunized,</w:t>
      </w:r>
      <w:r>
        <w:t xml:space="preserve"> </w:t>
      </w:r>
      <w:r>
        <w:t xml:space="preserve">therefore, the fewer ties there will be in the network, and the smaller</w:t>
      </w:r>
      <w:r>
        <w:t xml:space="preserve"> </w:t>
      </w:r>
      <w:r>
        <w:t xml:space="preserve">the proportion of participants included in the largets connected</w:t>
      </w:r>
      <w:r>
        <w:t xml:space="preserve"> </w:t>
      </w:r>
      <w:r>
        <w:t xml:space="preserve">component.</w:t>
      </w:r>
    </w:p>
    <w:p>
      <w:pPr>
        <w:pStyle w:val="BodyText"/>
      </w:pPr>
      <w:hyperlink w:anchor="fig-hiimpact-communities-movement">
        <w:r>
          <w:rPr>
            <w:rStyle w:val="Hyperlink"/>
          </w:rPr>
          <w:t xml:space="preserve">Figure 9</w:t>
        </w:r>
      </w:hyperlink>
      <w:r>
        <w:t xml:space="preserve"> </w:t>
      </w:r>
      <w:r>
        <w:t xml:space="preserve">shows which community districts would</w:t>
      </w:r>
      <w:r>
        <w:t xml:space="preserve"> </w:t>
      </w:r>
      <w:r>
        <w:t xml:space="preserve">have to be immunized to immunize 33% of the population (Group A), and</w:t>
      </w:r>
      <w:r>
        <w:t xml:space="preserve"> </w:t>
      </w:r>
      <w:r>
        <w:t xml:space="preserve">66% of ther population (Group A + Group B) under both the contact-based</w:t>
      </w:r>
      <w:r>
        <w:t xml:space="preserve"> </w:t>
      </w:r>
      <w:r>
        <w:t xml:space="preserve">and movement-based intervention strategies.</w:t>
      </w:r>
    </w:p>
    <w:p>
      <w:pPr>
        <w:pStyle w:val="BodyText"/>
      </w:pPr>
      <w:r>
        <w:t xml:space="preserve">Under the contact-based strategy, it would take five community districts</w:t>
      </w:r>
      <w:r>
        <w:t xml:space="preserve"> </w:t>
      </w:r>
      <w:r>
        <w:t xml:space="preserve">to immunize 33% of sthe population. These are MN04, BK01, MN10, BK03,</w:t>
      </w:r>
      <w:r>
        <w:t xml:space="preserve"> </w:t>
      </w:r>
      <w:r>
        <w:t xml:space="preserve">and QN01. MN04 includes the neighborhoods XXXXX, BK01 includes XXXXX,</w:t>
      </w:r>
      <w:r>
        <w:t xml:space="preserve"> </w:t>
      </w:r>
      <w:r>
        <w:t xml:space="preserve">MN10 includes XXXX, BK03 includes XXX, and QN01 includes XXXX. To reach</w:t>
      </w:r>
      <w:r>
        <w:t xml:space="preserve"> </w:t>
      </w:r>
      <w:r>
        <w:t xml:space="preserve">66% of participants with the intervention, it would be necessary to</w:t>
      </w:r>
      <w:r>
        <w:t xml:space="preserve"> </w:t>
      </w:r>
      <w:r>
        <w:t xml:space="preserve">immunize 13 community districts. The additional community districts</w:t>
      </w:r>
      <w:r>
        <w:t xml:space="preserve"> </w:t>
      </w:r>
      <w:r>
        <w:t xml:space="preserve">would be MN12, BK04, MN02, BK08, MN07, MN09, BK02, and MN05.</w:t>
      </w:r>
    </w:p>
    <w:p>
      <w:pPr>
        <w:pStyle w:val="BodyText"/>
      </w:pPr>
      <w:r>
        <w:t xml:space="preserve">Under the movement-based strategy, it would take six community districts</w:t>
      </w:r>
      <w:r>
        <w:t xml:space="preserve"> </w:t>
      </w:r>
      <w:r>
        <w:t xml:space="preserve">to reach 33% of the population: MN04, BK01, MN05, BK04, MN02, and BK03.</w:t>
      </w:r>
      <w:r>
        <w:t xml:space="preserve"> </w:t>
      </w:r>
      <w:r>
        <w:t xml:space="preserve">It would take 16 community districts to reach 66% of the population. The</w:t>
      </w:r>
      <w:r>
        <w:t xml:space="preserve"> </w:t>
      </w:r>
      <w:r>
        <w:t xml:space="preserve">additional community districts would be: MN64, MN10, QN01, BK08, MN09,</w:t>
      </w:r>
      <w:r>
        <w:t xml:space="preserve"> </w:t>
      </w:r>
      <w:r>
        <w:t xml:space="preserve">QN05, BK09, MN11, BK14, and BK07.</w:t>
      </w:r>
    </w:p>
    <w:p>
      <w:pPr>
        <w:pStyle w:val="BodyText"/>
      </w:pPr>
      <w:hyperlink w:anchor="fig-netimpact">
        <w:r>
          <w:rPr>
            <w:rStyle w:val="Hyperlink"/>
          </w:rPr>
          <w:t xml:space="preserve">Figure 10</w:t>
        </w:r>
      </w:hyperlink>
      <w:r>
        <w:t xml:space="preserve"> </w:t>
      </w:r>
      <w:r>
        <w:t xml:space="preserve">shows that nearly 100% of individuals are included in the</w:t>
      </w:r>
      <w:r>
        <w:t xml:space="preserve"> </w:t>
      </w:r>
      <w:r>
        <w:t xml:space="preserve">largest connected component before any intervention. For the</w:t>
      </w:r>
      <w:r>
        <w:t xml:space="preserve"> </w:t>
      </w:r>
      <w:r>
        <w:t xml:space="preserve">movement-based strategy, the proportion of the population included in</w:t>
      </w:r>
      <w:r>
        <w:t xml:space="preserve"> </w:t>
      </w:r>
      <w:r>
        <w:t xml:space="preserve">the largest connected component declines more sharply than for the</w:t>
      </w:r>
      <w:r>
        <w:t xml:space="preserve"> </w:t>
      </w:r>
      <w:r>
        <w:t xml:space="preserve">contact-based strategy. In the contact-based strategy, the overall</w:t>
      </w:r>
      <w:r>
        <w:t xml:space="preserve"> </w:t>
      </w:r>
      <w:r>
        <w:t xml:space="preserve">proportion of unvaccinated individuals declines more sharply than in the</w:t>
      </w:r>
      <w:r>
        <w:t xml:space="preserve"> </w:t>
      </w:r>
      <w:r>
        <w:t xml:space="preserve">movement-based strategy. There is not a noticable difference between the</w:t>
      </w:r>
      <w:r>
        <w:t xml:space="preserve"> </w:t>
      </w:r>
      <w:r>
        <w:t xml:space="preserve">two strategies for the first 10 community districts to be immunized -</w:t>
      </w:r>
      <w:r>
        <w:t xml:space="preserve"> </w:t>
      </w:r>
      <w:r>
        <w:t xml:space="preserve">differences between the two strategies start emerging once 10 community</w:t>
      </w:r>
      <w:r>
        <w:t xml:space="preserve"> </w:t>
      </w:r>
      <w:r>
        <w:t xml:space="preserve">districts are immunized.</w:t>
      </w:r>
    </w:p>
    <w:tbl>
      <w:tblPr>
        <w:tblStyle w:val="Table"/>
        <w:tblW w:type="pct" w:w="5000"/>
        <w:tblLook w:firstRow="0" w:lastRow="0" w:firstColumn="0" w:lastColumn="0" w:noHBand="0" w:noVBand="0" w:val="0000"/>
        <w:jc w:val="start"/>
      </w:tblPr>
      <w:tblGrid>
        <w:gridCol w:w="7920"/>
      </w:tblGrid>
      <w:tr>
        <w:tc>
          <w:tcPr/>
          <w:bookmarkStart w:id="82" w:name="fig-hiimpact-communities-movement"/>
          <w:p>
            <w:pPr>
              <w:jc w:val="center"/>
            </w:pPr>
            <w:r>
              <w:drawing>
                <wp:inline>
                  <wp:extent cx="5334000" cy="4267200"/>
                  <wp:effectExtent b="0" l="0" r="0" t="0"/>
                  <wp:docPr descr="" title="" id="80" name="Picture"/>
                  <a:graphic>
                    <a:graphicData uri="http://schemas.openxmlformats.org/drawingml/2006/picture">
                      <pic:pic>
                        <pic:nvPicPr>
                          <pic:cNvPr descr="_manuscript_files/figure-docx/fig-hiimpact-communities-movement-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High-coverage community districts - Movement</w:t>
            </w:r>
          </w:p>
          <w:bookmarkEnd w:id="82"/>
        </w:tc>
      </w:tr>
    </w:tbl>
    <w:bookmarkEnd w:id="83"/>
    <w:bookmarkStart w:id="88" w:name="disruptive-interventions"/>
    <w:p>
      <w:pPr>
        <w:pStyle w:val="Heading3"/>
      </w:pPr>
      <w:r>
        <w:t xml:space="preserve">Disruptive interventions</w:t>
      </w:r>
    </w:p>
    <w:tbl>
      <w:tblPr>
        <w:tblStyle w:val="Table"/>
        <w:tblW w:type="pct" w:w="5000"/>
        <w:tblLook w:firstRow="0" w:lastRow="0" w:firstColumn="0" w:lastColumn="0" w:noHBand="0" w:noVBand="0" w:val="0000"/>
        <w:jc w:val="start"/>
      </w:tblPr>
      <w:tblGrid>
        <w:gridCol w:w="7920"/>
      </w:tblGrid>
      <w:tr>
        <w:tc>
          <w:tcPr/>
          <w:bookmarkStart w:id="87" w:name="fig-netimpact"/>
          <w:p>
            <w:pPr>
              <w:jc w:val="center"/>
            </w:pPr>
            <w:r>
              <w:drawing>
                <wp:inline>
                  <wp:extent cx="5334000" cy="3333750"/>
                  <wp:effectExtent b="0" l="0" r="0" t="0"/>
                  <wp:docPr descr="" title="" id="85" name="Picture"/>
                  <a:graphic>
                    <a:graphicData uri="http://schemas.openxmlformats.org/drawingml/2006/picture">
                      <pic:pic>
                        <pic:nvPicPr>
                          <pic:cNvPr descr="_manuscript_files/figure-docx/fig-netimpact-1.png" id="86" name="Picture"/>
                          <pic:cNvPicPr>
                            <a:picLocks noChangeArrowheads="1" noChangeAspect="1"/>
                          </pic:cNvPicPr>
                        </pic:nvPicPr>
                        <pic:blipFill>
                          <a:blip r:embed="rId8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Network impact</w:t>
            </w:r>
          </w:p>
          <w:bookmarkEnd w:id="87"/>
        </w:tc>
      </w:tr>
    </w:tbl>
    <w:bookmarkEnd w:id="88"/>
    <w:bookmarkEnd w:id="89"/>
    <w:bookmarkEnd w:id="90"/>
    <w:bookmarkStart w:id="91" w:name="discussion"/>
    <w:p>
      <w:pPr>
        <w:pStyle w:val="Heading1"/>
      </w:pPr>
      <w:r>
        <w:t xml:space="preserve">Discussion</w:t>
      </w:r>
    </w:p>
    <w:p>
      <w:pPr>
        <w:pStyle w:val="FirstParagraph"/>
      </w:pPr>
      <w:r>
        <w:t xml:space="preserve">Group sex is ubiquitous. The sex happens in physical space, it is</w:t>
      </w:r>
      <w:r>
        <w:t xml:space="preserve"> </w:t>
      </w:r>
      <w:r>
        <w:t xml:space="preserve">important to study space and sex at the same time.</w:t>
      </w:r>
    </w:p>
    <w:p>
      <w:pPr>
        <w:pStyle w:val="BodyText"/>
      </w:pPr>
      <w:r>
        <w:t xml:space="preserve">People who are more likely to have contact are also more likely to use</w:t>
      </w:r>
      <w:r>
        <w:t xml:space="preserve"> </w:t>
      </w:r>
      <w:r>
        <w:t xml:space="preserve">health-promoting interventions such as PrEP, mpox vaccination. But are</w:t>
      </w:r>
      <w:r>
        <w:t xml:space="preserve"> </w:t>
      </w:r>
      <w:r>
        <w:t xml:space="preserve">not more likely to access mpox testing. The latter is likely more about</w:t>
      </w:r>
      <w:r>
        <w:t xml:space="preserve"> </w:t>
      </w:r>
      <w:r>
        <w:t xml:space="preserve">the inadequate system for testing than its is about health behavior.</w:t>
      </w:r>
    </w:p>
    <w:p>
      <w:pPr>
        <w:pStyle w:val="BodyText"/>
      </w:pPr>
      <w:r>
        <w:t xml:space="preserve">Targeting public group sex venues is an ineffective intervention in the</w:t>
      </w:r>
      <w:r>
        <w:t xml:space="preserve"> </w:t>
      </w:r>
      <w:r>
        <w:t xml:space="preserve">face of a growing threat of a deadly sexually transmitted infection.</w:t>
      </w:r>
    </w:p>
    <w:p>
      <w:pPr>
        <w:pStyle w:val="BodyText"/>
      </w:pPr>
      <w:r>
        <w:t xml:space="preserve">Sexual activity and group sexual activity are not evenly distributed</w:t>
      </w:r>
      <w:r>
        <w:t xml:space="preserve"> </w:t>
      </w:r>
      <w:r>
        <w:t xml:space="preserve">across the city - there are few neighborhoods which, if intensely</w:t>
      </w:r>
      <w:r>
        <w:t xml:space="preserve"> </w:t>
      </w:r>
      <w:r>
        <w:t xml:space="preserve">covered with interventions could slow down transmission across the city</w:t>
      </w:r>
      <w:r>
        <w:t xml:space="preserve"> </w:t>
      </w:r>
      <w:r>
        <w:t xml:space="preserve">more generally.</w:t>
      </w:r>
    </w:p>
    <w:p>
      <w:pPr>
        <w:pStyle w:val="BodyText"/>
      </w:pPr>
      <w:r>
        <w:t xml:space="preserve">There is spatial homophily by race-gender, sexual orientation, and age.</w:t>
      </w:r>
      <w:r>
        <w:t xml:space="preserve"> </w:t>
      </w:r>
      <w:r>
        <w:t xml:space="preserve">And there is some spatial separation between gay identified people and</w:t>
      </w:r>
      <w:r>
        <w:t xml:space="preserve"> </w:t>
      </w:r>
      <w:r>
        <w:t xml:space="preserve">people of other sexual orientations. This is likely to lead to some</w:t>
      </w:r>
      <w:r>
        <w:t xml:space="preserve"> </w:t>
      </w:r>
      <w:r>
        <w:t xml:space="preserve">containment among gay men.</w:t>
      </w:r>
    </w:p>
    <w:p>
      <w:pPr>
        <w:pStyle w:val="BodyText"/>
      </w:pPr>
      <w:r>
        <w:t xml:space="preserve">People who had group contact were also likely to have more friends, more</w:t>
      </w:r>
      <w:r>
        <w:t xml:space="preserve"> </w:t>
      </w:r>
      <w:r>
        <w:t xml:space="preserve">one-on-one physical contact, and more one-on-one sexual contact than</w:t>
      </w:r>
      <w:r>
        <w:t xml:space="preserve"> </w:t>
      </w:r>
      <w:r>
        <w:t xml:space="preserve">others. Even as spatial networks are considered as conduits for the</w:t>
      </w:r>
      <w:r>
        <w:t xml:space="preserve"> </w:t>
      </w:r>
      <w:r>
        <w:t xml:space="preserve">transmission of pathogens, they should be conceptualized and conduits</w:t>
      </w:r>
      <w:r>
        <w:t xml:space="preserve"> </w:t>
      </w:r>
      <w:r>
        <w:t xml:space="preserve">for information and other health-promoting resources.</w:t>
      </w:r>
    </w:p>
    <w:p>
      <w:pPr>
        <w:pStyle w:val="BodyText"/>
      </w:pPr>
      <w:r>
        <w:t xml:space="preserve">Network connectivity declines after about 10 community districts. We</w:t>
      </w:r>
      <w:r>
        <w:t xml:space="preserve"> </w:t>
      </w:r>
      <w:r>
        <w:t xml:space="preserve">have to assume that we are working on a well connected network and</w:t>
      </w:r>
      <w:r>
        <w:t xml:space="preserve"> </w:t>
      </w:r>
      <w:r>
        <w:t xml:space="preserve">conduct interventions concurrently instead of sequentially as we have</w:t>
      </w:r>
      <w:r>
        <w:t xml:space="preserve"> </w:t>
      </w:r>
      <w:r>
        <w:t xml:space="preserve">proposed here.</w:t>
      </w:r>
    </w:p>
    <w:p>
      <w:pPr>
        <w:pStyle w:val="BodyText"/>
      </w:pPr>
      <w:r>
        <w:t xml:space="preserve">We must overreact in places which are hubs. Extend to international gay</w:t>
      </w:r>
      <w:r>
        <w:t xml:space="preserve"> </w:t>
      </w:r>
      <w:r>
        <w:t xml:space="preserve">travel.</w:t>
      </w:r>
    </w:p>
    <w:p>
      <w:pPr>
        <w:pStyle w:val="BodyText"/>
      </w:pPr>
      <w:r>
        <w:t xml:space="preserve">Extend to contact tracing light.</w:t>
      </w:r>
    </w:p>
    <w:p>
      <w:pPr>
        <w:pStyle w:val="BodyText"/>
      </w:pPr>
      <w:r>
        <w:t xml:space="preserve">Background in programming:</w:t>
      </w:r>
    </w:p>
    <w:p>
      <w:pPr>
        <w:numPr>
          <w:ilvl w:val="0"/>
          <w:numId w:val="1007"/>
        </w:numPr>
      </w:pPr>
      <w:r>
        <w:t xml:space="preserve">we make the asusmption of networking, but networks are not measured.</w:t>
      </w:r>
    </w:p>
    <w:p>
      <w:pPr>
        <w:numPr>
          <w:ilvl w:val="0"/>
          <w:numId w:val="1007"/>
        </w:numPr>
      </w:pPr>
      <w:r>
        <w:t xml:space="preserve">we talk a lot about empowering community, but we need to just ask</w:t>
      </w:r>
      <w:r>
        <w:t xml:space="preserve"> </w:t>
      </w:r>
      <w:r>
        <w:t xml:space="preserve">organizations how much material resources they dedicate to active</w:t>
      </w:r>
      <w:r>
        <w:t xml:space="preserve"> </w:t>
      </w:r>
      <w:r>
        <w:t xml:space="preserve">reponsive work like this, vs. covering overhead. Things are usually</w:t>
      </w:r>
      <w:r>
        <w:t xml:space="preserve"> </w:t>
      </w:r>
      <w:r>
        <w:t xml:space="preserve">what they seem.</w:t>
      </w:r>
    </w:p>
    <w:p>
      <w:pPr>
        <w:numPr>
          <w:ilvl w:val="0"/>
          <w:numId w:val="1007"/>
        </w:numPr>
      </w:pPr>
      <w:r>
        <w:t xml:space="preserve">WE are called to reconsider the categorical imperative and move</w:t>
      </w:r>
      <w:r>
        <w:t xml:space="preserve"> </w:t>
      </w:r>
      <w:r>
        <w:t xml:space="preserve">towards a network-based understanding of community.</w:t>
      </w:r>
    </w:p>
    <w:p>
      <w:pPr>
        <w:numPr>
          <w:ilvl w:val="0"/>
          <w:numId w:val="1007"/>
        </w:numPr>
      </w:pPr>
      <w:r>
        <w:t xml:space="preserve">Next step: This is a flavor of CLM. We call on UNAIDS and WHO to</w:t>
      </w:r>
      <w:r>
        <w:t xml:space="preserve"> </w:t>
      </w:r>
      <w:r>
        <w:t xml:space="preserve">generate technical guidance to conduct these studies.</w:t>
      </w:r>
    </w:p>
    <w:p>
      <w:pPr>
        <w:pStyle w:val="FirstParagraph"/>
      </w:pPr>
      <w:r>
        <w:t xml:space="preserve">Reccomendations:</w:t>
      </w:r>
    </w:p>
    <w:p>
      <w:pPr>
        <w:numPr>
          <w:ilvl w:val="0"/>
          <w:numId w:val="1008"/>
        </w:numPr>
      </w:pPr>
      <w:r>
        <w:t xml:space="preserve">Gov:</w:t>
      </w:r>
    </w:p>
    <w:p>
      <w:pPr>
        <w:numPr>
          <w:ilvl w:val="1"/>
          <w:numId w:val="1009"/>
        </w:numPr>
      </w:pPr>
      <w:r>
        <w:t xml:space="preserve">hire capable queer and tans people of different backgrounds to</w:t>
      </w:r>
      <w:r>
        <w:t xml:space="preserve"> </w:t>
      </w:r>
      <w:r>
        <w:t xml:space="preserve">convene local groups to monitor the situation and make</w:t>
      </w:r>
      <w:r>
        <w:t xml:space="preserve"> </w:t>
      </w:r>
      <w:r>
        <w:t xml:space="preserve">contingency plans</w:t>
      </w:r>
    </w:p>
    <w:p>
      <w:pPr>
        <w:numPr>
          <w:ilvl w:val="1"/>
          <w:numId w:val="1009"/>
        </w:numPr>
      </w:pPr>
      <w:r>
        <w:t xml:space="preserve">defund centers for pandemic preparendess which have not done any</w:t>
      </w:r>
      <w:r>
        <w:t xml:space="preserve"> </w:t>
      </w:r>
      <w:r>
        <w:t xml:space="preserve">work to prepare us for the onslaught and steer funding to</w:t>
      </w:r>
      <w:r>
        <w:t xml:space="preserve"> </w:t>
      </w:r>
      <w:r>
        <w:t xml:space="preserve">coalitions of local activists, researchers, and government who</w:t>
      </w:r>
      <w:r>
        <w:t xml:space="preserve"> </w:t>
      </w:r>
      <w:r>
        <w:t xml:space="preserve">wish to coordinate efforts to prepare</w:t>
      </w:r>
    </w:p>
    <w:p>
      <w:pPr>
        <w:numPr>
          <w:ilvl w:val="1"/>
          <w:numId w:val="1009"/>
        </w:numPr>
      </w:pPr>
      <w:r>
        <w:t xml:space="preserve">Invest in success and not in prestigious and well-explained</w:t>
      </w:r>
      <w:r>
        <w:t xml:space="preserve"> </w:t>
      </w:r>
      <w:r>
        <w:t xml:space="preserve">failure.</w:t>
      </w:r>
    </w:p>
    <w:p>
      <w:pPr>
        <w:numPr>
          <w:ilvl w:val="0"/>
          <w:numId w:val="1008"/>
        </w:numPr>
      </w:pPr>
      <w:r>
        <w:t xml:space="preserve">conduct this kind of survey every year to keep an up-to date map and</w:t>
      </w:r>
      <w:r>
        <w:t xml:space="preserve"> </w:t>
      </w:r>
      <w:r>
        <w:t xml:space="preserve">study its evolution over time. We collected MPX NYC 2 data, which</w:t>
      </w:r>
      <w:r>
        <w:t xml:space="preserve"> </w:t>
      </w:r>
      <w:r>
        <w:t xml:space="preserve">are currently being analysed.</w:t>
      </w:r>
    </w:p>
    <w:p>
      <w:pPr>
        <w:numPr>
          <w:ilvl w:val="0"/>
          <w:numId w:val="1008"/>
        </w:numPr>
      </w:pPr>
      <w:r>
        <w:t xml:space="preserve">convene groups to be ready for the new outbreak instead of wiating</w:t>
      </w:r>
      <w:r>
        <w:t xml:space="preserve"> </w:t>
      </w:r>
      <w:r>
        <w:t xml:space="preserve">for it to kill people before we do anything</w:t>
      </w:r>
    </w:p>
    <w:p>
      <w:pPr>
        <w:numPr>
          <w:ilvl w:val="0"/>
          <w:numId w:val="1008"/>
        </w:numPr>
      </w:pPr>
      <w:r>
        <w:t xml:space="preserve">accept that under biden’s presidency, activists were gaslighted into</w:t>
      </w:r>
      <w:r>
        <w:t xml:space="preserve"> </w:t>
      </w:r>
      <w:r>
        <w:t xml:space="preserve">believing the administration is doing the utmost to slow the spread</w:t>
      </w:r>
      <w:r>
        <w:t xml:space="preserve"> </w:t>
      </w:r>
      <w:r>
        <w:t xml:space="preserve">down whereas it was doing the least. If we are to prevent pain and</w:t>
      </w:r>
      <w:r>
        <w:t xml:space="preserve"> </w:t>
      </w:r>
      <w:r>
        <w:t xml:space="preserve">suffering, we have to assume that city, state, and federal</w:t>
      </w:r>
      <w:r>
        <w:t xml:space="preserve"> </w:t>
      </w:r>
      <w:r>
        <w:t xml:space="preserve">government will provide as much material support as they did through</w:t>
      </w:r>
      <w:r>
        <w:t xml:space="preserve"> </w:t>
      </w:r>
      <w:r>
        <w:t xml:space="preserve">this ground-breaking initiative which was the only of its kind at</w:t>
      </w:r>
      <w:r>
        <w:t xml:space="preserve"> </w:t>
      </w:r>
      <w:r>
        <w:t xml:space="preserve">the time we conducted it.</w:t>
      </w:r>
    </w:p>
    <w:p>
      <w:pPr>
        <w:numPr>
          <w:ilvl w:val="0"/>
          <w:numId w:val="1008"/>
        </w:numPr>
      </w:pPr>
      <w:r>
        <w:t xml:space="preserve">Do whatever you want - climate change is gonna hit us before you get</w:t>
      </w:r>
      <w:r>
        <w:t xml:space="preserve"> </w:t>
      </w:r>
      <w:r>
        <w:t xml:space="preserve">tenure. go wild. have fund. be a freak.</w:t>
      </w:r>
    </w:p>
    <w:p>
      <w:pPr>
        <w:pStyle w:val="FirstParagraph"/>
      </w:pPr>
      <w:r>
        <w:t xml:space="preserve">Methodologically,</w:t>
      </w:r>
    </w:p>
    <w:p>
      <w:pPr>
        <w:numPr>
          <w:ilvl w:val="0"/>
          <w:numId w:val="1010"/>
        </w:numPr>
      </w:pPr>
      <w:r>
        <w:t xml:space="preserve">we spearheading technical innovation both in data collection -</w:t>
      </w:r>
      <w:r>
        <w:t xml:space="preserve"> </w:t>
      </w:r>
      <w:r>
        <w:t xml:space="preserve">survey instrument.</w:t>
      </w:r>
    </w:p>
    <w:p>
      <w:pPr>
        <w:numPr>
          <w:ilvl w:val="0"/>
          <w:numId w:val="1010"/>
        </w:numPr>
      </w:pPr>
      <w:r>
        <w:t xml:space="preserve">and in data wrangling and analysis. use bipartite network to keep</w:t>
      </w:r>
      <w:r>
        <w:t xml:space="preserve"> </w:t>
      </w:r>
      <w:r>
        <w:t xml:space="preserve">and wrangle the data. get to the core of the relational content of</w:t>
      </w:r>
      <w:r>
        <w:t xml:space="preserve"> </w:t>
      </w:r>
      <w:r>
        <w:t xml:space="preserve">the work.</w:t>
      </w:r>
    </w:p>
    <w:p>
      <w:pPr>
        <w:numPr>
          <w:ilvl w:val="0"/>
          <w:numId w:val="1010"/>
        </w:numPr>
      </w:pPr>
      <w:r>
        <w:t xml:space="preserve">we also offer project management tools and skills to large</w:t>
      </w:r>
      <w:r>
        <w:t xml:space="preserve"> </w:t>
      </w:r>
      <w:r>
        <w:t xml:space="preserve">organizations which have branded themselves as mpox-concerned, but</w:t>
      </w:r>
      <w:r>
        <w:t xml:space="preserve"> </w:t>
      </w:r>
      <w:r>
        <w:t xml:space="preserve">have not contributed new knowledge or mounted useful programs.</w:t>
      </w:r>
    </w:p>
    <w:p>
      <w:pPr>
        <w:numPr>
          <w:ilvl w:val="0"/>
          <w:numId w:val="1010"/>
        </w:numPr>
      </w:pPr>
      <w:r>
        <w:t xml:space="preserve">Social network and spatial network analysis is the next fronteir. If</w:t>
      </w:r>
      <w:r>
        <w:t xml:space="preserve"> </w:t>
      </w:r>
      <w:r>
        <w:t xml:space="preserve">we don’t properly conceptualize the relational nature of public</w:t>
      </w:r>
      <w:r>
        <w:t xml:space="preserve"> </w:t>
      </w:r>
      <w:r>
        <w:t xml:space="preserve">heatlh programs, we are doomed to host webinar after webinar of</w:t>
      </w:r>
      <w:r>
        <w:t xml:space="preserve"> </w:t>
      </w:r>
      <w:r>
        <w:t xml:space="preserve">platitudes.</w:t>
      </w:r>
    </w:p>
    <w:p>
      <w:pPr>
        <w:numPr>
          <w:ilvl w:val="0"/>
          <w:numId w:val="1010"/>
        </w:numPr>
      </w:pPr>
      <w:r>
        <w:t xml:space="preserve">Can help with HIV and STIs and can help us to conceive of a pandemic</w:t>
      </w:r>
      <w:r>
        <w:t xml:space="preserve"> </w:t>
      </w:r>
      <w:r>
        <w:t xml:space="preserve">prepareness program that extends beyond webinars conducted on unfair</w:t>
      </w:r>
      <w:r>
        <w:t xml:space="preserve"> </w:t>
      </w:r>
      <w:r>
        <w:t xml:space="preserve">terms to queer and trans people doing work.</w:t>
      </w:r>
    </w:p>
    <w:p>
      <w:pPr>
        <w:pStyle w:val="FirstParagraph"/>
      </w:pPr>
      <w:r>
        <w:t xml:space="preserve">While many researchers have been paid by funding organizations to talk</w:t>
      </w:r>
      <w:r>
        <w:t xml:space="preserve"> </w:t>
      </w:r>
      <w:r>
        <w:t xml:space="preserve">about mpox, few have contributed anything that can help us stop it and</w:t>
      </w:r>
      <w:r>
        <w:t xml:space="preserve"> </w:t>
      </w:r>
      <w:r>
        <w:t xml:space="preserve">attend to community needs. Rec is for capable researchers to break rank</w:t>
      </w:r>
      <w:r>
        <w:t xml:space="preserve"> </w:t>
      </w:r>
      <w:r>
        <w:t xml:space="preserve">and do the research they think is necessary with the understanding that</w:t>
      </w:r>
      <w:r>
        <w:t xml:space="preserve"> </w:t>
      </w:r>
      <w:r>
        <w:t xml:space="preserve">people who usually get paid will get paid (professional researchers),</w:t>
      </w:r>
      <w:r>
        <w:t xml:space="preserve"> </w:t>
      </w:r>
      <w:r>
        <w:t xml:space="preserve">and people who usually do not get paid will not get paid (community</w:t>
      </w:r>
      <w:r>
        <w:t xml:space="preserve"> </w:t>
      </w:r>
      <w:r>
        <w:t xml:space="preserve">researchers).</w:t>
      </w:r>
    </w:p>
    <w:p>
      <w:pPr>
        <w:pStyle w:val="BodyText"/>
      </w:pPr>
      <w:r>
        <w:t xml:space="preserve">Our most important recomendation is not to government, which has proven</w:t>
      </w:r>
      <w:r>
        <w:t xml:space="preserve"> </w:t>
      </w:r>
      <w:r>
        <w:t xml:space="preserve">itself to be what it appears to be in the face of actual emergencies,</w:t>
      </w:r>
      <w:r>
        <w:t xml:space="preserve"> </w:t>
      </w:r>
      <w:r>
        <w:t xml:space="preserve">and it is not to large HIV organizations and pundits. It is to queer and</w:t>
      </w:r>
      <w:r>
        <w:t xml:space="preserve"> </w:t>
      </w:r>
      <w:r>
        <w:t xml:space="preserve">trans people who have the skills to produce new and useful knowledge. WE</w:t>
      </w:r>
      <w:r>
        <w:t xml:space="preserve"> </w:t>
      </w:r>
      <w:r>
        <w:t xml:space="preserve">did it cheaper, quicker, and better than the large organizations that</w:t>
      </w:r>
      <w:r>
        <w:t xml:space="preserve"> </w:t>
      </w:r>
      <w:r>
        <w:t xml:space="preserve">have sucked up funding.</w:t>
      </w:r>
    </w:p>
    <w:p>
      <w:pPr>
        <w:pStyle w:val="BodyText"/>
      </w:pPr>
      <w:r>
        <w:t xml:space="preserve">The RESPND-MI project commits to making as much of our workproduct</w:t>
      </w:r>
      <w:r>
        <w:t xml:space="preserve"> </w:t>
      </w:r>
      <w:r>
        <w:t xml:space="preserve">available as possible, and to be available for paid consultations to get</w:t>
      </w:r>
      <w:r>
        <w:t xml:space="preserve"> </w:t>
      </w:r>
      <w:r>
        <w:t xml:space="preserve">projects like these off the ground accross the country and across the</w:t>
      </w:r>
      <w:r>
        <w:t xml:space="preserve"> </w:t>
      </w:r>
      <w:r>
        <w:t xml:space="preserve">world.</w:t>
      </w:r>
    </w:p>
    <w:bookmarkEnd w:id="91"/>
    <w:bookmarkStart w:id="92" w:name="acknowledgements"/>
    <w:p>
      <w:pPr>
        <w:pStyle w:val="Heading1"/>
      </w:pPr>
      <w:r>
        <w:t xml:space="preserve">Acknowledgements</w:t>
      </w:r>
    </w:p>
    <w:p>
      <w:pPr>
        <w:pStyle w:val="FirstParagraph"/>
      </w:pPr>
      <w:r>
        <w:t xml:space="preserve">Sponsors: Greg Millet facilitated funding from amfAR; XXX allowed us to</w:t>
      </w:r>
      <w:r>
        <w:t xml:space="preserve"> </w:t>
      </w:r>
      <w:r>
        <w:t xml:space="preserve">apply for out-of-cylce funding from Center for AIDS Research at Harvard</w:t>
      </w:r>
      <w:r>
        <w:t xml:space="preserve"> </w:t>
      </w:r>
      <w:r>
        <w:t xml:space="preserve">University; Ian Holloway facilitated financial support from UCLA Luskin</w:t>
      </w:r>
      <w:r>
        <w:t xml:space="preserve"> </w:t>
      </w:r>
      <w:r>
        <w:t xml:space="preserve">Center; and individual donors gave funds.</w:t>
      </w:r>
    </w:p>
    <w:p>
      <w:pPr>
        <w:pStyle w:val="BodyText"/>
      </w:pPr>
      <w:r>
        <w:t xml:space="preserve">Donors: LinkNYC and Grindr donated advertising to the study, neo4j</w:t>
      </w:r>
      <w:r>
        <w:t xml:space="preserve"> </w:t>
      </w:r>
      <w:r>
        <w:t xml:space="preserve">donated a license for their proprietary database software.</w:t>
      </w:r>
    </w:p>
    <w:p>
      <w:pPr>
        <w:pStyle w:val="BodyText"/>
      </w:pPr>
      <w:r>
        <w:t xml:space="preserve">Technical: Eric Tchetgen Tchetgen, Forrest W. Crawford, and Kenneth</w:t>
      </w:r>
      <w:r>
        <w:t xml:space="preserve"> </w:t>
      </w:r>
      <w:r>
        <w:t xml:space="preserve">Mayer provided feedback on technical aspects of the study.</w:t>
      </w:r>
    </w:p>
    <w:p>
      <w:pPr>
        <w:pStyle w:val="BodyText"/>
      </w:pPr>
      <w:r>
        <w:t xml:space="preserve">Translation: Cody Patrick Nolan coordinated translation of the survey</w:t>
      </w:r>
      <w:r>
        <w:t xml:space="preserve"> </w:t>
      </w:r>
      <w:r>
        <w:t xml:space="preserve">instrument and marketing materials. Antón Castellanos-Usiglu conducted</w:t>
      </w:r>
      <w:r>
        <w:t xml:space="preserve"> </w:t>
      </w:r>
      <w:r>
        <w:t xml:space="preserve">the translation. Cody Patrick Nolan, Chema Jiménez, Juan Pablo Amaya</w:t>
      </w:r>
      <w:r>
        <w:t xml:space="preserve"> </w:t>
      </w:r>
      <w:r>
        <w:t xml:space="preserve">Amaris, Santiago Aguilera Mijares, and María Andrea Santos Guzmán</w:t>
      </w:r>
      <w:r>
        <w:t xml:space="preserve"> </w:t>
      </w:r>
      <w:r>
        <w:t xml:space="preserve">validated the translation.</w:t>
      </w:r>
    </w:p>
    <w:p>
      <w:pPr>
        <w:pStyle w:val="BodyText"/>
      </w:pPr>
      <w:r>
        <w:t xml:space="preserve">Questionnaire: Keletso Makofane, Pedro Carneiro and Nguyen Tran drafted</w:t>
      </w:r>
      <w:r>
        <w:t xml:space="preserve"> </w:t>
      </w:r>
      <w:r>
        <w:t xml:space="preserve">the questionnaire. Lisa Berkman, Tom Carpino, David Barr, and Judy</w:t>
      </w:r>
      <w:r>
        <w:t xml:space="preserve"> </w:t>
      </w:r>
      <w:r>
        <w:t xml:space="preserve">Auerbach reviewed the questionnaire.</w:t>
      </w:r>
    </w:p>
    <w:p>
      <w:pPr>
        <w:pStyle w:val="BodyText"/>
      </w:pPr>
      <w:r>
        <w:t xml:space="preserve">Admin: Sudipta Saha coordinated study activities, Christian Urrutia and</w:t>
      </w:r>
      <w:r>
        <w:t xml:space="preserve"> </w:t>
      </w:r>
      <w:r>
        <w:t xml:space="preserve">Prep4All provided finance support, James Krellenstein and Joe Osmundson</w:t>
      </w:r>
      <w:r>
        <w:t xml:space="preserve"> </w:t>
      </w:r>
      <w:r>
        <w:t xml:space="preserve">participated in initial planning. Keletso Makofane kept financial</w:t>
      </w:r>
      <w:r>
        <w:t xml:space="preserve"> </w:t>
      </w:r>
      <w:r>
        <w:t xml:space="preserve">records. Lisa Berkman, Kenneth Mayer, and Eric Tchetgen Tchetgen were</w:t>
      </w:r>
      <w:r>
        <w:t xml:space="preserve"> </w:t>
      </w:r>
      <w:r>
        <w:t xml:space="preserve">academic advisors. Lisa Berkman acted as principal investigator for the</w:t>
      </w:r>
      <w:r>
        <w:t xml:space="preserve"> </w:t>
      </w:r>
      <w:r>
        <w:t xml:space="preserve">purpose of securing IRB approval while Keletso Makofane was principal</w:t>
      </w:r>
      <w:r>
        <w:t xml:space="preserve"> </w:t>
      </w:r>
      <w:r>
        <w:t xml:space="preserve">investigator in all other respects.</w:t>
      </w:r>
    </w:p>
    <w:p>
      <w:pPr>
        <w:pStyle w:val="BodyText"/>
      </w:pPr>
      <w:r>
        <w:t xml:space="preserve">Web Development: Keletso Makofane conceptualized and coded the survey</w:t>
      </w:r>
      <w:r>
        <w:t xml:space="preserve"> </w:t>
      </w:r>
      <w:r>
        <w:t xml:space="preserve">instrument (front end - which uses the FCC Data API but is not endorsed</w:t>
      </w:r>
      <w:r>
        <w:t xml:space="preserve"> </w:t>
      </w:r>
      <w:r>
        <w:t xml:space="preserve">or certified by the FCC). Sudpipta Saha identified the FCC Data API,</w:t>
      </w:r>
      <w:r>
        <w:t xml:space="preserve"> </w:t>
      </w:r>
      <w:r>
        <w:t xml:space="preserve">which allowed us to implement the front end. Imran Khan coded the study</w:t>
      </w:r>
      <w:r>
        <w:t xml:space="preserve"> </w:t>
      </w:r>
      <w:r>
        <w:t xml:space="preserve">data server and database (back end). Seema Kara planned out the overall</w:t>
      </w:r>
      <w:r>
        <w:t xml:space="preserve"> </w:t>
      </w:r>
      <w:r>
        <w:t xml:space="preserve">process of web development.</w:t>
      </w:r>
    </w:p>
    <w:p>
      <w:pPr>
        <w:pStyle w:val="BodyText"/>
      </w:pPr>
      <w:r>
        <w:t xml:space="preserve">Communications: Nick Diamond led marketing and communications efforts</w:t>
      </w:r>
      <w:r>
        <w:t xml:space="preserve"> </w:t>
      </w:r>
      <w:r>
        <w:t xml:space="preserve">including managing contracts with Burness marketing agency and</w:t>
      </w:r>
      <w:r>
        <w:t xml:space="preserve"> </w:t>
      </w:r>
      <w:r>
        <w:t xml:space="preserve">administering the LGBT+ Community Forum. Burness developed and</w:t>
      </w:r>
      <w:r>
        <w:t xml:space="preserve"> </w:t>
      </w:r>
      <w:r>
        <w:t xml:space="preserve">implemented the public-facing communications materials. Grant Roth,</w:t>
      </w:r>
      <w:r>
        <w:t xml:space="preserve"> </w:t>
      </w:r>
      <w:r>
        <w:t xml:space="preserve">Keletso Makofane, and Chris Wyman coordinated the initial invitations</w:t>
      </w:r>
      <w:r>
        <w:t xml:space="preserve"> </w:t>
      </w:r>
      <w:r>
        <w:t xml:space="preserve">for the LGBT+ Community Forum. Joe Osmundson shared epidemiologic</w:t>
      </w:r>
      <w:r>
        <w:t xml:space="preserve"> </w:t>
      </w:r>
      <w:r>
        <w:t xml:space="preserve">updates in early meetings of the Community Forum. Jennifer</w:t>
      </w:r>
      <w:r>
        <w:t xml:space="preserve"> </w:t>
      </w:r>
      <w:r>
        <w:t xml:space="preserve">Balenciaga-Barnes led our thinking on the use of gender-inclusive</w:t>
      </w:r>
      <w:r>
        <w:t xml:space="preserve"> </w:t>
      </w:r>
      <w:r>
        <w:t xml:space="preserve">language, Elle Lett and Nguyen Tran provided input on academic writing</w:t>
      </w:r>
      <w:r>
        <w:t xml:space="preserve"> </w:t>
      </w:r>
      <w:r>
        <w:t xml:space="preserve">on gender diversity, Keletso Makofane was responsible for the</w:t>
      </w:r>
      <w:r>
        <w:t xml:space="preserve"> </w:t>
      </w:r>
      <w:r>
        <w:t xml:space="preserve">operationalization and implementation of these ideas. Martez Smith led</w:t>
      </w:r>
      <w:r>
        <w:t xml:space="preserve"> </w:t>
      </w:r>
      <w:r>
        <w:t xml:space="preserve">in-person consultation with Black LGBT individuals in Harlem, New York.</w:t>
      </w:r>
    </w:p>
    <w:p>
      <w:pPr>
        <w:pStyle w:val="BodyText"/>
      </w:pPr>
      <w:r>
        <w:t xml:space="preserve">Fundraising:</w:t>
      </w:r>
    </w:p>
    <w:p>
      <w:pPr>
        <w:numPr>
          <w:ilvl w:val="0"/>
          <w:numId w:val="1011"/>
        </w:numPr>
      </w:pPr>
      <w:r>
        <w:t xml:space="preserve">Sudpita saha drafted the grants that funded this work.</w:t>
      </w:r>
    </w:p>
    <w:p>
      <w:pPr>
        <w:pStyle w:val="FirstParagraph"/>
      </w:pPr>
      <w:r>
        <w:t xml:space="preserve">Most of all, we thank, and stand in solidarity with, the MPX NYC</w:t>
      </w:r>
      <w:r>
        <w:t xml:space="preserve"> </w:t>
      </w:r>
      <w:r>
        <w:t xml:space="preserve">participants who gave of their time to make the study a success.</w:t>
      </w:r>
    </w:p>
    <w:bookmarkEnd w:id="92"/>
    <w:bookmarkStart w:id="107" w:name="references"/>
    <w:p>
      <w:pPr>
        <w:pStyle w:val="Heading1"/>
      </w:pPr>
      <w:r>
        <w:t xml:space="preserve">References</w:t>
      </w:r>
    </w:p>
    <w:bookmarkStart w:id="106" w:name="refs"/>
    <w:bookmarkStart w:id="94" w:name="ref-federal"/>
    <w:p>
      <w:pPr>
        <w:pStyle w:val="Bibliography"/>
      </w:pPr>
      <w:r>
        <w:t xml:space="preserve">“Federal Communications Commission API.”</w:t>
      </w:r>
      <w:r>
        <w:t xml:space="preserve"> </w:t>
      </w:r>
      <w:r>
        <w:t xml:space="preserve">n.d.</w:t>
      </w:r>
      <w:r>
        <w:t xml:space="preserve"> </w:t>
      </w:r>
      <w:hyperlink r:id="rId93">
        <w:r>
          <w:rPr>
            <w:rStyle w:val="Hyperlink"/>
          </w:rPr>
          <w:t xml:space="preserve">https://www.fcc.gov/reports-research/developers/api-terms-service</w:t>
        </w:r>
      </w:hyperlink>
      <w:r>
        <w:t xml:space="preserve">.</w:t>
      </w:r>
    </w:p>
    <w:bookmarkEnd w:id="94"/>
    <w:bookmarkStart w:id="96" w:name="ref-google2024"/>
    <w:p>
      <w:pPr>
        <w:pStyle w:val="Bibliography"/>
      </w:pPr>
      <w:r>
        <w:t xml:space="preserve">Google. 2024.</w:t>
      </w:r>
      <w:r>
        <w:t xml:space="preserve"> </w:t>
      </w:r>
      <w:r>
        <w:t xml:space="preserve">“Maps JavaScript API.”</w:t>
      </w:r>
      <w:r>
        <w:t xml:space="preserve"> </w:t>
      </w:r>
      <w:hyperlink r:id="rId95">
        <w:r>
          <w:rPr>
            <w:rStyle w:val="Hyperlink"/>
          </w:rPr>
          <w:t xml:space="preserve">https://developers.google.com/maps/documentation/javascript</w:t>
        </w:r>
      </w:hyperlink>
      <w:r>
        <w:t xml:space="preserve">.</w:t>
      </w:r>
    </w:p>
    <w:bookmarkEnd w:id="96"/>
    <w:bookmarkStart w:id="98" w:name="ref-neo4j2024"/>
    <w:p>
      <w:pPr>
        <w:pStyle w:val="Bibliography"/>
      </w:pPr>
      <w:r>
        <w:t xml:space="preserve">Neo4j. 2024.</w:t>
      </w:r>
      <w:r>
        <w:t xml:space="preserve"> </w:t>
      </w:r>
      <w:r>
        <w:t xml:space="preserve">“Neo4j Documentation.”</w:t>
      </w:r>
      <w:r>
        <w:t xml:space="preserve"> </w:t>
      </w:r>
      <w:hyperlink r:id="rId97">
        <w:r>
          <w:rPr>
            <w:rStyle w:val="Hyperlink"/>
          </w:rPr>
          <w:t xml:space="preserve">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w:t>
        </w:r>
      </w:hyperlink>
      <w:r>
        <w:t xml:space="preserve">.</w:t>
      </w:r>
    </w:p>
    <w:bookmarkEnd w:id="98"/>
    <w:bookmarkStart w:id="100" w:name="ref-nextjsd2024"/>
    <w:p>
      <w:pPr>
        <w:pStyle w:val="Bibliography"/>
      </w:pPr>
      <w:r>
        <w:t xml:space="preserve">“NextJS Documentation.”</w:t>
      </w:r>
      <w:r>
        <w:t xml:space="preserve"> </w:t>
      </w:r>
      <w:r>
        <w:t xml:space="preserve">2024.</w:t>
      </w:r>
      <w:r>
        <w:t xml:space="preserve"> </w:t>
      </w:r>
      <w:hyperlink r:id="rId99">
        <w:r>
          <w:rPr>
            <w:rStyle w:val="Hyperlink"/>
          </w:rPr>
          <w:t xml:space="preserve">https://nextjs.org/docs</w:t>
        </w:r>
      </w:hyperlink>
      <w:r>
        <w:t xml:space="preserve">.</w:t>
      </w:r>
    </w:p>
    <w:bookmarkEnd w:id="100"/>
    <w:bookmarkStart w:id="102" w:name="ref-nycopendata2022"/>
    <w:p>
      <w:pPr>
        <w:pStyle w:val="Bibliography"/>
      </w:pPr>
      <w:r>
        <w:t xml:space="preserve">NYC OpenData. 2022.</w:t>
      </w:r>
      <w:r>
        <w:t xml:space="preserve"> </w:t>
      </w:r>
      <w:r>
        <w:t xml:space="preserve">“New York City Community Districts.”</w:t>
      </w:r>
      <w:r>
        <w:t xml:space="preserve"> </w:t>
      </w:r>
      <w:hyperlink r:id="rId101">
        <w:r>
          <w:rPr>
            <w:rStyle w:val="Hyperlink"/>
          </w:rPr>
          <w:t xml:space="preserve">https://data.cityofnewyork.us/City-Government/Community-Districts/yfnk-k7r4</w:t>
        </w:r>
      </w:hyperlink>
      <w:r>
        <w:t xml:space="preserve">.</w:t>
      </w:r>
    </w:p>
    <w:bookmarkEnd w:id="102"/>
    <w:bookmarkStart w:id="103" w:name="ref-roth2023global"/>
    <w:p>
      <w:pPr>
        <w:pStyle w:val="Bibliography"/>
      </w:pPr>
      <w:r>
        <w:t xml:space="preserve">Roth, Grant, Jennifer Barnes-Balenciaga, Joseph Osmundson, Martez DR Smith, Nguyen K Tran, Nicholas Diamond, and Keletso Makofane. 2023.</w:t>
      </w:r>
      <w:r>
        <w:t xml:space="preserve"> </w:t>
      </w:r>
      <w:r>
        <w:t xml:space="preserve">“Global North Learning from Global South: A Community-Led Response to Mpox in New York City.”</w:t>
      </w:r>
      <w:r>
        <w:t xml:space="preserve"> </w:t>
      </w:r>
      <w:r>
        <w:rPr>
          <w:iCs/>
          <w:i/>
        </w:rPr>
        <w:t xml:space="preserve">PLOS Global Public Health</w:t>
      </w:r>
      <w:r>
        <w:t xml:space="preserve"> </w:t>
      </w:r>
      <w:r>
        <w:t xml:space="preserve">3 (6): e0002042.</w:t>
      </w:r>
    </w:p>
    <w:bookmarkEnd w:id="103"/>
    <w:bookmarkStart w:id="105" w:name="ref-uscensus2022"/>
    <w:p>
      <w:pPr>
        <w:pStyle w:val="Bibliography"/>
      </w:pPr>
      <w:r>
        <w:t xml:space="preserve">US Census. 2022.</w:t>
      </w:r>
      <w:r>
        <w:t xml:space="preserve"> </w:t>
      </w:r>
      <w:r>
        <w:t xml:space="preserve">“Census Tracts.”</w:t>
      </w:r>
      <w:r>
        <w:t xml:space="preserve"> </w:t>
      </w:r>
      <w:hyperlink r:id="rId104">
        <w:r>
          <w:rPr>
            <w:rStyle w:val="Hyperlink"/>
          </w:rPr>
          <w:t xml:space="preserve">https://www2.census.gov/geo/pdfs/education/CensusTracts.pdf</w:t>
        </w:r>
      </w:hyperlink>
      <w:r>
        <w:t xml:space="preserve">.</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61" Target="media/rId61.png" /><Relationship Type="http://schemas.openxmlformats.org/officeDocument/2006/relationships/image" Id="rId55" Target="media/rId55.png" /><Relationship Type="http://schemas.openxmlformats.org/officeDocument/2006/relationships/image" Id="rId74" Target="media/rId74.png" /><Relationship Type="http://schemas.openxmlformats.org/officeDocument/2006/relationships/image" Id="rId66" Target="media/rId66.png"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22" Target="media/rId22.png" /><Relationship Type="http://schemas.openxmlformats.org/officeDocument/2006/relationships/hyperlink" Id="rId101" Target="https://data.cityofnewyork.us/City-Government/Community-Districts/yfnk-k7r4" TargetMode="External" /><Relationship Type="http://schemas.openxmlformats.org/officeDocument/2006/relationships/hyperlink" Id="rId95" Target="https://developers.google.com/maps/documentation/javascript" TargetMode="External" /><Relationship Type="http://schemas.openxmlformats.org/officeDocument/2006/relationships/hyperlink" Id="rId27" Target="https://gdusa.com/2023-health-wellness-awards-winner?rns=0%7C41441831%7C41441872%7C41441882" TargetMode="External" /><Relationship Type="http://schemas.openxmlformats.org/officeDocument/2006/relationships/hyperlink" Id="rId97"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99" Target="https://nextjs.org/docs" TargetMode="External" /><Relationship Type="http://schemas.openxmlformats.org/officeDocument/2006/relationships/hyperlink" Id="rId93" Target="https://www.fcc.gov/reports-research/developers/api-terms-service" TargetMode="External" /><Relationship Type="http://schemas.openxmlformats.org/officeDocument/2006/relationships/hyperlink" Id="rId25" Target="https://www.mpxresponse.org" TargetMode="External" /><Relationship Type="http://schemas.openxmlformats.org/officeDocument/2006/relationships/hyperlink" Id="rId28" Target="https://www.out.com/print/2022/10/27/out100-2022-lgbtq-policy-makers-and-advocates-changing-world#rebelltitem29" TargetMode="External" /><Relationship Type="http://schemas.openxmlformats.org/officeDocument/2006/relationships/hyperlink" Id="rId104" Target="https://www2.census.gov/geo/pdfs/education/CensusTracts.pdf" TargetMode="External" /></Relationships>
</file>

<file path=word/_rels/footnotes.xml.rels><?xml version="1.0" encoding="UTF-8"?><Relationships xmlns="http://schemas.openxmlformats.org/package/2006/relationships"><Relationship Type="http://schemas.openxmlformats.org/officeDocument/2006/relationships/hyperlink" Id="rId101" Target="https://data.cityofnewyork.us/City-Government/Community-Districts/yfnk-k7r4" TargetMode="External" /><Relationship Type="http://schemas.openxmlformats.org/officeDocument/2006/relationships/hyperlink" Id="rId95" Target="https://developers.google.com/maps/documentation/javascript" TargetMode="External" /><Relationship Type="http://schemas.openxmlformats.org/officeDocument/2006/relationships/hyperlink" Id="rId27" Target="https://gdusa.com/2023-health-wellness-awards-winner?rns=0%7C41441831%7C41441872%7C41441882" TargetMode="External" /><Relationship Type="http://schemas.openxmlformats.org/officeDocument/2006/relationships/hyperlink" Id="rId97"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99" Target="https://nextjs.org/docs" TargetMode="External" /><Relationship Type="http://schemas.openxmlformats.org/officeDocument/2006/relationships/hyperlink" Id="rId93" Target="https://www.fcc.gov/reports-research/developers/api-terms-service" TargetMode="External" /><Relationship Type="http://schemas.openxmlformats.org/officeDocument/2006/relationships/hyperlink" Id="rId25" Target="https://www.mpxresponse.org" TargetMode="External" /><Relationship Type="http://schemas.openxmlformats.org/officeDocument/2006/relationships/hyperlink" Id="rId28" Target="https://www.out.com/print/2022/10/27/out100-2022-lgbtq-policy-makers-and-advocates-changing-world#rebelltitem29" TargetMode="External" /><Relationship Type="http://schemas.openxmlformats.org/officeDocument/2006/relationships/hyperlink" Id="rId104" Target="https://www2.census.gov/geo/pdfs/education/CensusTrac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MPX NYC</dc:title>
  <dc:creator>Keletso Lehola Lekoatsa</dc:creator>
  <cp:keywords/>
  <dcterms:created xsi:type="dcterms:W3CDTF">2024-09-26T18:38:02Z</dcterms:created>
  <dcterms:modified xsi:type="dcterms:W3CDTF">2024-09-26T18:38:02Z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
    <vt:lpwstr>2024-05-23</vt:lpwstr>
  </property>
  <property fmtid="{D5CDD505-2E9C-101B-9397-08002B2CF9AE}" pid="7" name="editor">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Key findings and recommendations</vt:lpwstr>
  </property>
  <property fmtid="{D5CDD505-2E9C-101B-9397-08002B2CF9AE}" pid="14" name="toc-title">
    <vt:lpwstr>Table of contents</vt:lpwstr>
  </property>
</Properties>
</file>