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61.png" ContentType="image/png"/>
  <Override PartName="/word/media/rId55.png" ContentType="image/png"/>
  <Override PartName="/word/media/rId74.png" ContentType="image/png"/>
  <Override PartName="/word/media/rId66.png" ContentType="image/png"/>
  <Override PartName="/word/media/rId34.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r>
        <w:t xml:space="preserve"> </w:t>
      </w:r>
      <w:r>
        <w:t xml:space="preserve">Makofane</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4" w:name="methods"/>
    <w:p>
      <w:pPr>
        <w:pStyle w:val="Heading1"/>
      </w:pPr>
      <w:r>
        <w:t xml:space="preserve">Methods</w:t>
      </w:r>
    </w:p>
    <w:p>
      <w:pPr>
        <w:pStyle w:val="FirstParagraph"/>
      </w:pPr>
      <w:r>
        <w:t xml:space="preserve">Recall ring vaccination</w:t>
      </w:r>
    </w:p>
    <w:bookmarkStart w:id="42"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in New York city from 20 August to 15 November 2022.</w:t>
      </w:r>
    </w:p>
    <w:bookmarkStart w:id="21" w:name="respnd-mi-community-forum"/>
    <w:p>
      <w:pPr>
        <w:pStyle w:val="Heading3"/>
      </w:pPr>
      <w:r>
        <w:t xml:space="preserve">RESPND-MI Community Forum</w:t>
      </w:r>
    </w:p>
    <w:p>
      <w:pPr>
        <w:pStyle w:val="FirstParagraph"/>
      </w:pPr>
      <w:r>
        <w:t xml:space="preserve">We set out to conduct a study to guide interventions that would disrupt</w:t>
      </w:r>
      <w:r>
        <w:t xml:space="preserve"> </w:t>
      </w:r>
      <w:r>
        <w:t xml:space="preserve">chains of mpox transmission in New York City. To recruit for this study</w:t>
      </w:r>
      <w:r>
        <w:t xml:space="preserve"> </w:t>
      </w:r>
      <w:r>
        <w:t xml:space="preserve">and to communicate about mpox in a culturally competent manner, we</w:t>
      </w:r>
      <w:r>
        <w:t xml:space="preserve"> </w:t>
      </w:r>
      <w:r>
        <w:t xml:space="preserve">planned a marketing and communication campaign for gay, bisexual and</w:t>
      </w:r>
      <w:r>
        <w:t xml:space="preserve"> </w:t>
      </w:r>
      <w:r>
        <w:t xml:space="preserve">other men who have sex with men. Based on principles articulated by</w:t>
      </w:r>
      <w:r>
        <w:t xml:space="preserve"> </w:t>
      </w:r>
      <w:r>
        <w:t xml:space="preserve">activists in the global response to HIV, we prioritized rapid</w:t>
      </w:r>
      <w:r>
        <w:t xml:space="preserve"> </w:t>
      </w:r>
      <w:r>
        <w:t xml:space="preserve">consultation with a wide variety of stakeholders at the study design</w:t>
      </w:r>
      <w:r>
        <w:t xml:space="preserve"> </w:t>
      </w:r>
      <w:r>
        <w:t xml:space="preserve">stage (rather than at the results dissemination stage). These included</w:t>
      </w:r>
      <w:r>
        <w:t xml:space="preserve"> </w:t>
      </w:r>
      <w:r>
        <w:t xml:space="preserve">city and state government officials, local LGBTQ+ organizations with</w:t>
      </w:r>
      <w:r>
        <w:t xml:space="preserve"> </w:t>
      </w:r>
      <w:r>
        <w:t xml:space="preserve">health or advocacy programs, individual activists, researchers, people</w:t>
      </w:r>
      <w:r>
        <w:t xml:space="preserve"> </w:t>
      </w:r>
      <w:r>
        <w:t xml:space="preserve">in the nightlife/entertainment industry of New York, and queer and trans</w:t>
      </w:r>
      <w:r>
        <w:t xml:space="preserve"> </w:t>
      </w:r>
      <w:r>
        <w:t xml:space="preserve">people in general.</w:t>
      </w:r>
    </w:p>
    <w:p>
      <w:pPr>
        <w:pStyle w:val="BodyText"/>
      </w:pPr>
      <w:r>
        <w:t xml:space="preserve">Our goals were to validate our understanding of the unfolding mpox</w:t>
      </w:r>
      <w:r>
        <w:t xml:space="preserve"> </w:t>
      </w:r>
      <w:r>
        <w:t xml:space="preserve">health threat, to understand how our planned interventions fit in a</w:t>
      </w:r>
      <w:r>
        <w:t xml:space="preserve"> </w:t>
      </w:r>
      <w:r>
        <w:t xml:space="preserve">broader response by different stakeholders, and to gather specific</w:t>
      </w:r>
      <w:r>
        <w:t xml:space="preserve"> </w:t>
      </w:r>
      <w:r>
        <w:t xml:space="preserve">feedback on our plans. While much of this engagement occured through</w:t>
      </w:r>
      <w:r>
        <w:t xml:space="preserve"> </w:t>
      </w:r>
      <w:r>
        <w:t xml:space="preserve">one-on-one meetings, the RESPND-MI team planned a consultation meeting</w:t>
      </w:r>
      <w:r>
        <w:t xml:space="preserve"> </w:t>
      </w:r>
      <w:r>
        <w:t xml:space="preserve">on 27 June 2022 to widen our reach. Participants of that meeting</w:t>
      </w:r>
      <w:r>
        <w:t xml:space="preserve"> </w:t>
      </w:r>
      <w:r>
        <w:t xml:space="preserve">approved of the planned study and communication campaign, and requested</w:t>
      </w:r>
      <w:r>
        <w:t xml:space="preserve"> </w:t>
      </w:r>
      <w:r>
        <w:t xml:space="preserve">that we host a weekly call to enable collective learning and discussion</w:t>
      </w:r>
      <w:r>
        <w:t xml:space="preserve"> </w:t>
      </w:r>
      <w:r>
        <w:t xml:space="preserve">about the outbreak. We named this the RESPND-MI LGBTQ+ Community Forum.</w:t>
      </w:r>
      <w:r>
        <w:t xml:space="preserve"> </w:t>
      </w:r>
      <w:r>
        <w:t xml:space="preserve">We opened the call to the public and advertised it on our website and</w:t>
      </w:r>
      <w:r>
        <w:t xml:space="preserve"> </w:t>
      </w:r>
      <w:r>
        <w:t xml:space="preserve">social media, and through the press. From the initial meeting to the end</w:t>
      </w:r>
      <w:r>
        <w:t xml:space="preserve"> </w:t>
      </w:r>
      <w:r>
        <w:t xml:space="preserve">of August 2022, about 80 individuals participated in the Community</w:t>
      </w:r>
      <w:r>
        <w:t xml:space="preserve"> </w:t>
      </w:r>
      <w:r>
        <w:t xml:space="preserve">Forum. The meeting became a coordination mechanism for action across</w:t>
      </w:r>
      <w:r>
        <w:t xml:space="preserve"> </w:t>
      </w:r>
      <w:r>
        <w:t xml:space="preserve">different stakeholders and allowed the development of a comprehensive</w:t>
      </w:r>
      <w:r>
        <w:t xml:space="preserve"> </w:t>
      </w:r>
      <w:r>
        <w:t xml:space="preserve">collective response to mpox. Participants collaborated to develop and</w:t>
      </w:r>
      <w:r>
        <w:t xml:space="preserve"> </w:t>
      </w:r>
      <w:r>
        <w:t xml:space="preserve">share resources such as vaccine locators, policy briefs, health</w:t>
      </w:r>
      <w:r>
        <w:t xml:space="preserve"> </w:t>
      </w:r>
      <w:r>
        <w:t xml:space="preserve">communications materials, etc.</w:t>
      </w:r>
    </w:p>
    <w:p>
      <w:pPr>
        <w:pStyle w:val="BodyText"/>
      </w:pPr>
      <w:r>
        <w:t xml:space="preserve">It also continued to be a consultation forum. The RESPND-MI team</w:t>
      </w:r>
      <w:r>
        <w:t xml:space="preserve"> </w:t>
      </w:r>
      <w:r>
        <w:t xml:space="preserve">obtained continuous feedback on study-related matters including the</w:t>
      </w:r>
      <w:r>
        <w:t xml:space="preserve"> </w:t>
      </w:r>
      <w:r>
        <w:t xml:space="preserve">recruitment campaign, the design of a novel spatial data collection tool</w:t>
      </w:r>
      <w:r>
        <w:t xml:space="preserve"> </w:t>
      </w:r>
      <w:r>
        <w:t xml:space="preserve">and the development of the study questionnaire. The feedback obtained</w:t>
      </w:r>
      <w:r>
        <w:t xml:space="preserve"> </w:t>
      </w:r>
      <w:r>
        <w:t xml:space="preserve">through this sustained engagement led to several concrete improvements</w:t>
      </w:r>
      <w:r>
        <w:t xml:space="preserve"> </w:t>
      </w:r>
      <w:r>
        <w:t xml:space="preserve">in our approach: e.g. we went from targeting gay and bisexual men in our</w:t>
      </w:r>
      <w:r>
        <w:t xml:space="preserve"> </w:t>
      </w:r>
      <w:r>
        <w:t xml:space="preserve">communications to addressing queer and trans communities more generally.</w:t>
      </w:r>
      <w:r>
        <w:t xml:space="preserve"> </w:t>
      </w:r>
      <w:r>
        <w:t xml:space="preserve">We also went from planning an English survey to one implemented in</w:t>
      </w:r>
      <w:r>
        <w:t xml:space="preserve"> </w:t>
      </w:r>
      <w:r>
        <w:t xml:space="preserve">English and Spanish. Further details about the Community Forum and the</w:t>
      </w:r>
      <w:r>
        <w:t xml:space="preserve"> </w:t>
      </w:r>
      <w:r>
        <w:t xml:space="preserve">principles that animated this work have been previously published</w:t>
      </w:r>
      <w:r>
        <w:t xml:space="preserve"> </w:t>
      </w:r>
      <w:r>
        <w:t xml:space="preserve">(Roth et al. 2023)</w:t>
      </w:r>
      <w:r>
        <w:t xml:space="preserve">.</w:t>
      </w:r>
    </w:p>
    <w:bookmarkEnd w:id="21"/>
    <w:bookmarkStart w:id="33" w:name="mpx-nyc-marketing-and-communication"/>
    <w:p>
      <w:pPr>
        <w:pStyle w:val="Heading3"/>
      </w:pPr>
      <w:r>
        <w:t xml:space="preserve">MPX NYC marketing and communication</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uses emojis that have sexual connotations. Two campaign</w:t>
      </w:r>
      <w:r>
        <w:t xml:space="preserve"> </w:t>
      </w:r>
      <w:r>
        <w:t xml:space="preserve">names and four marketing concepts (see</w:t>
      </w:r>
      <w:r>
        <w:t xml:space="preserve"> </w:t>
      </w:r>
      <w:hyperlink w:anchor="fig-options">
        <w:r>
          <w:rPr>
            <w:rStyle w:val="Hyperlink"/>
          </w:rPr>
          <w:t xml:space="preserve">Figure 2</w:t>
        </w:r>
      </w:hyperlink>
      <w:r>
        <w:t xml:space="preserve">) were developed by</w:t>
      </w:r>
      <w:r>
        <w:t xml:space="preserve"> </w:t>
      </w:r>
      <w:r>
        <w:t xml:space="preserve">the marketing agency and presented to a meeting of the RESPND-MI</w:t>
      </w:r>
      <w:r>
        <w:t xml:space="preserve"> </w:t>
      </w:r>
      <w:r>
        <w:t xml:space="preserve">Community Forum. The final concept and name were decided by consensus</w:t>
      </w:r>
      <w:r>
        <w:t xml:space="preserve"> </w:t>
      </w:r>
      <w:r>
        <w:t xml:space="preserve">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were developed based on the concept and name. These</w:t>
      </w:r>
      <w:r>
        <w:t xml:space="preserve"> </w:t>
      </w:r>
      <w:r>
        <w:t xml:space="preserve">included graphics, videos by queer influencers, and a style guide</w:t>
      </w:r>
      <w:r>
        <w:t xml:space="preserve"> </w:t>
      </w:r>
      <w:r>
        <w:t xml:space="preserve">(including colors, icons, and fonts) for all public-facing materials of</w:t>
      </w:r>
      <w:r>
        <w:t xml:space="preserve"> </w:t>
      </w:r>
      <w:r>
        <w:t xml:space="preserve">the MPX NYC study. We organized these materials into a</w:t>
      </w:r>
      <w:r>
        <w:t xml:space="preserve"> </w:t>
      </w:r>
      <w:r>
        <w:t xml:space="preserve">“</w:t>
      </w:r>
      <w:r>
        <w:t xml:space="preserve">social media</w:t>
      </w:r>
      <w:r>
        <w:t xml:space="preserve"> </w:t>
      </w:r>
      <w:r>
        <w:t xml:space="preserve">toolkit</w:t>
      </w:r>
      <w:r>
        <w:t xml:space="preserve">”</w:t>
      </w:r>
      <w:r>
        <w:t xml:space="preserve"> </w:t>
      </w:r>
      <w:r>
        <w:t xml:space="preserve">and shared them through the study website to enable individuals</w:t>
      </w:r>
      <w:r>
        <w:t xml:space="preserve"> </w:t>
      </w:r>
      <w:r>
        <w:t xml:space="preserve">and organizations to share them through their own social media accounts.</w:t>
      </w:r>
      <w:r>
        <w:t xml:space="preserve"> </w:t>
      </w:r>
      <w:r>
        <w:t xml:space="preserve">We also used them for paid advertising through Grindr, Twitter,</w:t>
      </w:r>
      <w:r>
        <w:t xml:space="preserve"> </w:t>
      </w:r>
      <w:r>
        <w:t xml:space="preserve">Instagram, and outdoor electronic billboards.</w:t>
      </w:r>
    </w:p>
    <w:p>
      <w:pPr>
        <w:pStyle w:val="BodyText"/>
      </w:pPr>
      <w:r>
        <w:t xml:space="preserve">The marketing campaign for MPX NYC was among those that won a</w:t>
      </w:r>
      <w:r>
        <w:t xml:space="preserve"> </w:t>
      </w:r>
      <w:r>
        <w:t xml:space="preserve">Health+Wellness award from Graphic Design USA in 2023</w:t>
      </w:r>
      <w:r>
        <w:t xml:space="preserve"> </w:t>
      </w:r>
      <w:r>
        <w:t xml:space="preserve">(</w:t>
      </w:r>
      <w:hyperlink r:id="rId27">
        <w:r>
          <w:rPr>
            <w:rStyle w:val="Hyperlink"/>
          </w:rPr>
          <w:t xml:space="preserve">https://gdusa.com/2023-health-wellness-awards-winner?rns=0%7C41441831%7C41441872%7C41441882</w:t>
        </w:r>
      </w:hyperlink>
      <w:r>
        <w:t xml:space="preserve">)</w:t>
      </w:r>
      <w:r>
        <w:t xml:space="preserve"> </w:t>
      </w:r>
      <w:r>
        <w:t xml:space="preserve">and was recognized by Out Magainze through the inclusion of the</w:t>
      </w:r>
      <w:r>
        <w:t xml:space="preserve"> </w:t>
      </w:r>
      <w:r>
        <w:t xml:space="preserve">pirncipal investigator in the 2022 OUT100 list for</w:t>
      </w:r>
      <w:r>
        <w:t xml:space="preserve"> </w:t>
      </w:r>
      <w:r>
        <w:t xml:space="preserve">“</w:t>
      </w:r>
      <w:r>
        <w:t xml:space="preserve">LGBTQ+ Policy Makers</w:t>
      </w:r>
      <w:r>
        <w:t xml:space="preserve"> </w:t>
      </w:r>
      <w:r>
        <w:t xml:space="preserve">and Advocates Changing the World</w:t>
      </w:r>
      <w:r>
        <w:t xml:space="preserve">”</w:t>
      </w:r>
      <w:r>
        <w:t xml:space="preserve"> </w:t>
      </w:r>
      <w:r>
        <w:t xml:space="preserve">(</w:t>
      </w:r>
      <w:hyperlink r:id="rId28">
        <w:r>
          <w:rPr>
            <w:rStyle w:val="Hyperlink"/>
          </w:rPr>
          <w:t xml:space="preserve">https://www.out.com/print/2022/10/27/out100-2022-lgbtq-policy-makers-and-advocates-changing-world#rebelltitem29</w:t>
        </w:r>
      </w:hyperlink>
      <w:r>
        <w:t xml:space="preserve">).</w:t>
      </w:r>
    </w:p>
    <w:tbl>
      <w:tblPr>
        <w:tblStyle w:val="Table"/>
        <w:tblW w:type="pct" w:w="5000"/>
        <w:tblLook w:firstRow="0" w:lastRow="0" w:firstColumn="0" w:lastColumn="0" w:noHBand="0" w:noVBand="0" w:val="0000"/>
        <w:jc w:val="start"/>
      </w:tblPr>
      <w:tblGrid>
        <w:gridCol w:w="7920"/>
      </w:tblGrid>
      <w:tr>
        <w:tc>
          <w:tcPr/>
          <w:bookmarkStart w:id="32" w:name="fig-options"/>
          <w:p>
            <w:pPr>
              <w:jc w:val="center"/>
            </w:pPr>
            <w:r>
              <w:drawing>
                <wp:inline>
                  <wp:extent cx="5334000" cy="3144643"/>
                  <wp:effectExtent b="0" l="0" r="0" t="0"/>
                  <wp:docPr descr="" title="" id="30" name="Picture"/>
                  <a:graphic>
                    <a:graphicData uri="http://schemas.openxmlformats.org/drawingml/2006/picture">
                      <pic:pic>
                        <pic:nvPicPr>
                          <pic:cNvPr descr="images/clipboard-22126019.png" id="31" name="Picture"/>
                          <pic:cNvPicPr>
                            <a:picLocks noChangeArrowheads="1" noChangeAspect="1"/>
                          </pic:cNvPicPr>
                        </pic:nvPicPr>
                        <pic:blipFill>
                          <a:blip r:embed="rId29"/>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2"/>
        </w:tc>
      </w:tr>
    </w:tbl>
    <w:bookmarkEnd w:id="33"/>
    <w:bookmarkStart w:id="38" w:name="mpx-nyc-location-input-question"/>
    <w:p>
      <w:pPr>
        <w:pStyle w:val="Heading3"/>
      </w:pPr>
      <w:r>
        <w:t xml:space="preserve">MPX NYC Location-input question</w:t>
      </w:r>
    </w:p>
    <w:p>
      <w:pPr>
        <w:pStyle w:val="FirstParagraph"/>
      </w:pPr>
      <w:r>
        <w:t xml:space="preserve">To encourage disclosure of sensitive information, we conducted an</w:t>
      </w:r>
      <w:r>
        <w:t xml:space="preserve"> </w:t>
      </w:r>
      <w:r>
        <w:t xml:space="preserve">anonymous survey. However, we sought to collect spatial data - this</w:t>
      </w:r>
      <w:r>
        <w:t xml:space="preserve"> </w:t>
      </w:r>
      <w:r>
        <w:t xml:space="preserve">bears the risk of accidentally identifying participants through specific</w:t>
      </w:r>
      <w:r>
        <w:t xml:space="preserve"> </w:t>
      </w:r>
      <w:r>
        <w:t xml:space="preserve">locations included in their record (e.g. the spatial coordination of</w:t>
      </w:r>
      <w:r>
        <w:t xml:space="preserve"> </w:t>
      </w:r>
      <w:r>
        <w:t xml:space="preserve">their residence). We rapidly designed, tested, and implemented a novel</w:t>
      </w:r>
      <w:r>
        <w:t xml:space="preserve"> </w:t>
      </w:r>
      <w:r>
        <w:t xml:space="preserve">online survey instrument which captures rich spatial information while</w:t>
      </w:r>
      <w:r>
        <w:t xml:space="preserve"> </w:t>
      </w:r>
      <w:r>
        <w:t xml:space="preserve">protecting participant anonymity by coarsening the spatial information.</w:t>
      </w:r>
      <w:r>
        <w:t xml:space="preserve"> </w:t>
      </w:r>
      <w:r>
        <w:t xml:space="preserve">Along with standard question formats (multiple choice, single choice,</w:t>
      </w:r>
      <w:r>
        <w:t xml:space="preserve"> </w:t>
      </w:r>
      <w:r>
        <w:t xml:space="preserve">text field etc.) we developed what we term the location-input question</w:t>
      </w:r>
      <w:r>
        <w:t xml:space="preserve"> </w:t>
      </w:r>
      <w:r>
        <w:t xml:space="preserve">format.</w:t>
      </w:r>
    </w:p>
    <w:p>
      <w:pPr>
        <w:pStyle w:val="BodyText"/>
      </w:pPr>
      <w:r>
        <w:t xml:space="preserve">In the location-input question format, the participant is prompted to</w:t>
      </w:r>
      <w:r>
        <w:t xml:space="preserve"> </w:t>
      </w:r>
      <w:r>
        <w:t xml:space="preserve">indicate all places of a particular type by tapping on a displayed map</w:t>
      </w:r>
      <w:r>
        <w:t xml:space="preserve"> </w:t>
      </w:r>
      <w:r>
        <w:t xml:space="preserve">(see</w:t>
      </w:r>
      <w:r>
        <w:t xml:space="preserve"> </w:t>
      </w:r>
      <w:hyperlink w:anchor="fig-mapinputformat">
        <w:r>
          <w:rPr>
            <w:rStyle w:val="Hyperlink"/>
          </w:rPr>
          <w:t xml:space="preserve">Figure 3</w:t>
        </w:r>
      </w:hyperlink>
      <w:r>
        <w:t xml:space="preserve">). Each time the user taps, they place a marker</w:t>
      </w:r>
      <w:r>
        <w:t xml:space="preserve"> </w:t>
      </w:r>
      <w:r>
        <w:t xml:space="preserve">and a pop-up window prompts them to answer a series of questions related</w:t>
      </w:r>
      <w:r>
        <w:t xml:space="preserve"> </w:t>
      </w:r>
      <w:r>
        <w:t xml:space="preserve">to the location indicated by the marker. Each place is saved (along with</w:t>
      </w:r>
      <w:r>
        <w:t xml:space="preserve"> </w:t>
      </w:r>
      <w:r>
        <w:t xml:space="preserve">it’s location and question responses) as part of the participants’s</w:t>
      </w:r>
      <w:r>
        <w:t xml:space="preserve"> </w:t>
      </w:r>
      <w:r>
        <w:t xml:space="preserve">record in the study database. Locaton data, however, are transformed</w:t>
      </w:r>
      <w:r>
        <w:t xml:space="preserve"> </w:t>
      </w:r>
      <w:r>
        <w:t xml:space="preserve">from longitude-latitude coordinates into census tracts identifiers</w:t>
      </w:r>
      <w:r>
        <w:t xml:space="preserve"> </w:t>
      </w:r>
      <w:r>
        <w:t xml:space="preserve">before transmission to the study database. Census tracts are a spatial</w:t>
      </w:r>
      <w:r>
        <w:t xml:space="preserve"> </w:t>
      </w:r>
      <w:r>
        <w:t xml:space="preserve">unit that exhaustively divides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front end was developed as a single-page web application using the</w:t>
      </w:r>
      <w:r>
        <w:t xml:space="preserve"> </w:t>
      </w:r>
      <w:r>
        <w:t xml:space="preserve">React/NextJS framework</w:t>
      </w:r>
      <w:r>
        <w:t xml:space="preserve"> </w:t>
      </w:r>
      <w:r>
        <w:t xml:space="preserve">(</w:t>
      </w:r>
      <w:r>
        <w:t xml:space="preserve">“NextJS Documentation”</w:t>
      </w:r>
      <w:r>
        <w:t xml:space="preserve"> </w:t>
      </w:r>
      <w:r>
        <w:t xml:space="preserve">2024)</w:t>
      </w:r>
      <w:r>
        <w:t xml:space="preserve"> </w:t>
      </w:r>
      <w:r>
        <w:t xml:space="preserve">with a look and feel based on the</w:t>
      </w:r>
      <w:r>
        <w:t xml:space="preserve"> </w:t>
      </w:r>
      <w:r>
        <w:t xml:space="preserve">MPX NYC style guide. It uses the Google Maps</w:t>
      </w:r>
      <w:r>
        <w:t xml:space="preserve"> </w:t>
      </w:r>
      <w:r>
        <w:t xml:space="preserve">(Google 2024)</w:t>
      </w:r>
      <w:r>
        <w:t xml:space="preserve"> </w:t>
      </w:r>
      <w:r>
        <w:t xml:space="preserve">API to elicit</w:t>
      </w:r>
      <w:r>
        <w:t xml:space="preserve"> </w:t>
      </w:r>
      <w:r>
        <w:t xml:space="preserve">spatial coordinates, and the 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 census tract identifiers. The back</w:t>
      </w:r>
      <w:r>
        <w:t xml:space="preserve"> </w:t>
      </w:r>
      <w:r>
        <w:t xml:space="preserve">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7" w:name="fig-mapinputformat"/>
          <w:p>
            <w:pPr>
              <w:jc w:val="center"/>
            </w:pPr>
            <w:r>
              <w:drawing>
                <wp:inline>
                  <wp:extent cx="5334000" cy="2978357"/>
                  <wp:effectExtent b="0" l="0" r="0" t="0"/>
                  <wp:docPr descr="" title="" id="35" name="Picture"/>
                  <a:graphic>
                    <a:graphicData uri="http://schemas.openxmlformats.org/drawingml/2006/picture">
                      <pic:pic>
                        <pic:nvPicPr>
                          <pic:cNvPr descr="images/clipboard-1908474363.png" id="36" name="Picture"/>
                          <pic:cNvPicPr>
                            <a:picLocks noChangeArrowheads="1" noChangeAspect="1"/>
                          </pic:cNvPicPr>
                        </pic:nvPicPr>
                        <pic:blipFill>
                          <a:blip r:embed="rId34"/>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7"/>
        </w:tc>
      </w:tr>
    </w:tbl>
    <w:bookmarkEnd w:id="38"/>
    <w:bookmarkStart w:id="39"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their participation. Potential</w:t>
      </w:r>
      <w:r>
        <w:t xml:space="preserve"> </w:t>
      </w:r>
      <w:r>
        <w:t xml:space="preserve">participants were excluded if they were younger than 18 years of age or</w:t>
      </w:r>
      <w:r>
        <w:t xml:space="preserve"> </w:t>
      </w:r>
      <w:r>
        <w:t xml:space="preserve">they withdrew consent.</w:t>
      </w:r>
    </w:p>
    <w:bookmarkEnd w:id="39"/>
    <w:bookmarkStart w:id="40"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40"/>
    <w:bookmarkStart w:id="41"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41"/>
    <w:bookmarkEnd w:id="42"/>
    <w:bookmarkStart w:id="45" w:name="measures"/>
    <w:p>
      <w:pPr>
        <w:pStyle w:val="Heading2"/>
      </w:pPr>
      <w:r>
        <w:t xml:space="preserve">Measures</w:t>
      </w:r>
    </w:p>
    <w:bookmarkStart w:id="43"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and into gender groups</w:t>
      </w:r>
      <w:r>
        <w:t xml:space="preserve"> </w:t>
      </w:r>
      <w:r>
        <w:t xml:space="preserve">(white cisgender man, latinx cisgender man, black cisgender man, other</w:t>
      </w:r>
      <w:r>
        <w:t xml:space="preserve"> </w:t>
      </w:r>
      <w:r>
        <w:t xml:space="preserve">cisgender man, non-binary person, transgender man, transgender woman,</w:t>
      </w:r>
      <w:r>
        <w:t xml:space="preserve"> </w:t>
      </w:r>
      <w:r>
        <w:t xml:space="preserve">cisgender woman, another demographic).</w:t>
      </w:r>
    </w:p>
    <w:bookmarkEnd w:id="43"/>
    <w:bookmarkStart w:id="44" w:name="residence-and-contact-venues"/>
    <w:p>
      <w:pPr>
        <w:pStyle w:val="Heading3"/>
      </w:pPr>
      <w:r>
        <w:t xml:space="preserve">Residence and Contact venues</w:t>
      </w:r>
    </w:p>
    <w:p>
      <w:pPr>
        <w:pStyle w:val="FirstParagraph"/>
      </w:pPr>
      <w:r>
        <w:t xml:space="preserve">Using the location-input question format, we solicited the census tract</w:t>
      </w:r>
      <w:r>
        <w:t xml:space="preserve"> </w:t>
      </w:r>
      <w:r>
        <w:t xml:space="preserve">of participant primary residence. Among those who reported group</w:t>
      </w:r>
      <w:r>
        <w:t xml:space="preserve"> </w:t>
      </w:r>
      <w:r>
        <w:t xml:space="preserve">contact - physical or sexual contact in a group setting in the preceding</w:t>
      </w:r>
      <w:r>
        <w:t xml:space="preserve"> </w:t>
      </w:r>
      <w:r>
        <w:t xml:space="preserve">4 weeks - we solicited the locations of the venues at which the contact</w:t>
      </w:r>
      <w:r>
        <w:t xml:space="preserve"> </w:t>
      </w:r>
      <w:r>
        <w:t xml:space="preserve">happened. We refer to these locations as</w:t>
      </w:r>
      <w:r>
        <w:t xml:space="preserve"> </w:t>
      </w:r>
      <w:r>
        <w:t xml:space="preserve">“</w:t>
      </w:r>
      <w:r>
        <w:t xml:space="preserve">contact venues</w:t>
      </w:r>
      <w:r>
        <w:t xml:space="preserve">”</w:t>
      </w:r>
      <w:r>
        <w:t xml:space="preserve">. For each</w:t>
      </w:r>
      <w:r>
        <w:t xml:space="preserve"> </w:t>
      </w:r>
      <w:r>
        <w:t xml:space="preserve">contact venue (see</w:t>
      </w:r>
      <w:r>
        <w:t xml:space="preserve"> </w:t>
      </w:r>
      <w:hyperlink w:anchor="fig-mapinputformat">
        <w:r>
          <w:rPr>
            <w:rStyle w:val="Hyperlink"/>
          </w:rPr>
          <w:t xml:space="preserve">Figure 3</w:t>
        </w:r>
      </w:hyperlink>
      <w:r>
        <w:t xml:space="preserve">), participants indicated the type</w:t>
      </w:r>
      <w:r>
        <w:t xml:space="preserve"> </w:t>
      </w:r>
      <w:r>
        <w:t xml:space="preserve">of venue it was (dance party, sex party, darkroom, sport game, concert,</w:t>
      </w:r>
      <w:r>
        <w:t xml:space="preserve"> </w:t>
      </w:r>
      <w:r>
        <w:t xml:space="preserve">theatre/show, private residence, sex club, bathhouse, park, something</w:t>
      </w:r>
      <w:r>
        <w:t xml:space="preserve"> </w:t>
      </w:r>
      <w:r>
        <w:t xml:space="preserve">else). They also indicated whether they had sexual contact or non-sexual</w:t>
      </w:r>
      <w:r>
        <w:t xml:space="preserve"> </w:t>
      </w:r>
      <w:r>
        <w:t xml:space="preserve">physical contact at the contact venue. We refer to a dichotomous</w:t>
      </w:r>
      <w:r>
        <w:t xml:space="preserve"> </w:t>
      </w:r>
      <w:r>
        <w:t xml:space="preserve">variable called group sex contact below, which is true in the former</w:t>
      </w:r>
      <w:r>
        <w:t xml:space="preserve"> </w:t>
      </w:r>
      <w:r>
        <w:t xml:space="preserve">case and false in the latter.</w:t>
      </w:r>
    </w:p>
    <w:p>
      <w:pPr>
        <w:pStyle w:val="BodyText"/>
      </w:pPr>
      <w:r>
        <w:t xml:space="preserve">While location data were captured at the census tract level, in this</w:t>
      </w:r>
      <w:r>
        <w:t xml:space="preserve"> </w:t>
      </w:r>
      <w:r>
        <w:t xml:space="preserve">analysis, the unit of spatial analysis is the community district.</w:t>
      </w:r>
      <w:r>
        <w:t xml:space="preserve"> </w:t>
      </w:r>
      <w:r>
        <w:t xml:space="preserve">Community districts are spatial units that divide New York City into</w:t>
      </w:r>
      <w:r>
        <w:t xml:space="preserve"> </w:t>
      </w:r>
      <w:r>
        <w:t xml:space="preserve">regions</w:t>
      </w:r>
      <w:r>
        <w:t xml:space="preserve"> </w:t>
      </w:r>
      <w:r>
        <w:t xml:space="preserve">(NYC OpenData 2022)</w:t>
      </w:r>
      <w:r>
        <w:t xml:space="preserve"> </w:t>
      </w:r>
      <w:r>
        <w:t xml:space="preserve">which are nested by the five boroughs of New</w:t>
      </w:r>
      <w:r>
        <w:t xml:space="preserve"> </w:t>
      </w:r>
      <w:r>
        <w:t xml:space="preserve">York City, and which nest census tracts in the city.</w:t>
      </w:r>
    </w:p>
    <w:p>
      <w:pPr>
        <w:pStyle w:val="BodyText"/>
      </w:pPr>
      <w:r>
        <w:t xml:space="preserve">We constructed an approximate measure of distance between each contact</w:t>
      </w:r>
      <w:r>
        <w:t xml:space="preserve"> </w:t>
      </w:r>
      <w:r>
        <w:t xml:space="preserve">venue and participant residence by categorizing contact venues into</w:t>
      </w:r>
      <w:r>
        <w:t xml:space="preserve"> </w:t>
      </w:r>
      <w:r>
        <w:t xml:space="preserve">those that are: in the same community district as the residence; in a</w:t>
      </w:r>
      <w:r>
        <w:t xml:space="preserve"> </w:t>
      </w:r>
      <w:r>
        <w:t xml:space="preserve">different community district but the same borough; and those in a</w:t>
      </w:r>
      <w:r>
        <w:t xml:space="preserve"> </w:t>
      </w:r>
      <w:r>
        <w:t xml:space="preserve">different borough. We refer to this measure as distance from home.</w:t>
      </w:r>
    </w:p>
    <w:bookmarkEnd w:id="44"/>
    <w:bookmarkEnd w:id="45"/>
    <w:bookmarkStart w:id="53" w:name="statistical-analysis"/>
    <w:p>
      <w:pPr>
        <w:pStyle w:val="Heading2"/>
      </w:pPr>
      <w:r>
        <w:t xml:space="preserve">Statistical Analysis</w:t>
      </w:r>
    </w:p>
    <w:bookmarkStart w:id="46" w:name="participant-characteristics"/>
    <w:p>
      <w:pPr>
        <w:pStyle w:val="Heading3"/>
      </w:pPr>
      <w:r>
        <w:t xml:space="preserve">Participant characteristics</w:t>
      </w:r>
    </w:p>
    <w:p>
      <w:pPr>
        <w:pStyle w:val="FirstParagraph"/>
      </w:pPr>
      <w:r>
        <w:t xml:space="preserve">Participant characteristics and contact venue characteristics were</w:t>
      </w:r>
      <w:r>
        <w:t xml:space="preserve"> </w:t>
      </w:r>
      <w:r>
        <w:t xml:space="preserve">tabulated and visualized.</w:t>
      </w:r>
    </w:p>
    <w:bookmarkEnd w:id="46"/>
    <w:bookmarkStart w:id="47"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that a pair of participants share at least one community</w:t>
      </w:r>
      <w:r>
        <w:t xml:space="preserve"> </w:t>
      </w:r>
      <w:r>
        <w:t xml:space="preserve">district. We say two participants share a community district if both</w:t>
      </w:r>
      <w:r>
        <w:t xml:space="preserve"> </w:t>
      </w:r>
      <w:r>
        <w:t xml:space="preserve">have a residence or contact venue in that community district. The weight</w:t>
      </w:r>
      <w:r>
        <w:t xml:space="preserve"> </w:t>
      </w:r>
      <w:r>
        <w:t xml:space="preserve">of each tie (or tie weight) is the count of community districts shared</w:t>
      </w:r>
      <w:r>
        <w:t xml:space="preserve"> </w:t>
      </w:r>
      <w:r>
        <w:t xml:space="preserve">by a given pair of individuals.</w:t>
      </w:r>
    </w:p>
    <w:bookmarkEnd w:id="47"/>
    <w:bookmarkStart w:id="48"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i</m:t>
            </m:r>
          </m:sub>
        </m:sSub>
        <m:d>
          <m:dPr>
            <m:begChr m:val="("/>
            <m:endChr m:val=")"/>
            <m:sepChr m:val=""/>
            <m:grow/>
          </m:dPr>
          <m:e>
            <m:r>
              <m:t>b</m:t>
            </m:r>
          </m:e>
        </m:d>
      </m:oMath>
      <w:r>
        <w:t xml:space="preserve">, the individual spatial selection ratio of</w:t>
      </w:r>
      <w:r>
        <w:t xml:space="preserve"> </w:t>
      </w:r>
      <w:r>
        <w:t xml:space="preserve">individual</w:t>
      </w:r>
      <w:r>
        <w:t xml:space="preserve"> </w:t>
      </w:r>
      <m:oMath>
        <m:r>
          <m:t>i</m:t>
        </m:r>
      </m:oMath>
      <w:r>
        <w:t xml:space="preserve"> </w:t>
      </w:r>
      <w:r>
        <w:t xml:space="preserve">for subgroup</w:t>
      </w:r>
      <w:r>
        <w:t xml:space="preserve"> </w:t>
      </w:r>
      <m:oMath>
        <m:r>
          <m:t>b</m:t>
        </m:r>
      </m:oMath>
      <w:r>
        <w:t xml:space="preserve">. The numerator for the local spatial</w:t>
      </w:r>
      <w:r>
        <w:t xml:space="preserve"> </w:t>
      </w:r>
      <w:r>
        <w:t xml:space="preserve">selection ratio is the conditional probability of a given person</w:t>
      </w:r>
      <w:r>
        <w:t xml:space="preserve"> </w:t>
      </w:r>
      <m:oMath>
        <m:r>
          <m:t>i</m:t>
        </m:r>
      </m:oMath>
      <w:r>
        <w:t xml:space="preserve"> </w:t>
      </w:r>
      <w:r>
        <w:t xml:space="preserve">of</w:t>
      </w:r>
      <w:r>
        <w:t xml:space="preserve"> </w:t>
      </w:r>
      <w:r>
        <w:t xml:space="preserve">characteristic</w:t>
      </w:r>
      <w:r>
        <w:t xml:space="preserve"> </w:t>
      </w:r>
      <m:oMath>
        <m:r>
          <m:t>a</m:t>
        </m:r>
      </m:oMath>
      <w:r>
        <w:t xml:space="preserve"> </w:t>
      </w:r>
      <w:r>
        <w:t xml:space="preserve">sharing a community district with persons of</w:t>
      </w:r>
      <w:r>
        <w:t xml:space="preserve"> </w:t>
      </w:r>
      <w:r>
        <w:t xml:space="preserve">characteristic</w:t>
      </w:r>
      <w:r>
        <w:t xml:space="preserve"> </w:t>
      </w:r>
      <m:oMath>
        <m:r>
          <m:t>b</m:t>
        </m:r>
      </m:oMath>
      <w:r>
        <w:t xml:space="preserve">. (i.e. the sum of tie weights for ties that link</w:t>
      </w:r>
      <w:r>
        <w:t xml:space="preserve"> </w:t>
      </w:r>
      <m:oMath>
        <m:r>
          <m:t>i</m:t>
        </m:r>
      </m:oMath>
      <w:r>
        <w:t xml:space="preserve"> </w:t>
      </w:r>
      <w:r>
        <w:t xml:space="preserve">with persons</w:t>
      </w:r>
      <w:r>
        <w:t xml:space="preserve"> </w:t>
      </w:r>
      <m:oMath>
        <m:r>
          <m:t>j</m:t>
        </m:r>
      </m:oMath>
      <w:r>
        <w:t xml:space="preserve"> </w:t>
      </w:r>
      <w:r>
        <w:t xml:space="preserve">of characteristic</w:t>
      </w:r>
      <w:r>
        <w:t xml:space="preserve"> </w:t>
      </w:r>
      <m:oMath>
        <m:r>
          <m:t>b</m:t>
        </m:r>
      </m:oMath>
      <w:r>
        <w:t xml:space="preserve"> </w:t>
      </w:r>
      <w:r>
        <w:t xml:space="preserve">divided by the weighted degree of</w:t>
      </w:r>
      <w:r>
        <w:t xml:space="preserve"> </w:t>
      </w:r>
      <w:r>
        <w:t xml:space="preserve">person</w:t>
      </w:r>
      <w:r>
        <w:t xml:space="preserve"> </w:t>
      </w:r>
      <m:oMath>
        <m:r>
          <m:t>i</m:t>
        </m:r>
      </m:oMath>
      <w:r>
        <w:t xml:space="preserve">.)</w:t>
      </w:r>
    </w:p>
    <w:p>
      <w:pPr>
        <w:pStyle w:val="BodyText"/>
      </w:pPr>
      <m:oMathPara>
        <m:oMathParaPr>
          <m:jc m:val="center"/>
        </m:oMathParaPr>
        <m:oMath>
          <m:sSub>
            <m:e>
              <m:r>
                <m:t>ψ</m:t>
              </m:r>
            </m:e>
            <m:sub>
              <m:r>
                <m:t>i</m:t>
              </m:r>
            </m:sub>
          </m:sSub>
          <m:d>
            <m:dPr>
              <m:begChr m:val="("/>
              <m:endChr m:val=")"/>
              <m:sepChr m:val=""/>
              <m:grow/>
            </m:dPr>
            <m:e>
              <m:r>
                <m:t>b</m:t>
              </m:r>
            </m:e>
          </m:d>
          <m:r>
            <m:rPr>
              <m:sty m:val="p"/>
            </m:rPr>
            <m:t>=</m:t>
          </m:r>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oMath>
      </m:oMathPara>
    </w:p>
    <w:p>
      <w:pPr>
        <w:pStyle w:val="FirstParagraph"/>
      </w:pPr>
      <w:r>
        <w:t xml:space="preserve">Where</w:t>
      </w:r>
      <w:r>
        <w:t xml:space="preserve"> </w:t>
      </w:r>
      <m:oMath>
        <m:sSub>
          <m:e>
            <m:r>
              <m:t>W</m:t>
            </m:r>
          </m:e>
          <m:sub>
            <m:r>
              <m:t>i</m:t>
            </m:r>
            <m:r>
              <m:rPr>
                <m:sty m:val="p"/>
              </m:rPr>
              <m:t>∼</m:t>
            </m:r>
            <m:r>
              <m:t>j</m:t>
            </m:r>
          </m:sub>
        </m:sSub>
      </m:oMath>
      <w:r>
        <w:t xml:space="preserve"> </w:t>
      </w:r>
      <w:r>
        <w:t xml:space="preserve">is the weight for the tie connecting</w:t>
      </w:r>
      <w:r>
        <w:t xml:space="preserve"> </w:t>
      </w:r>
      <m:oMath>
        <m:r>
          <m:t>i</m:t>
        </m:r>
      </m:oMath>
      <w:r>
        <w:t xml:space="preserve"> </w:t>
      </w:r>
      <w:r>
        <w:t xml:space="preserve">and</w:t>
      </w:r>
      <w:r>
        <w:t xml:space="preserve"> </w:t>
      </w:r>
      <m:oMath>
        <m:r>
          <m:t>j</m:t>
        </m:r>
      </m:oMath>
      <w:r>
        <w:t xml:space="preserve">.</w:t>
      </w:r>
      <w:r>
        <w:t xml:space="preserve"> </w:t>
      </w:r>
      <m:oMath>
        <m:r>
          <m:t>N</m:t>
        </m:r>
      </m:oMath>
      <w:r>
        <w:t xml:space="preserve"> </w:t>
      </w:r>
      <w:r>
        <w:t xml:space="preserve">is the set of all node indices and</w:t>
      </w:r>
      <w:r>
        <w:t xml:space="preserve"> </w:t>
      </w:r>
      <m:oMath>
        <m:sSub>
          <m:e>
            <m:r>
              <m:t>N</m:t>
            </m:r>
          </m:e>
          <m:sub>
            <m:r>
              <m:t>b</m:t>
            </m:r>
          </m:sub>
        </m:sSub>
        <m:r>
          <m:rPr>
            <m:sty m:val="p"/>
          </m:rPr>
          <m:t>⊂</m:t>
        </m:r>
        <m:r>
          <m:t>N</m:t>
        </m:r>
      </m:oMath>
      <w:r>
        <w:t xml:space="preserve"> </w:t>
      </w:r>
      <w:r>
        <w:t xml:space="preserve">is the set of</w:t>
      </w:r>
      <w:r>
        <w:t xml:space="preserve"> </w:t>
      </w:r>
      <w:r>
        <w:t xml:space="preserve">indices for nodes with characteristic</w:t>
      </w:r>
      <w:r>
        <w:t xml:space="preserve"> </w:t>
      </w:r>
      <m:oMath>
        <m:r>
          <m:t>b</m:t>
        </m:r>
      </m:oMath>
      <w:r>
        <w:t xml:space="preserve">. By definition, the absence of</w:t>
      </w:r>
      <w:r>
        <w:t xml:space="preserve"> </w:t>
      </w:r>
      <w:r>
        <w:t xml:space="preserve">a tie between</w:t>
      </w:r>
      <w:r>
        <w:t xml:space="preserve"> </w:t>
      </w:r>
      <m:oMath>
        <m:r>
          <m:t>i</m:t>
        </m:r>
      </m:oMath>
      <w:r>
        <w:t xml:space="preserve"> </w:t>
      </w:r>
      <w:r>
        <w:t xml:space="preserve">and</w:t>
      </w:r>
      <w:r>
        <w:t xml:space="preserve"> </w:t>
      </w:r>
      <m:oMath>
        <m:r>
          <m:t>j</m:t>
        </m:r>
      </m:oMath>
      <w:r>
        <w:t xml:space="preserve"> </w:t>
      </w:r>
      <w:r>
        <w:t xml:space="preserve">is equivalent to the presence of a tie with</w:t>
      </w:r>
      <w:r>
        <w:t xml:space="preserve"> </w:t>
      </w:r>
      <m:oMath>
        <m:sSub>
          <m:e>
            <m:r>
              <m:t>W</m:t>
            </m:r>
          </m:e>
          <m:sub>
            <m:r>
              <m:t>i</m:t>
            </m:r>
            <m:r>
              <m:rPr>
                <m:sty m:val="p"/>
              </m:rPr>
              <m:t>∼</m:t>
            </m:r>
            <m:r>
              <m:t>j</m:t>
            </m:r>
          </m:sub>
        </m:sSub>
        <m:r>
          <m:rPr>
            <m:sty m:val="p"/>
          </m:rPr>
          <m:t>=</m:t>
        </m:r>
        <m:r>
          <m:t>0</m:t>
        </m:r>
      </m:oMath>
      <w:r>
        <w:t xml:space="preserve">, and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The population spatial selection ratio</w:t>
      </w:r>
      <w:r>
        <w:t xml:space="preserve"> </w:t>
      </w:r>
      <m:oMath>
        <m:r>
          <m:t>ψ</m:t>
        </m:r>
        <m:d>
          <m:dPr>
            <m:begChr m:val="("/>
            <m:endChr m:val=")"/>
            <m:sepChr m:val=""/>
            <m:grow/>
          </m:dPr>
          <m:e>
            <m:r>
              <m:t>a</m:t>
            </m:r>
            <m:r>
              <m:rPr>
                <m:sty m:val="p"/>
              </m:rPr>
              <m:t>,</m:t>
            </m:r>
            <m:r>
              <m:t>b</m:t>
            </m:r>
          </m:e>
        </m:d>
      </m:oMath>
      <w:r>
        <w:t xml:space="preserve"> </w:t>
      </w:r>
      <w:r>
        <w:t xml:space="preserve">of subgroup</w:t>
      </w:r>
      <w:r>
        <w:t xml:space="preserve"> </w:t>
      </w:r>
      <m:oMath>
        <m:r>
          <m:t>a</m:t>
        </m:r>
      </m:oMath>
      <w:r>
        <w:t xml:space="preserve"> </w:t>
      </w:r>
      <w:r>
        <w:t xml:space="preserve">for</w:t>
      </w:r>
      <w:r>
        <w:t xml:space="preserve"> </w:t>
      </w:r>
      <w:r>
        <w:t xml:space="preserve">subgroup</w:t>
      </w:r>
      <w:r>
        <w:t xml:space="preserve"> </w:t>
      </w:r>
      <m:oMath>
        <m:r>
          <m:t>b</m:t>
        </m:r>
      </m:oMath>
      <w:r>
        <w:t xml:space="preserve"> </w:t>
      </w:r>
      <w:r>
        <w:t xml:space="preserve">is the geometric mean of the individual spatial selection</w:t>
      </w:r>
      <w:r>
        <w:t xml:space="preserve"> </w:t>
      </w:r>
      <w:r>
        <w:t xml:space="preserve">ratios of all individuals in subgroup</w:t>
      </w:r>
      <w:r>
        <w:t xml:space="preserve"> </w:t>
      </w:r>
      <m:oMath>
        <m:r>
          <m:t>a</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nary>
            <m:naryPr>
              <m:chr m:val="∏"/>
              <m:limLoc m:val="undOvr"/>
              <m:subHide m:val="0"/>
              <m:supHide m:val="1"/>
            </m:naryPr>
            <m:sub>
              <m:r>
                <m:t>i</m:t>
              </m:r>
              <m:r>
                <m:rPr>
                  <m:sty m:val="p"/>
                </m:rPr>
                <m:t>∈</m:t>
              </m:r>
              <m:sSub>
                <m:e>
                  <m:r>
                    <m:t>N</m:t>
                  </m:r>
                </m:e>
                <m:sub>
                  <m:r>
                    <m:t>a</m:t>
                  </m:r>
                </m:sub>
              </m:sSub>
            </m:sub>
            <m:sup>
              <m:r>
                <m:t>​</m:t>
              </m:r>
            </m:sup>
            <m:e>
              <m:sSub>
                <m:e>
                  <m:r>
                    <m:t>ψ</m:t>
                  </m:r>
                </m:e>
                <m:sub>
                  <m:r>
                    <m:t>i</m:t>
                  </m:r>
                </m:sub>
              </m:sSub>
              <m:sSup>
                <m:e>
                  <m:d>
                    <m:dPr>
                      <m:begChr m:val="("/>
                      <m:endChr m:val=")"/>
                      <m:sepChr m:val=""/>
                      <m:grow/>
                    </m:dPr>
                    <m:e>
                      <m:r>
                        <m:t>b</m:t>
                      </m:r>
                    </m:e>
                  </m:d>
                </m:e>
                <m:sup>
                  <m:f>
                    <m:fPr>
                      <m:type m:val="bar"/>
                    </m:fPr>
                    <m:num>
                      <m:r>
                        <m:t>1</m:t>
                      </m:r>
                    </m:num>
                    <m:den>
                      <m:d>
                        <m:dPr>
                          <m:begChr m:val="|"/>
                          <m:endChr m:val="|"/>
                          <m:sepChr m:val=""/>
                          <m:grow/>
                        </m:dPr>
                        <m:e>
                          <m:sSub>
                            <m:e>
                              <m:r>
                                <m:t>N</m:t>
                              </m:r>
                            </m:e>
                            <m:sub>
                              <m:r>
                                <m:t>a</m:t>
                              </m:r>
                            </m:sub>
                          </m:sSub>
                        </m:e>
                      </m:d>
                    </m:den>
                  </m:f>
                </m:sup>
              </m:sSup>
            </m:e>
          </m:nary>
        </m:oMath>
      </m:oMathPara>
    </w:p>
    <w:p>
      <w:pPr>
        <w:pStyle w:val="FirstParagraph"/>
      </w:pPr>
      <w:r>
        <w:t xml:space="preserve">The spatial selection coefficient is</w:t>
      </w:r>
      <w:r>
        <w:t xml:space="preserve"> </w:t>
      </w:r>
      <m:oMath>
        <m:r>
          <m:t>0</m:t>
        </m:r>
      </m:oMath>
      <w:r>
        <w:t xml:space="preserve"> </w:t>
      </w:r>
      <w:r>
        <w:t xml:space="preserve">when contact venues and</w:t>
      </w:r>
      <w:r>
        <w:t xml:space="preserve"> </w:t>
      </w:r>
      <w:r>
        <w:t xml:space="preserve">residences for subgroups</w:t>
      </w:r>
      <w:r>
        <w:t xml:space="preserve"> </w:t>
      </w:r>
      <m:oMath>
        <m:r>
          <m:t>a</m:t>
        </m:r>
      </m:oMath>
      <w:r>
        <w:t xml:space="preserve"> </w:t>
      </w:r>
      <w:r>
        <w:t xml:space="preserve">and</w:t>
      </w:r>
      <w:r>
        <w:t xml:space="preserve"> </w:t>
      </w:r>
      <m:oMath>
        <m:r>
          <m:t>b</m:t>
        </m:r>
      </m:oMath>
      <w:r>
        <w:t xml:space="preserve"> </w:t>
      </w:r>
      <w:r>
        <w:t xml:space="preserve">are distributed in space</w:t>
      </w:r>
      <w:r>
        <w:t xml:space="preserve"> </w:t>
      </w:r>
      <w:r>
        <w:t xml:space="preserve">independently of each other; positive if members of subgroup</w:t>
      </w:r>
      <w:r>
        <w:t xml:space="preserve"> </w:t>
      </w:r>
      <m:oMath>
        <m:r>
          <m:t>a</m:t>
        </m:r>
      </m:oMath>
      <w:r>
        <w:t xml:space="preserve"> </w:t>
      </w:r>
      <w:r>
        <w:t xml:space="preserve">tend to</w:t>
      </w:r>
      <w:r>
        <w:t xml:space="preserve"> </w:t>
      </w:r>
      <w:r>
        <w:t xml:space="preserve">share community districts with those of subgroup</w:t>
      </w:r>
      <w:r>
        <w:t xml:space="preserve"> </w:t>
      </w:r>
      <m:oMath>
        <m:r>
          <m:t>b</m:t>
        </m:r>
      </m:oMath>
      <w:r>
        <w:t xml:space="preserve">; and negative if</w:t>
      </w:r>
      <w:r>
        <w:t xml:space="preserve"> </w:t>
      </w:r>
      <w:r>
        <w:t xml:space="preserve">members of subgroup</w:t>
      </w:r>
      <w:r>
        <w:t xml:space="preserve"> </w:t>
      </w:r>
      <m:oMath>
        <m:r>
          <m:t>a</m:t>
        </m:r>
      </m:oMath>
      <w:r>
        <w:t xml:space="preserve"> </w:t>
      </w:r>
      <w:r>
        <w:t xml:space="preserve">tend to not share community districts with</w:t>
      </w:r>
      <w:r>
        <w:t xml:space="preserve"> </w:t>
      </w:r>
      <w:r>
        <w:t xml:space="preserve">subgroup</w:t>
      </w:r>
      <w:r>
        <w:t xml:space="preserve"> </w:t>
      </w:r>
      <m:oMath>
        <m:r>
          <m:t>b</m:t>
        </m:r>
      </m:oMath>
      <w:r>
        <w:t xml:space="preserve">.</w:t>
      </w:r>
    </w:p>
    <w:bookmarkEnd w:id="48"/>
    <w:bookmarkStart w:id="51"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9"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9"/>
    <w:bookmarkStart w:id="50"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50"/>
    <w:bookmarkEnd w:id="51"/>
    <w:bookmarkStart w:id="52"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50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2"/>
    <w:bookmarkEnd w:id="53"/>
    <w:bookmarkEnd w:id="54"/>
    <w:bookmarkStart w:id="90" w:name="results"/>
    <w:p>
      <w:pPr>
        <w:pStyle w:val="Heading1"/>
      </w:pPr>
      <w:r>
        <w:t xml:space="preserve">Results</w:t>
      </w:r>
    </w:p>
    <w:bookmarkStart w:id="60" w:name="participants-1"/>
    <w:p>
      <w:pPr>
        <w:pStyle w:val="Heading2"/>
      </w:pPr>
      <w:r>
        <w:t xml:space="preserve">Participants</w:t>
      </w:r>
    </w:p>
    <w:p>
      <w:pPr>
        <w:pStyle w:val="FirstParagraph"/>
      </w:pPr>
      <w:r>
        <w:t xml:space="preserve">The MPX NYC survey was open from 30 September to 15 November, 2022, and</w:t>
      </w:r>
      <w:r>
        <w:t xml:space="preserve"> </w:t>
      </w:r>
      <w:r>
        <w:t xml:space="preserve">rapidly recruited a diverse group of participants (see</w:t>
      </w:r>
      <w:r>
        <w:t xml:space="preserve"> </w:t>
      </w:r>
      <w:hyperlink w:anchor="fig-descriptives">
        <w:r>
          <w:rPr>
            <w:rStyle w:val="Hyperlink"/>
          </w:rPr>
          <w:t xml:space="preserve">Figure 5</w:t>
        </w:r>
      </w:hyperlink>
      <w:r>
        <w:t xml:space="preserve">). About 70% of participants were recruited over two 48</w:t>
      </w:r>
      <w:r>
        <w:t xml:space="preserve"> </w:t>
      </w:r>
      <w:r>
        <w:t xml:space="preserve">hour periods: half were recruited from 30 to 31 Aug, and another 20%</w:t>
      </w:r>
      <w:r>
        <w:t xml:space="preserve"> </w:t>
      </w:r>
      <w:r>
        <w:t xml:space="preserve">from 10 to 11 September). Over 50% of participants were between the ages</w:t>
      </w:r>
      <w:r>
        <w:t xml:space="preserve"> </w:t>
      </w:r>
      <w:r>
        <w:t xml:space="preserve">of 18-34 at the time of the survey. Two fifths were white cisgender men,</w:t>
      </w:r>
      <w:r>
        <w:t xml:space="preserve"> </w:t>
      </w:r>
      <w:r>
        <w:t xml:space="preserve">about 15% were latinx cisgender men, and 10% were black cisgender men.</w:t>
      </w:r>
      <w:r>
        <w:t xml:space="preserve"> </w:t>
      </w:r>
      <w:r>
        <w:t xml:space="preserve">About 5% of participants were transgender (with slightly over half being</w:t>
      </w:r>
      <w:r>
        <w:t xml:space="preserve"> </w:t>
      </w:r>
      <w:r>
        <w:t xml:space="preserve">transgender men). Non-binary individuals comprised 7%. Two thirds of</w:t>
      </w:r>
      <w:r>
        <w:t xml:space="preserve"> </w:t>
      </w:r>
      <w:r>
        <w:t xml:space="preserve">participants identified as gay, 14% as bisexual, and 12% as queer. Just</w:t>
      </w:r>
      <w:r>
        <w:t xml:space="preserve"> </w:t>
      </w:r>
      <w:r>
        <w:t xml:space="preserve">under half of participants resided in the borough of Manhattan, and one</w:t>
      </w:r>
      <w:r>
        <w:t xml:space="preserve"> </w:t>
      </w:r>
      <w:r>
        <w:t xml:space="preserve">third lived in Brooklyn.</w:t>
      </w:r>
    </w:p>
    <w:tbl>
      <w:tblPr>
        <w:tblStyle w:val="Table"/>
        <w:tblW w:type="pct" w:w="5000"/>
        <w:tblLook w:firstRow="0" w:lastRow="0" w:firstColumn="0" w:lastColumn="0" w:noHBand="0" w:noVBand="0" w:val="0000"/>
        <w:jc w:val="start"/>
      </w:tblPr>
      <w:tblGrid>
        <w:gridCol w:w="7920"/>
      </w:tblGrid>
      <w:tr>
        <w:tc>
          <w:tcPr/>
          <w:bookmarkStart w:id="58" w:name="fig-sexorientation-racegender"/>
          <w:p>
            <w:pPr>
              <w:jc w:val="center"/>
            </w:pPr>
            <w:r>
              <w:drawing>
                <wp:inline>
                  <wp:extent cx="5334000" cy="4533900"/>
                  <wp:effectExtent b="0" l="0" r="0" t="0"/>
                  <wp:docPr descr="" title="" id="56" name="Picture"/>
                  <a:graphic>
                    <a:graphicData uri="http://schemas.openxmlformats.org/drawingml/2006/picture">
                      <pic:pic>
                        <pic:nvPicPr>
                          <pic:cNvPr descr="_manuscript_files/figure-docx/fig-sexorientation-racegender-1.png" id="57" name="Picture"/>
                          <pic:cNvPicPr>
                            <a:picLocks noChangeArrowheads="1" noChangeAspect="1"/>
                          </pic:cNvPicPr>
                        </pic:nvPicPr>
                        <pic:blipFill>
                          <a:blip r:embed="rId5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8"/>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w:t>
      </w:r>
      <w:r>
        <w:t xml:space="preserve"> </w:t>
      </w:r>
      <w:r>
        <w:t xml:space="preserve">identified as gay, with some identifying as bisexual. Transgender men</w:t>
      </w:r>
      <w:r>
        <w:t xml:space="preserve"> </w:t>
      </w:r>
      <w:r>
        <w:t xml:space="preserve">were most likely to identify as queer, bisexual, or gay whereas</w:t>
      </w:r>
      <w:r>
        <w:t xml:space="preserve"> </w:t>
      </w:r>
      <w:r>
        <w:t xml:space="preserve">transgender women tended to identify as straight, bisexual, or other</w:t>
      </w:r>
      <w:r>
        <w:t xml:space="preserve"> </w:t>
      </w:r>
      <w:r>
        <w:t xml:space="preserve">sexual orientations. Cisgender women tended to be straight, followed by</w:t>
      </w:r>
      <w:r>
        <w:t xml:space="preserve"> </w:t>
      </w:r>
      <w:r>
        <w:t xml:space="preserve">biseuxual, followed by queer. For non-binary people, most identifed as</w:t>
      </w:r>
      <w:r>
        <w:t xml:space="preserve"> </w:t>
      </w:r>
      <w:r>
        <w:t xml:space="preserve">queer, followed by gay and bisexual.</w:t>
      </w:r>
    </w:p>
    <w:p>
      <w:pPr>
        <w:pStyle w:val="BodyText"/>
      </w:pPr>
      <w:r>
        <w:t xml:space="preserve">In terms of health status, one in ten participants reported living with</w:t>
      </w:r>
      <w:r>
        <w:t xml:space="preserve"> </w:t>
      </w:r>
      <w:r>
        <w:t xml:space="preserve">HIV - the overwhelming majority were virally suppressed. In addition,</w:t>
      </w:r>
      <w:r>
        <w:t xml:space="preserve"> </w:t>
      </w:r>
      <w:r>
        <w:t xml:space="preserve">about 0% reported at least one STI symptom. In terms of health</w:t>
      </w:r>
      <w:r>
        <w:t xml:space="preserve"> </w:t>
      </w:r>
      <w:r>
        <w:t xml:space="preserve">services, two out of five participants were on PrEP at the time they</w:t>
      </w:r>
      <w:r>
        <w:t xml:space="preserve"> </w:t>
      </w:r>
      <w:r>
        <w:t xml:space="preserve">took the survey, two-thirds had received the MPOX vaccine though only 8%</w:t>
      </w:r>
      <w:r>
        <w:t xml:space="preserve"> </w:t>
      </w:r>
      <w:r>
        <w:t xml:space="preserve">had received MPOX testing.</w:t>
      </w:r>
    </w:p>
    <w:p>
      <w:pPr>
        <w:pStyle w:val="BodyText"/>
      </w:pPr>
      <w:r>
        <w:t xml:space="preserve">MPX NYC participants were deeply connected to queer and trans people in</w:t>
      </w:r>
      <w:r>
        <w:t xml:space="preserve"> </w:t>
      </w:r>
      <w:r>
        <w:t xml:space="preserve">New York City. About two-thirds reported being in recent (preceding 4</w:t>
      </w:r>
      <w:r>
        <w:t xml:space="preserve"> </w:t>
      </w:r>
      <w:r>
        <w:t xml:space="preserve">weeks) contact with 1 - 10 friends in this community whereas only 20%</w:t>
      </w:r>
      <w:r>
        <w:t xml:space="preserve"> </w:t>
      </w:r>
      <w:r>
        <w:t xml:space="preserve">reported not being in contact with queer and trans friends over the same</w:t>
      </w:r>
      <w:r>
        <w:t xml:space="preserve"> </w:t>
      </w:r>
      <w:r>
        <w:t xml:space="preserve">period. About half of the participants had betwen 1 and 3 recent sex</w:t>
      </w:r>
      <w:r>
        <w:t xml:space="preserve"> </w:t>
      </w:r>
      <w:r>
        <w:t xml:space="preserve">partners with 15% reporting over 5 partners. Related to sex partners,</w:t>
      </w:r>
      <w:r>
        <w:t xml:space="preserve"> </w:t>
      </w:r>
      <w:r>
        <w:t xml:space="preserve">about one third reported spending less than 15 minutes on average when</w:t>
      </w:r>
      <w:r>
        <w:t xml:space="preserve"> </w:t>
      </w:r>
      <w:r>
        <w:t xml:space="preserve">traveling to a hookup while a third spent 16-30 minutes. Almost one of</w:t>
      </w:r>
      <w:r>
        <w:t xml:space="preserve"> </w:t>
      </w:r>
      <w:r>
        <w:t xml:space="preserve">four participants reported having physical (non-sexual) contact with</w:t>
      </w:r>
      <w:r>
        <w:t xml:space="preserve"> </w:t>
      </w:r>
      <w:r>
        <w:t xml:space="preserve">over 5 individuals over the preceding four weeks, and one third reported</w:t>
      </w:r>
      <w:r>
        <w:t xml:space="preserve"> </w:t>
      </w:r>
      <w:r>
        <w:t xml:space="preserve">having no recent contact.</w:t>
      </w:r>
    </w:p>
    <w:tbl>
      <w:tblPr>
        <w:tblStyle w:val="Table"/>
        <w:tblW w:type="pct" w:w="5000"/>
        <w:tblLook w:firstRow="0" w:lastRow="0" w:firstColumn="0" w:lastColumn="0" w:noHBand="0" w:noVBand="0" w:val="0000"/>
        <w:jc w:val="start"/>
      </w:tblPr>
      <w:tblGrid>
        <w:gridCol w:w="7920"/>
      </w:tblGrid>
      <w:tr>
        <w:tc>
          <w:tcPr/>
          <w:bookmarkStart w:id="59"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9"/>
        </w:tc>
      </w:tr>
    </w:tbl>
    <w:p>
      <w:pPr>
        <w:pStyle w:val="BodyText"/>
      </w:pPr>
      <w:r>
        <w:t xml:space="preserve">Participants who reported recent physical or sexual contact in a group</w:t>
      </w:r>
      <w:r>
        <w:t xml:space="preserve"> </w:t>
      </w:r>
      <w:r>
        <w:t xml:space="preserve">setting were slightly younger than those who did not. They were more</w:t>
      </w:r>
      <w:r>
        <w:t xml:space="preserve"> </w:t>
      </w:r>
      <w:r>
        <w:t xml:space="preserve">likely to identify as gay and less likely to identify as straight. Those</w:t>
      </w:r>
      <w:r>
        <w:t xml:space="preserve"> </w:t>
      </w:r>
      <w:r>
        <w:t xml:space="preserve">who had contact were more likely to live in Manhattan and less likely to</w:t>
      </w:r>
      <w:r>
        <w:t xml:space="preserve"> </w:t>
      </w:r>
      <w:r>
        <w:t xml:space="preserve">live in Queens. Surprisingly, they were less likely to have been</w:t>
      </w:r>
      <w:r>
        <w:t xml:space="preserve"> </w:t>
      </w:r>
      <w:r>
        <w:t xml:space="preserve">recruited through a Grindr advertisement. They were also more likely to</w:t>
      </w:r>
      <w:r>
        <w:t xml:space="preserve"> </w:t>
      </w:r>
      <w:r>
        <w:t xml:space="preserve">have been recruited before the first Grindr pop-up advertisement on 1</w:t>
      </w:r>
      <w:r>
        <w:t xml:space="preserve"> </w:t>
      </w:r>
      <w:r>
        <w:t xml:space="preserve">September 2022.</w:t>
      </w:r>
    </w:p>
    <w:p>
      <w:pPr>
        <w:pStyle w:val="BodyText"/>
      </w:pPr>
      <w:r>
        <w:t xml:space="preserve">Finally, those who reported recent contact in a group setting did not</w:t>
      </w:r>
      <w:r>
        <w:t xml:space="preserve"> </w:t>
      </w:r>
      <w:r>
        <w:t xml:space="preserve">differ with those who did not in terms of their HIV status and viral</w:t>
      </w:r>
      <w:r>
        <w:t xml:space="preserve"> </w:t>
      </w:r>
      <w:r>
        <w:t xml:space="preserve">suppression. They were more likely to have at least one STI symptom than</w:t>
      </w:r>
      <w:r>
        <w:t xml:space="preserve"> </w:t>
      </w:r>
      <w:r>
        <w:t xml:space="preserve">those who did not have recent contact in a group setting. This group had</w:t>
      </w:r>
      <w:r>
        <w:t xml:space="preserve"> </w:t>
      </w:r>
      <w:r>
        <w:t xml:space="preserve">higher utilization of PrEP, mpox testing, and mpox vaccine. They were</w:t>
      </w:r>
      <w:r>
        <w:t xml:space="preserve"> </w:t>
      </w:r>
      <w:r>
        <w:t xml:space="preserve">more closely connected with the queer and trans community: they reported</w:t>
      </w:r>
      <w:r>
        <w:t xml:space="preserve"> </w:t>
      </w:r>
      <w:r>
        <w:t xml:space="preserve">more contact with friends, more physical contact partners and more</w:t>
      </w:r>
      <w:r>
        <w:t xml:space="preserve"> </w:t>
      </w:r>
      <w:r>
        <w:t xml:space="preserve">sexual contact partners. They spent more time travelling to hookups than</w:t>
      </w:r>
      <w:r>
        <w:t xml:space="preserve"> </w:t>
      </w:r>
      <w:r>
        <w:t xml:space="preserve">participants who had not had recent contact in a group setting.</w:t>
      </w:r>
    </w:p>
    <w:bookmarkEnd w:id="60"/>
    <w:bookmarkStart w:id="65" w:name="contact-venues"/>
    <w:p>
      <w:pPr>
        <w:pStyle w:val="Heading2"/>
      </w:pPr>
      <w:r>
        <w:t xml:space="preserve">Contact venues</w:t>
      </w:r>
    </w:p>
    <w:p>
      <w:pPr>
        <w:pStyle w:val="FirstParagraph"/>
      </w:pPr>
      <w:r>
        <w:t xml:space="preserve">Among all MPX NYC participants, 40% (530) reported reported having had</w:t>
      </w:r>
      <w:r>
        <w:t xml:space="preserve"> </w:t>
      </w:r>
      <w:r>
        <w:t xml:space="preserve">sex or physical contact with two or more people at the same time. These</w:t>
      </w:r>
      <w:r>
        <w:t xml:space="preserve"> </w:t>
      </w:r>
      <w:r>
        <w:t xml:space="preserve">participants identified</w:t>
      </w:r>
      <w:r>
        <w:t xml:space="preserve"> </w:t>
      </w:r>
      <m:oMath>
        <m:r>
          <m:t>604</m:t>
        </m:r>
      </m:oMath>
      <w:r>
        <w:t xml:space="preserve"> </w:t>
      </w:r>
      <w:r>
        <w:t xml:space="preserve">locations at which they had contact</w:t>
      </w:r>
      <w:r>
        <w:t xml:space="preserve"> </w:t>
      </w:r>
      <w:r>
        <w:t xml:space="preserve">(contact venues). About two out of five contact venues were private</w:t>
      </w:r>
      <w:r>
        <w:t xml:space="preserve"> </w:t>
      </w:r>
      <w:r>
        <w:t xml:space="preserve">residences, and about a quarter were dance parties. More than half of</w:t>
      </w:r>
      <w:r>
        <w:t xml:space="preserve"> </w:t>
      </w:r>
      <w:r>
        <w:t xml:space="preserve">the places contace venues were in Manhattan, while less than a third</w:t>
      </w:r>
      <w:r>
        <w:t xml:space="preserve"> </w:t>
      </w:r>
      <w:r>
        <w:t xml:space="preserve">were in the Brooklyn. A quarter of all contact venues were in the same</w:t>
      </w:r>
      <w:r>
        <w:t xml:space="preserve"> </w:t>
      </w:r>
      <w:r>
        <w:t xml:space="preserve">community as participants’ residences, a third were in a different</w:t>
      </w:r>
      <w:r>
        <w:t xml:space="preserve"> </w:t>
      </w:r>
      <w:r>
        <w:t xml:space="preserve">borough, and the remainder were in the same borough as home, but a</w:t>
      </w:r>
      <w:r>
        <w:t xml:space="preserve"> </w:t>
      </w:r>
      <w:r>
        <w:t xml:space="preserve">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604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darkroom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sex-party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place_borough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District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w:t>
      </w:r>
      <w:r>
        <w:t xml:space="preserve"> </w:t>
      </w:r>
      <w:r>
        <w:t xml:space="preserve">overwhelmingly private residences whereas contact venues at which they</w:t>
      </w:r>
      <w:r>
        <w:t xml:space="preserve"> </w:t>
      </w:r>
      <w:r>
        <w:t xml:space="preserve">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w:t>
      </w:r>
      <w:r>
        <w:t xml:space="preserve"> </w:t>
      </w:r>
      <w:r>
        <w:t xml:space="preserve">more likely it was to be a private residence and the more likely it was</w:t>
      </w:r>
      <w:r>
        <w:t xml:space="preserve"> </w:t>
      </w:r>
      <w:r>
        <w:t xml:space="preserve">the site of sexual contact. By contrast, the futher from home a contac</w:t>
      </w:r>
      <w:r>
        <w:t xml:space="preserve"> </w:t>
      </w:r>
      <w:r>
        <w:t xml:space="preserve">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4" w:name="fig-places-distance-sexcontact"/>
          <w:p>
            <w:pPr>
              <w:jc w:val="center"/>
            </w:pPr>
            <w:r>
              <w:drawing>
                <wp:inline>
                  <wp:extent cx="5334000" cy="5334000"/>
                  <wp:effectExtent b="0" l="0" r="0" t="0"/>
                  <wp:docPr descr="" title="" id="62" name="Picture"/>
                  <a:graphic>
                    <a:graphicData uri="http://schemas.openxmlformats.org/drawingml/2006/picture">
                      <pic:pic>
                        <pic:nvPicPr>
                          <pic:cNvPr descr="_manuscript_files/figure-docx/fig-places-distance-sexcontact-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4"/>
        </w:tc>
      </w:tr>
    </w:tbl>
    <w:bookmarkEnd w:id="65"/>
    <w:bookmarkStart w:id="73"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w:t>
      </w:r>
      <w:r>
        <w:t xml:space="preserve"> </w:t>
      </w:r>
      <w:r>
        <w:t xml:space="preserve">(x-axis) against the participant’s home community district (y-axis). The</w:t>
      </w:r>
      <w:r>
        <w:t xml:space="preserve"> </w:t>
      </w:r>
      <w:r>
        <w:t xml:space="preserve">size of the dot is proportional to the total count of contact venues</w:t>
      </w:r>
      <w:r>
        <w:t xml:space="preserve"> </w:t>
      </w:r>
      <w:r>
        <w:t xml:space="preserve">with the given home and contact venue community district. The color of</w:t>
      </w:r>
      <w:r>
        <w:t xml:space="preserve"> </w:t>
      </w:r>
      <w:r>
        <w:t xml:space="preserve">the dt represents the borough of the contact venue.</w:t>
      </w:r>
    </w:p>
    <w:p>
      <w:pPr>
        <w:pStyle w:val="BodyText"/>
      </w:pPr>
      <w:r>
        <w:t xml:space="preserve">The dots on the diagonal line from top left to bottom right, show</w:t>
      </w:r>
      <w:r>
        <w:t xml:space="preserve"> </w:t>
      </w:r>
      <w:r>
        <w:t xml:space="preserve">prominantly, indicating that a sizeable proportion of movement happens</w:t>
      </w:r>
      <w:r>
        <w:t xml:space="preserve"> </w:t>
      </w:r>
      <w:r>
        <w:t xml:space="preserve">within community districts. The figue also shows four prominant</w:t>
      </w:r>
      <w:r>
        <w:t xml:space="preserve"> </w:t>
      </w:r>
      <w:r>
        <w:t xml:space="preserve">clusters - the cluster at the top left (in pink) shows significant</w:t>
      </w:r>
      <w:r>
        <w:t xml:space="preserve"> </w:t>
      </w:r>
      <w:r>
        <w:t xml:space="preserve">movement between home and contact venues within Brooklyn and the cluster</w:t>
      </w:r>
      <w:r>
        <w:t xml:space="preserve"> </w:t>
      </w:r>
      <w:r>
        <w:t xml:space="preserve">towards the middle of the plot (in purple) shows significant movement</w:t>
      </w:r>
      <w:r>
        <w:t xml:space="preserve"> </w:t>
      </w:r>
      <w:r>
        <w:t xml:space="preserve">within Manhattan. The clusters at the top center and bottom left show</w:t>
      </w:r>
      <w:r>
        <w:t xml:space="preserve"> </w:t>
      </w:r>
      <w:r>
        <w:t xml:space="preserve">significant movement from Brooklyn to Manhattan and from Manhattan to</w:t>
      </w:r>
      <w:r>
        <w:t xml:space="preserve"> </w:t>
      </w:r>
      <w:r>
        <w:t xml:space="preserve">Brooklyn, respectively.</w:t>
      </w:r>
    </w:p>
    <w:p>
      <w:pPr>
        <w:pStyle w:val="BodyText"/>
      </w:pPr>
      <w:r>
        <w:t xml:space="preserve">The bar graphs on the right and at the bottom show the overall</w:t>
      </w:r>
      <w:r>
        <w:t xml:space="preserve"> </w:t>
      </w:r>
      <w:r>
        <w:t xml:space="preserve">distribution of home community district among participants who had</w:t>
      </w:r>
      <w:r>
        <w:t xml:space="preserve"> </w:t>
      </w:r>
      <w:r>
        <w:t xml:space="preserve">sexual or social contact in a group setting. Within Brooklyn, Manhattan,</w:t>
      </w:r>
      <w:r>
        <w:t xml:space="preserve"> </w:t>
      </w:r>
      <w:r>
        <w:t xml:space="preserve">and Queens, there is an uneven distribution of homes across community</w:t>
      </w:r>
      <w:r>
        <w:t xml:space="preserve"> </w:t>
      </w:r>
      <w:r>
        <w:t xml:space="preserve">districts (bar graph on right). In Manhatan, for instance, community</w:t>
      </w:r>
      <w:r>
        <w:t xml:space="preserve"> </w:t>
      </w:r>
      <w:r>
        <w:t xml:space="preserve">district MN03 appears to contain a disproportinately large share of</w:t>
      </w:r>
      <w:r>
        <w:t xml:space="preserve"> </w:t>
      </w:r>
      <w:r>
        <w:t xml:space="preserve">residences.</w:t>
      </w:r>
    </w:p>
    <w:p>
      <w:pPr>
        <w:pStyle w:val="BodyText"/>
      </w:pPr>
      <w:r>
        <w:t xml:space="preserve">The bar graph at the bottom shows that contact venues are even more</w:t>
      </w:r>
      <w:r>
        <w:t xml:space="preserve"> </w:t>
      </w:r>
      <w:r>
        <w:t xml:space="preserve">unevenly distributed across community districts than homes are. The</w:t>
      </w:r>
      <w:r>
        <w:t xml:space="preserve"> </w:t>
      </w:r>
      <w:r>
        <w:t xml:space="preserve">share of contact venues by community districts was 4-6 percentage points</w:t>
      </w:r>
      <w:r>
        <w:t xml:space="preserve"> </w:t>
      </w:r>
      <w:r>
        <w:t xml:space="preserve">higher than the share of residences in MN04, BK01, and MN05. This</w:t>
      </w:r>
      <w:r>
        <w:t xml:space="preserve"> </w:t>
      </w:r>
      <w:r>
        <w:t xml:space="preserve">suggests that participants leave their home community districts to</w:t>
      </w:r>
      <w:r>
        <w:t xml:space="preserve"> </w:t>
      </w:r>
      <w:r>
        <w:t xml:space="preserve">gather in these community districts for social events.</w:t>
      </w:r>
    </w:p>
    <w:p>
      <w:pPr>
        <w:pStyle w:val="BodyText"/>
      </w:pPr>
      <w:r>
        <w:drawing>
          <wp:inline>
            <wp:extent cx="5334000" cy="5334000"/>
            <wp:effectExtent b="0" l="0" r="0" t="0"/>
            <wp:docPr descr="" title="" id="67" name="Picture"/>
            <a:graphic>
              <a:graphicData uri="http://schemas.openxmlformats.org/drawingml/2006/picture">
                <pic:pic>
                  <pic:nvPicPr>
                    <pic:cNvPr descr="_manuscript_files/figure-docx/unnamed-chunk-4-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2" w:name="fig-communities-movement"/>
          <w:p>
            <w:pPr>
              <w:jc w:val="center"/>
            </w:pPr>
            <w:r>
              <w:drawing>
                <wp:inline>
                  <wp:extent cx="5334000" cy="5334000"/>
                  <wp:effectExtent b="0" l="0" r="0" t="0"/>
                  <wp:docPr descr="" title="" id="70" name="Picture"/>
                  <a:graphic>
                    <a:graphicData uri="http://schemas.openxmlformats.org/drawingml/2006/picture">
                      <pic:pic>
                        <pic:nvPicPr>
                          <pic:cNvPr descr="_manuscript_files/figure-docx/fig-communities-movement-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2"/>
        </w:tc>
      </w:tr>
    </w:tbl>
    <w:bookmarkEnd w:id="73"/>
    <w:bookmarkStart w:id="78"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w:t>
      </w:r>
      <w:r>
        <w:t xml:space="preserve"> </w:t>
      </w:r>
      <w:r>
        <w:t xml:space="preserve">characteristics shown on the left live or play in an overalappoing set</w:t>
      </w:r>
      <w:r>
        <w:t xml:space="preserve"> </w:t>
      </w:r>
      <w:r>
        <w:t xml:space="preserve">of community districts with individuals whose characteristics are shown</w:t>
      </w:r>
      <w:r>
        <w:t xml:space="preserve"> </w:t>
      </w:r>
      <w:r>
        <w:t xml:space="preserve">at the top. Different sub-groups showed different patterns of</w:t>
      </w:r>
      <w:r>
        <w:t xml:space="preserve"> </w:t>
      </w:r>
      <w:r>
        <w:t xml:space="preserve">co-attendance of community districts. Overall, MPX NYC participants</w:t>
      </w:r>
      <w:r>
        <w:t xml:space="preserve"> </w:t>
      </w:r>
      <w:r>
        <w:t xml:space="preserve">showed spatial homophily - the spatial selection coefficient from a</w:t>
      </w:r>
      <w:r>
        <w:t xml:space="preserve"> </w:t>
      </w:r>
      <w:r>
        <w:t xml:space="preserve">given group to the same group was positive for all levels of</w:t>
      </w:r>
      <w:r>
        <w:t xml:space="preserve"> </w:t>
      </w:r>
      <w:r>
        <w:t xml:space="preserve">race-gender, sexual orientation, and age. In addition, black cisgender</w:t>
      </w:r>
      <w:r>
        <w:t xml:space="preserve"> </w:t>
      </w:r>
      <w:r>
        <w:t xml:space="preserve">men and non-binary persons tended to visit or live in different</w:t>
      </w:r>
      <w:r>
        <w:t xml:space="preserve"> </w:t>
      </w:r>
      <w:r>
        <w:t xml:space="preserve">neighborhoods than white cisgender men. Non-binary persons also showed a</w:t>
      </w:r>
      <w:r>
        <w:t xml:space="preserve"> </w:t>
      </w:r>
      <w:r>
        <w:t xml:space="preserve">preference for community districts in which transgender men live. Gay</w:t>
      </w:r>
      <w:r>
        <w:t xml:space="preserve"> </w:t>
      </w:r>
      <w:r>
        <w:t xml:space="preserve">identified participants preferred to live and play in community</w:t>
      </w:r>
      <w:r>
        <w:t xml:space="preserve"> </w:t>
      </w:r>
      <w:r>
        <w:t xml:space="preserve">districts where bisexual, straight and queer identified participants did</w:t>
      </w:r>
      <w:r>
        <w:t xml:space="preserve"> </w:t>
      </w:r>
      <w:r>
        <w:t xml:space="preserve">not live. Similarly, those groups selected against community districts</w:t>
      </w:r>
      <w:r>
        <w:t xml:space="preserve"> </w:t>
      </w:r>
      <w:r>
        <w:t xml:space="preserve">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7" w:name="fig-subgroup-mixing"/>
          <w:p>
            <w:pPr>
              <w:jc w:val="center"/>
            </w:pPr>
            <w:r>
              <w:drawing>
                <wp:inline>
                  <wp:extent cx="5334000" cy="7556500"/>
                  <wp:effectExtent b="0" l="0" r="0" t="0"/>
                  <wp:docPr descr="" title="" id="75" name="Picture"/>
                  <a:graphic>
                    <a:graphicData uri="http://schemas.openxmlformats.org/drawingml/2006/picture">
                      <pic:pic>
                        <pic:nvPicPr>
                          <pic:cNvPr descr="_manuscript_files/figure-docx/fig-subgroup-mixing-1.png" id="76" name="Picture"/>
                          <pic:cNvPicPr>
                            <a:picLocks noChangeArrowheads="1" noChangeAspect="1"/>
                          </pic:cNvPicPr>
                        </pic:nvPicPr>
                        <pic:blipFill>
                          <a:blip r:embed="rId74"/>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7"/>
        </w:tc>
      </w:tr>
    </w:tbl>
    <w:bookmarkEnd w:id="78"/>
    <w:bookmarkStart w:id="89" w:name="interventions"/>
    <w:p>
      <w:pPr>
        <w:pStyle w:val="Heading2"/>
      </w:pPr>
      <w:r>
        <w:t xml:space="preserve">Interventions</w:t>
      </w:r>
    </w:p>
    <w:bookmarkStart w:id="83" w:name="efficient-interventions"/>
    <w:p>
      <w:pPr>
        <w:pStyle w:val="Heading3"/>
      </w:pPr>
      <w:r>
        <w:t xml:space="preserve">Efficient interventions</w:t>
      </w:r>
    </w:p>
    <w:p>
      <w:pPr>
        <w:pStyle w:val="FirstParagraph"/>
      </w:pPr>
      <w:r>
        <w:t xml:space="preserve">Since these data were collected to inform programmatic response to a new</w:t>
      </w:r>
      <w:r>
        <w:t xml:space="preserve"> </w:t>
      </w:r>
      <w:r>
        <w:t xml:space="preserve">health threat, we illustrated the implications of the pattern of</w:t>
      </w:r>
      <w:r>
        <w:t xml:space="preserve"> </w:t>
      </w:r>
      <w:r>
        <w:t xml:space="preserve">connection between people and places for intervention design through a</w:t>
      </w:r>
      <w:r>
        <w:t xml:space="preserve"> </w:t>
      </w:r>
      <w:r>
        <w:t xml:space="preserve">thought experiment: we examined two approaches to conducting a</w:t>
      </w:r>
      <w:r>
        <w:t xml:space="preserve"> </w:t>
      </w:r>
      <w:r>
        <w:t xml:space="preserve">hypothetical place-based immunization intervention. In this hypothetical</w:t>
      </w:r>
      <w:r>
        <w:t xml:space="preserve"> </w:t>
      </w:r>
      <w:r>
        <w:t xml:space="preserve">intervention, we assume that it is possible to immunize entire community</w:t>
      </w:r>
      <w:r>
        <w:t xml:space="preserve"> </w:t>
      </w:r>
      <w:r>
        <w:t xml:space="preserve">districts at a time, but that we can only immunize one comunity district</w:t>
      </w:r>
      <w:r>
        <w:t xml:space="preserve"> </w:t>
      </w:r>
      <w:r>
        <w:t xml:space="preserve">at a time. There is one parameter we can vary to produce different</w:t>
      </w:r>
      <w:r>
        <w:t xml:space="preserve"> </w:t>
      </w:r>
      <w:r>
        <w:t xml:space="preserve">versions of this intervention: the order in which they are immunized.</w:t>
      </w:r>
    </w:p>
    <w:p>
      <w:pPr>
        <w:pStyle w:val="BodyText"/>
      </w:pPr>
      <w:r>
        <w:t xml:space="preserve">We examined two strategies for choosing an ordering of community</w:t>
      </w:r>
      <w:r>
        <w:t xml:space="preserve"> </w:t>
      </w:r>
      <w:r>
        <w:t xml:space="preserve">districts. In the first strategy, we ranked districts according to the</w:t>
      </w:r>
      <w:r>
        <w:t xml:space="preserve"> </w:t>
      </w:r>
      <w:r>
        <w:t xml:space="preserve">number of contact venues which are contained by the district plus the</w:t>
      </w:r>
      <w:r>
        <w:t xml:space="preserve"> </w:t>
      </w:r>
      <w:r>
        <w:t xml:space="preserve">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w:t>
      </w:r>
      <w:r>
        <w:t xml:space="preserve"> </w:t>
      </w:r>
      <w:r>
        <w:t xml:space="preserve">this number, the count of contact venues which are in the same community</w:t>
      </w:r>
      <w:r>
        <w:t xml:space="preserve"> </w:t>
      </w:r>
      <w:r>
        <w:t xml:space="preserve">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w:t>
      </w:r>
      <w:r>
        <w:t xml:space="preserve"> </w:t>
      </w:r>
      <w:r>
        <w:t xml:space="preserve">with high contact for the intervention, the latter strategy prioritizes</w:t>
      </w:r>
      <w:r>
        <w:t xml:space="preserve"> </w:t>
      </w:r>
      <w:r>
        <w:t xml:space="preserve">community districts with a high level of movement in and out of the</w:t>
      </w:r>
      <w:r>
        <w:t xml:space="preserve"> </w:t>
      </w:r>
      <w:r>
        <w:t xml:space="preserve">community district.</w:t>
      </w:r>
    </w:p>
    <w:p>
      <w:pPr>
        <w:pStyle w:val="BodyText"/>
      </w:pPr>
      <w:r>
        <w:t xml:space="preserve">We assessed these strategies against two outcomes. The first is the</w:t>
      </w:r>
      <w:r>
        <w:t xml:space="preserve"> </w:t>
      </w:r>
      <w:r>
        <w:t xml:space="preserve">total number of immunized people divided by the number of immunized</w:t>
      </w:r>
      <w:r>
        <w:t xml:space="preserve"> </w:t>
      </w:r>
      <w:r>
        <w:t xml:space="preserve">community districts, and the second is the proportion of individuals who</w:t>
      </w:r>
      <w:r>
        <w:t xml:space="preserve"> </w:t>
      </w:r>
      <w:r>
        <w:t xml:space="preserve">are in the largest connected component of the network that connects</w:t>
      </w:r>
      <w:r>
        <w:t xml:space="preserve"> </w:t>
      </w:r>
      <w:r>
        <w:t xml:space="preserve">particiopants through their shared community districts. The former</w:t>
      </w:r>
      <w:r>
        <w:t xml:space="preserve"> </w:t>
      </w:r>
      <w:r>
        <w:t xml:space="preserve">measure assesses the efficiency of the intervention (an efficient</w:t>
      </w:r>
      <w:r>
        <w:t xml:space="preserve"> </w:t>
      </w:r>
      <w:r>
        <w:t xml:space="preserve">intervention is one which immunizes a high number of people though a low</w:t>
      </w:r>
      <w:r>
        <w:t xml:space="preserve"> </w:t>
      </w:r>
      <w:r>
        <w:t xml:space="preserve">number of community districts). The latter assess the effectiveness of</w:t>
      </w:r>
      <w:r>
        <w:t xml:space="preserve"> </w:t>
      </w:r>
      <w:r>
        <w:t xml:space="preserve">the intervention in breaking apart the largest connected component of</w:t>
      </w:r>
      <w:r>
        <w:t xml:space="preserve"> </w:t>
      </w:r>
      <w:r>
        <w:t xml:space="preserve">the network which connects survey participants through their overalpping</w:t>
      </w:r>
      <w:r>
        <w:t xml:space="preserve"> </w:t>
      </w:r>
      <w:r>
        <w:t xml:space="preserve">community districts so as to slow the dissemination of a pathogen</w:t>
      </w:r>
      <w:r>
        <w:t xml:space="preserve"> </w:t>
      </w:r>
      <w:r>
        <w:t xml:space="preserve">accross the city.</w:t>
      </w:r>
    </w:p>
    <w:p>
      <w:pPr>
        <w:pStyle w:val="BodyText"/>
      </w:pPr>
      <w:r>
        <w:t xml:space="preserve">This network has individuals as nodes. A tie between two individuals</w:t>
      </w:r>
      <w:r>
        <w:t xml:space="preserve"> </w:t>
      </w:r>
      <w:r>
        <w:t xml:space="preserve">indicates that those two live or have had a contact event in the same</w:t>
      </w:r>
      <w:r>
        <w:t xml:space="preserve"> </w:t>
      </w:r>
      <w:r>
        <w:t xml:space="preserve">community districts. The ties are weighted by the number of community</w:t>
      </w:r>
      <w:r>
        <w:t xml:space="preserve"> </w:t>
      </w:r>
      <w:r>
        <w:t xml:space="preserve">districts that are shared by the pair of participants in this way. The</w:t>
      </w:r>
      <w:r>
        <w:t xml:space="preserve"> </w:t>
      </w:r>
      <w:r>
        <w:t xml:space="preserve">network encodes the potential for the two individual to make contact</w:t>
      </w:r>
      <w:r>
        <w:t xml:space="preserve"> </w:t>
      </w:r>
      <w:r>
        <w:t xml:space="preserve">with one another and transmit a pathogen. The more community districts</w:t>
      </w:r>
      <w:r>
        <w:t xml:space="preserve"> </w:t>
      </w:r>
      <w:r>
        <w:t xml:space="preserve">they share, the more likely it is that they will make contact and/or</w:t>
      </w:r>
      <w:r>
        <w:t xml:space="preserve"> </w:t>
      </w:r>
      <w:r>
        <w:t xml:space="preserve">transmit a pathogen. The better connected this network is, the more</w:t>
      </w:r>
      <w:r>
        <w:t xml:space="preserve"> </w:t>
      </w:r>
      <w:r>
        <w:t xml:space="preserve">likely that a newly introduced infectious disease would disseminate</w:t>
      </w:r>
      <w:r>
        <w:t xml:space="preserve"> </w:t>
      </w:r>
      <w:r>
        <w:t xml:space="preserve">quickly accross the population. The less connected it is, the less</w:t>
      </w:r>
      <w:r>
        <w:t xml:space="preserve"> </w:t>
      </w:r>
      <w:r>
        <w:t xml:space="preserve">likley that such a dissemination could happen.</w:t>
      </w:r>
    </w:p>
    <w:p>
      <w:pPr>
        <w:pStyle w:val="BodyText"/>
      </w:pPr>
      <w:r>
        <w:t xml:space="preserve">One way to understand how well connected a network is is to examine its</w:t>
      </w:r>
      <w:r>
        <w:t xml:space="preserve"> </w:t>
      </w:r>
      <w:r>
        <w:t xml:space="preserve">connected components. A connected component is the set of nodes where</w:t>
      </w:r>
      <w:r>
        <w:t xml:space="preserve"> </w:t>
      </w:r>
      <w:r>
        <w:t xml:space="preserve">each node is reachable from any other node by tracing a path through</w:t>
      </w:r>
      <w:r>
        <w:t xml:space="preserve"> </w:t>
      </w:r>
      <w:r>
        <w:t xml:space="preserve">network ties, and where there are no nodes excluded from the set which</w:t>
      </w:r>
      <w:r>
        <w:t xml:space="preserve"> </w:t>
      </w:r>
      <w:r>
        <w:t xml:space="preserve">are reachable from any node in the set. In many human systems, networks</w:t>
      </w:r>
      <w:r>
        <w:t xml:space="preserve"> </w:t>
      </w:r>
      <w:r>
        <w:t xml:space="preserve">have a</w:t>
      </w:r>
      <w:r>
        <w:t xml:space="preserve"> </w:t>
      </w:r>
      <w:r>
        <w:t xml:space="preserve">“</w:t>
      </w:r>
      <w:r>
        <w:t xml:space="preserve">large connected component</w:t>
      </w:r>
      <w:r>
        <w:t xml:space="preserve">”</w:t>
      </w:r>
      <w:r>
        <w:t xml:space="preserve"> </w:t>
      </w:r>
      <w:r>
        <w:t xml:space="preserve">- connected component that contains</w:t>
      </w:r>
      <w:r>
        <w:t xml:space="preserve"> </w:t>
      </w:r>
      <w:r>
        <w:t xml:space="preserve">the vast majority of the nodes in the network - with other, usually much</w:t>
      </w:r>
      <w:r>
        <w:t xml:space="preserve"> </w:t>
      </w:r>
      <w:r>
        <w:t xml:space="preserve">smaller, connected components.</w:t>
      </w:r>
    </w:p>
    <w:p>
      <w:pPr>
        <w:pStyle w:val="BodyText"/>
      </w:pPr>
      <w:r>
        <w:t xml:space="preserve">To assess the effectiveness of the intervention strategy, we calculated</w:t>
      </w:r>
      <w:r>
        <w:t xml:space="preserve"> </w:t>
      </w:r>
      <w:r>
        <w:t xml:space="preserve">the proportion of participants which are included in the largest</w:t>
      </w:r>
      <w:r>
        <w:t xml:space="preserve"> </w:t>
      </w:r>
      <w:r>
        <w:t xml:space="preserve">connected component as community districts are immunized. To the</w:t>
      </w:r>
      <w:r>
        <w:t xml:space="preserve"> </w:t>
      </w:r>
      <w:r>
        <w:t xml:space="preserve">network, immunizing a community district has the effect of removing ties</w:t>
      </w:r>
      <w:r>
        <w:t xml:space="preserve"> </w:t>
      </w:r>
      <w:r>
        <w:t xml:space="preserve">between individuals who share that community district, and marking those</w:t>
      </w:r>
      <w:r>
        <w:t xml:space="preserve"> </w:t>
      </w:r>
      <w:r>
        <w:t xml:space="preserve">individuals as vaccinated. The more community districts are immunized,</w:t>
      </w:r>
      <w:r>
        <w:t xml:space="preserve"> </w:t>
      </w:r>
      <w:r>
        <w:t xml:space="preserve">therefore, the fewer ties there will be in the network, and the smaller</w:t>
      </w:r>
      <w:r>
        <w:t xml:space="preserve"> </w:t>
      </w:r>
      <w:r>
        <w:t xml:space="preserve">the proportion of participants included in the largets connected</w:t>
      </w:r>
      <w:r>
        <w:t xml:space="preserve"> </w:t>
      </w:r>
      <w:r>
        <w:t xml:space="preserve">component.</w:t>
      </w:r>
    </w:p>
    <w:p>
      <w:pPr>
        <w:pStyle w:val="BodyText"/>
      </w:pPr>
      <w:hyperlink w:anchor="fig-hiimpact-communities-movement">
        <w:r>
          <w:rPr>
            <w:rStyle w:val="Hyperlink"/>
          </w:rPr>
          <w:t xml:space="preserve">Figure 9</w:t>
        </w:r>
      </w:hyperlink>
      <w:r>
        <w:t xml:space="preserve"> </w:t>
      </w:r>
      <w:r>
        <w:t xml:space="preserve">shows which community districts would</w:t>
      </w:r>
      <w:r>
        <w:t xml:space="preserve"> </w:t>
      </w:r>
      <w:r>
        <w:t xml:space="preserve">have to be immunized to immunize 33% of the population (Group A), and</w:t>
      </w:r>
      <w:r>
        <w:t xml:space="preserve"> </w:t>
      </w:r>
      <w:r>
        <w:t xml:space="preserve">66% of ther population (Group A + Group B) under both the contact-based</w:t>
      </w:r>
      <w:r>
        <w:t xml:space="preserve"> </w:t>
      </w:r>
      <w:r>
        <w:t xml:space="preserve">and movement-based intervention strategies.</w:t>
      </w:r>
    </w:p>
    <w:p>
      <w:pPr>
        <w:pStyle w:val="BodyText"/>
      </w:pPr>
      <w:r>
        <w:t xml:space="preserve">Under the contact-based strategy, it would take five community districts</w:t>
      </w:r>
      <w:r>
        <w:t xml:space="preserve"> </w:t>
      </w:r>
      <w:r>
        <w:t xml:space="preserve">to immunize 33% of sthe population. These are MN04, BK01, MN10, BK03,</w:t>
      </w:r>
      <w:r>
        <w:t xml:space="preserve"> </w:t>
      </w:r>
      <w:r>
        <w:t xml:space="preserve">and QN01. MN04 includes the neighborhoods XXXXX, BK01 includes XXXXX,</w:t>
      </w:r>
      <w:r>
        <w:t xml:space="preserve"> </w:t>
      </w:r>
      <w:r>
        <w:t xml:space="preserve">MN10 includes XXXX, BK03 includes XXX, and QN01 includes XXXX. To reach</w:t>
      </w:r>
      <w:r>
        <w:t xml:space="preserve"> </w:t>
      </w:r>
      <w:r>
        <w:t xml:space="preserve">66% of participants with the intervention, it would be necessary to</w:t>
      </w:r>
      <w:r>
        <w:t xml:space="preserve"> </w:t>
      </w:r>
      <w:r>
        <w:t xml:space="preserve">immunize 13 community districts. The additional community districts</w:t>
      </w:r>
      <w:r>
        <w:t xml:space="preserve"> </w:t>
      </w:r>
      <w:r>
        <w:t xml:space="preserve">would be MN12, BK04, MN02, BK08, MN07, MN09, BK02, and MN05.</w:t>
      </w:r>
    </w:p>
    <w:p>
      <w:pPr>
        <w:pStyle w:val="BodyText"/>
      </w:pPr>
      <w:r>
        <w:t xml:space="preserve">Under the movement-based strategy, it would take six community districts</w:t>
      </w:r>
      <w:r>
        <w:t xml:space="preserve"> </w:t>
      </w:r>
      <w:r>
        <w:t xml:space="preserve">to reach 33% of the population: MN04, BK01, MN05, BK04, MN02, and BK03.</w:t>
      </w:r>
      <w:r>
        <w:t xml:space="preserve"> </w:t>
      </w:r>
      <w:r>
        <w:t xml:space="preserve">It would take 16 community districts to reach 66% of the population. The</w:t>
      </w:r>
      <w:r>
        <w:t xml:space="preserve"> </w:t>
      </w:r>
      <w:r>
        <w:t xml:space="preserve">additional community districts would be: MN64, MN10, QN01, BK08, MN09,</w:t>
      </w:r>
      <w:r>
        <w:t xml:space="preserve"> </w:t>
      </w:r>
      <w:r>
        <w:t xml:space="preserve">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w:t>
      </w:r>
      <w:r>
        <w:t xml:space="preserve"> </w:t>
      </w:r>
      <w:r>
        <w:t xml:space="preserve">largest connected component before any intervention. For the</w:t>
      </w:r>
      <w:r>
        <w:t xml:space="preserve"> </w:t>
      </w:r>
      <w:r>
        <w:t xml:space="preserve">movement-based strategy, the proportion of the population included in</w:t>
      </w:r>
      <w:r>
        <w:t xml:space="preserve"> </w:t>
      </w:r>
      <w:r>
        <w:t xml:space="preserve">the largest connected component declines more sharply than for the</w:t>
      </w:r>
      <w:r>
        <w:t xml:space="preserve"> </w:t>
      </w:r>
      <w:r>
        <w:t xml:space="preserve">contact-based strategy. In the contact-based strategy, the overall</w:t>
      </w:r>
      <w:r>
        <w:t xml:space="preserve"> </w:t>
      </w:r>
      <w:r>
        <w:t xml:space="preserve">proportion of unvaccinated individuals declines more sharply than in the</w:t>
      </w:r>
      <w:r>
        <w:t xml:space="preserve"> </w:t>
      </w:r>
      <w:r>
        <w:t xml:space="preserve">movement-based strategy. There is not a noticable difference between the</w:t>
      </w:r>
      <w:r>
        <w:t xml:space="preserve"> </w:t>
      </w:r>
      <w:r>
        <w:t xml:space="preserve">two strategies for the first 10 community districts to be immunized -</w:t>
      </w:r>
      <w:r>
        <w:t xml:space="preserve"> </w:t>
      </w:r>
      <w:r>
        <w:t xml:space="preserve">differences between the two strategies start emerging once 10 community</w:t>
      </w:r>
      <w:r>
        <w:t xml:space="preserve"> </w:t>
      </w:r>
      <w:r>
        <w:t xml:space="preserve">districts are immunized.</w:t>
      </w:r>
    </w:p>
    <w:tbl>
      <w:tblPr>
        <w:tblStyle w:val="Table"/>
        <w:tblW w:type="pct" w:w="5000"/>
        <w:tblLook w:firstRow="0" w:lastRow="0" w:firstColumn="0" w:lastColumn="0" w:noHBand="0" w:noVBand="0" w:val="0000"/>
        <w:jc w:val="start"/>
      </w:tblPr>
      <w:tblGrid>
        <w:gridCol w:w="7920"/>
      </w:tblGrid>
      <w:tr>
        <w:tc>
          <w:tcPr/>
          <w:bookmarkStart w:id="82" w:name="fig-hiimpact-communities-movement"/>
          <w:p>
            <w:pPr>
              <w:jc w:val="center"/>
            </w:pPr>
            <w:r>
              <w:drawing>
                <wp:inline>
                  <wp:extent cx="5334000" cy="4267200"/>
                  <wp:effectExtent b="0" l="0" r="0" t="0"/>
                  <wp:docPr descr="" title="" id="80" name="Picture"/>
                  <a:graphic>
                    <a:graphicData uri="http://schemas.openxmlformats.org/drawingml/2006/picture">
                      <pic:pic>
                        <pic:nvPicPr>
                          <pic:cNvPr descr="_manuscript_files/figure-docx/fig-hiimpact-communities-movement-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 Movement</w:t>
            </w:r>
          </w:p>
          <w:bookmarkEnd w:id="82"/>
        </w:tc>
      </w:tr>
    </w:tbl>
    <w:bookmarkEnd w:id="83"/>
    <w:bookmarkStart w:id="88"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7" w:name="fig-netimpact"/>
          <w:p>
            <w:pPr>
              <w:jc w:val="center"/>
            </w:pPr>
            <w:r>
              <w:drawing>
                <wp:inline>
                  <wp:extent cx="5334000" cy="3333750"/>
                  <wp:effectExtent b="0" l="0" r="0" t="0"/>
                  <wp:docPr descr="" title="" id="85" name="Picture"/>
                  <a:graphic>
                    <a:graphicData uri="http://schemas.openxmlformats.org/drawingml/2006/picture">
                      <pic:pic>
                        <pic:nvPicPr>
                          <pic:cNvPr descr="_manuscript_files/figure-docx/fig-netimpact-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7"/>
        </w:tc>
      </w:tr>
    </w:tbl>
    <w:bookmarkEnd w:id="88"/>
    <w:bookmarkEnd w:id="89"/>
    <w:bookmarkEnd w:id="90"/>
    <w:bookmarkStart w:id="91"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2"/>
    <w:bookmarkStart w:id="107" w:name="references"/>
    <w:p>
      <w:pPr>
        <w:pStyle w:val="Heading1"/>
      </w:pPr>
      <w:r>
        <w:t xml:space="preserve">References</w:t>
      </w: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 Makofane</dc:creator>
  <cp:keywords/>
  <dcterms:created xsi:type="dcterms:W3CDTF">2024-09-27T19:04:03Z</dcterms:created>
  <dcterms:modified xsi:type="dcterms:W3CDTF">2024-09-27T19:04:03Z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