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6.png" ContentType="image/png"/>
  <Override PartName="/word/media/rId88.png" ContentType="image/png"/>
  <Override PartName="/word/media/rId96.png" ContentType="image/png"/>
  <Override PartName="/word/media/rId105.png" ContentType="image/png"/>
  <Override PartName="/word/media/rId76.png" ContentType="image/png"/>
  <Override PartName="/word/media/rId81.png" ContentType="image/png"/>
  <Override PartName="/word/media/rId57.png" ContentType="image/png"/>
  <Override PartName="/word/media/rId52.png" ContentType="image/png"/>
  <Override PartName="/word/media/rId71.png" ContentType="image/png"/>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Methods</w:t>
      </w:r>
      <w:r>
        <w:t xml:space="preserve"> </w:t>
      </w:r>
      <w:r>
        <w:t xml:space="preserve">and</w:t>
      </w:r>
      <w:r>
        <w:t xml:space="preserve"> </w:t>
      </w:r>
      <w:r>
        <w:t xml:space="preserve">Results</w:t>
      </w:r>
    </w:p>
    <w:p>
      <w:pPr>
        <w:pStyle w:val="Author"/>
      </w:pPr>
      <w:r>
        <w:t xml:space="preserve">Keletso</w:t>
      </w:r>
      <w:r>
        <w:t xml:space="preserve"> </w:t>
      </w:r>
      <w:r>
        <w:t xml:space="preserve">Makofane</w:t>
      </w:r>
    </w:p>
    <w:p>
      <w:pPr>
        <w:pStyle w:val="Date"/>
      </w:pPr>
      <w:r>
        <w:t xml:space="preserve">2024-10-30</w:t>
      </w:r>
    </w:p>
    <w:bookmarkStart w:id="50" w:name="methods"/>
    <w:p>
      <w:pPr>
        <w:pStyle w:val="Heading1"/>
      </w:pPr>
      <w:r>
        <w:t xml:space="preserve">Methods</w:t>
      </w:r>
    </w:p>
    <w:bookmarkStart w:id="38" w:name="data-collection"/>
    <w:p>
      <w:pPr>
        <w:pStyle w:val="Heading2"/>
      </w:pPr>
      <w:r>
        <w:t xml:space="preserve">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0" w:name="X325f49556d357cca5c0f6fed498a398a1cd64e5"/>
    <w:p>
      <w:pPr>
        <w:pStyle w:val="Heading3"/>
      </w:pPr>
      <w:r>
        <w:t xml:space="preserve">RESPND-MI Community Forum and Investigator team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 study results.</w:t>
      </w:r>
    </w:p>
    <w:p>
      <w:pPr>
        <w:pStyle w:val="BodyText"/>
      </w:pPr>
      <w:r>
        <w:t xml:space="preserve">Though, much of the initial engagement occurred through one-on-one meetings, the RESPND-MI team host an open meeting on 27 June 2022, inviting city and state government officials, local LGBTQ+ organizations with health or advocacy programs, individual activists, researchers, leaders in the nightlife/entertainment industry of New York, and queer and trans people in general.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strongly shaped study plans, including the recruitment campaign, the design of a novel spatial data collection tool, and the development of our study questionnaire. Sustained engagement in this group led to several concrete improvements in research approach: for example, a criticism of the initial communication approach was that it centered cisgender men to the exclusion of transgender women and transgender men. This was not warranted given that there was no information about the impact of mpox on these communities, and given that transgender people and cisgender people are part of the same social and sexual networks which woudl likely be affected by mpox. We responded by inviting the participant who raised that issue to join the study team, and over time attempted to continually improve gender related language and iconography in the project through discussion among investigators.</w:t>
      </w:r>
    </w:p>
    <w:p>
      <w:pPr>
        <w:pStyle w:val="BodyText"/>
      </w:pPr>
      <w:r>
        <w:t xml:space="preserve">The investigator team consisted of X cisgender black gay men, two black transgender women, 1 asian cisgender gay man, one latinx cisgender gay man, X white cisgender gay men. Among them, X hold PhDs in epidemiology and related fields, X had experience working in an LGBT health services organization, X had experience in grassroots organizing, 1 had experience developing global health program guidance for LGBT people. It grew of the life of the project since anybody who did study-related work, or contributed to discussions about study design was invited to be a RESPND-MI investigator.</w:t>
      </w:r>
    </w:p>
    <w:bookmarkEnd w:id="20"/>
    <w:bookmarkStart w:id="29" w:name="mpx-nyc-marketing-and-communication"/>
    <w:p>
      <w:pPr>
        <w:pStyle w:val="Heading3"/>
      </w:pPr>
      <w:r>
        <w:t xml:space="preserve">MPX NYC marketing and communication</w:t>
      </w:r>
    </w:p>
    <w:p>
      <w:pPr>
        <w:pStyle w:val="FirstParagraph"/>
      </w:pPr>
      <w:r>
        <w:t xml:space="preserve">To maximize the speed of recruitment, we invested in a bilingual, culturally competent communication campaign in collaboration with a marketing agency. The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playfully uses emojis that have sexual connotations in queer and trans communities, and that integrates LGBT social media influencers as a communication channel.</w:t>
      </w:r>
    </w:p>
    <w:tbl>
      <w:tblPr>
        <w:tblStyle w:val="Table"/>
        <w:tblW w:type="pct" w:w="5000"/>
        <w:tblLook w:firstRow="0" w:lastRow="0" w:firstColumn="0" w:lastColumn="0" w:noHBand="0" w:noVBand="0" w:val="0000"/>
        <w:jc w:val="start"/>
      </w:tblPr>
      <w:tblGrid>
        <w:gridCol w:w="7920"/>
      </w:tblGrid>
      <w:tr>
        <w:tc>
          <w:tcPr/>
          <w:bookmarkStart w:id="24" w:name="fig-requirements"/>
          <w:p>
            <w:pPr>
              <w:jc w:val="center"/>
            </w:pPr>
            <w:r>
              <w:drawing>
                <wp:inline>
                  <wp:extent cx="5334000" cy="2764335"/>
                  <wp:effectExtent b="0" l="0" r="0" t="0"/>
                  <wp:docPr descr="" title="" id="22" name="Picture"/>
                  <a:graphic>
                    <a:graphicData uri="http://schemas.openxmlformats.org/drawingml/2006/picture">
                      <pic:pic>
                        <pic:nvPicPr>
                          <pic:cNvPr descr="images/clipboard-2397454480.png" id="23" name="Picture"/>
                          <pic:cNvPicPr>
                            <a:picLocks noChangeArrowheads="1" noChangeAspect="1"/>
                          </pic:cNvPicPr>
                        </pic:nvPicPr>
                        <pic:blipFill>
                          <a:blip r:embed="rId21"/>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4"/>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w:t>
      </w:r>
    </w:p>
    <w:p>
      <w:pPr>
        <w:pStyle w:val="BodyText"/>
      </w:pPr>
      <w:r>
        <w:t xml:space="preserve">Marketing materials were developed based on the concept. 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8" w:name="fig-options"/>
          <w:p>
            <w:pPr>
              <w:jc w:val="center"/>
            </w:pPr>
            <w:r>
              <w:drawing>
                <wp:inline>
                  <wp:extent cx="5334000" cy="3144643"/>
                  <wp:effectExtent b="0" l="0" r="0" t="0"/>
                  <wp:docPr descr="" title="" id="26" name="Picture"/>
                  <a:graphic>
                    <a:graphicData uri="http://schemas.openxmlformats.org/drawingml/2006/picture">
                      <pic:pic>
                        <pic:nvPicPr>
                          <pic:cNvPr descr="images/clipboard-22126019.png" id="27" name="Picture"/>
                          <pic:cNvPicPr>
                            <a:picLocks noChangeArrowheads="1" noChangeAspect="1"/>
                          </pic:cNvPicPr>
                        </pic:nvPicPr>
                        <pic:blipFill>
                          <a:blip r:embed="rId25"/>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8"/>
        </w:tc>
      </w:tr>
    </w:tbl>
    <w:bookmarkEnd w:id="29"/>
    <w:bookmarkStart w:id="34" w:name="novel-spatial-data-collection-tool"/>
    <w:p>
      <w:pPr>
        <w:pStyle w:val="Heading3"/>
      </w:pPr>
      <w:r>
        <w:t xml:space="preserve">Novel spatial data collection tool</w:t>
      </w:r>
    </w:p>
    <w:p>
      <w:pPr>
        <w:pStyle w:val="FirstParagraph"/>
      </w:pPr>
      <w:r>
        <w:t xml:space="preserve">To encourage disclosure of sensitive information related to sex, health status, and physical location, we were careful not to collect information that could be used to identify participants once study data become available to external researchers. For instance, age was collected as an ordinal variable (using 10-year bands) rather than as an integer.</w:t>
      </w:r>
    </w:p>
    <w:p>
      <w:pPr>
        <w:pStyle w:val="BodyText"/>
      </w:pPr>
      <w:r>
        <w:t xml:space="preserve">To collect information on important physical locations, we designed, tested, and implemented a novel online survey instrument which captures rich spatial data while protecting participant anonymity. It does this by coarsening the spatial data to the census tract level before it is transmitted from the participant’s device to the study database.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includes a search bar (see</w:t>
      </w:r>
      <w:r>
        <w:t xml:space="preserve"> </w:t>
      </w:r>
      <w:hyperlink w:anchor="fig-mapinputformat">
        <w:r>
          <w:rPr>
            <w:rStyle w:val="Hyperlink"/>
          </w:rPr>
          <w:t xml:space="preserve">Figure 3</w:t>
        </w:r>
      </w:hyperlink>
      <w:r>
        <w:t xml:space="preserve">). This interface was chosen to avoid eliciting addresses or zip-codes for places other than participants’ residence, which are more difficult to remember than the name of a location, its approximate address, cross streets, neighborhood, or any of the parameters admitted by the google maps search engine. We did this to maximize data completeness.</w:t>
      </w:r>
    </w:p>
    <w:p>
      <w:pPr>
        <w:pStyle w:val="BodyText"/>
      </w:pPr>
      <w:r>
        <w:t xml:space="preserve">Participants enter elicited places by tapping on the displayed map. For each tap, a pop-up window with a series of questions about that place is triggered, and a marker is displayed. The spatial and response data are saved as part of the participant’s survey record.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for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3" w:name="fig-mapinputformat"/>
          <w:p>
            <w:pPr>
              <w:jc w:val="center"/>
            </w:pPr>
            <w:r>
              <w:drawing>
                <wp:inline>
                  <wp:extent cx="5334000" cy="2978357"/>
                  <wp:effectExtent b="0" l="0" r="0" t="0"/>
                  <wp:docPr descr="" title="" id="31" name="Picture"/>
                  <a:graphic>
                    <a:graphicData uri="http://schemas.openxmlformats.org/drawingml/2006/picture">
                      <pic:pic>
                        <pic:nvPicPr>
                          <pic:cNvPr descr="images/clipboard-1908474363.png" id="32" name="Picture"/>
                          <pic:cNvPicPr>
                            <a:picLocks noChangeArrowheads="1" noChangeAspect="1"/>
                          </pic:cNvPicPr>
                        </pic:nvPicPr>
                        <pic:blipFill>
                          <a:blip r:embed="rId30"/>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3"/>
        </w:tc>
      </w:tr>
    </w:tbl>
    <w:bookmarkEnd w:id="34"/>
    <w:bookmarkStart w:id="35" w:name="inclusion-and-exclusion-criteria"/>
    <w:p>
      <w:pPr>
        <w:pStyle w:val="Heading3"/>
      </w:pPr>
      <w:r>
        <w:t xml:space="preserve">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5"/>
    <w:bookmarkStart w:id="36" w:name="translation"/>
    <w:p>
      <w:pPr>
        <w:pStyle w:val="Heading3"/>
      </w:pPr>
      <w:r>
        <w:t xml:space="preserve">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6"/>
    <w:bookmarkStart w:id="37" w:name="ethical-review"/>
    <w:p>
      <w:pPr>
        <w:pStyle w:val="Heading3"/>
      </w:pPr>
      <w:r>
        <w:t xml:space="preserve">Ethical Review</w:t>
      </w:r>
    </w:p>
    <w:p>
      <w:pPr>
        <w:pStyle w:val="FirstParagraph"/>
      </w:pPr>
      <w:r>
        <w:t xml:space="preserve">The study was reviewed and approved by the T.H. Chan School of Public Health Institutional Review Board (IRB22-0761).</w:t>
      </w:r>
    </w:p>
    <w:bookmarkEnd w:id="37"/>
    <w:bookmarkEnd w:id="38"/>
    <w:bookmarkStart w:id="41" w:name="measures"/>
    <w:p>
      <w:pPr>
        <w:pStyle w:val="Heading2"/>
      </w:pPr>
      <w:r>
        <w:t xml:space="preserve">Measures</w:t>
      </w:r>
    </w:p>
    <w:bookmarkStart w:id="39" w:name="participant-characteristics"/>
    <w:p>
      <w:pPr>
        <w:pStyle w:val="Heading3"/>
      </w:pPr>
      <w:r>
        <w:t xml:space="preserve">Participant characteristics</w:t>
      </w:r>
    </w:p>
    <w:p>
      <w:pPr>
        <w:pStyle w:val="FirstParagraph"/>
      </w:pPr>
      <w:r>
        <w:t xml:space="preserve">The brief (5 minute) questionnaire was implemented in English and Spanish. It measured participant demographics; location of primary residence; social and sexual connections to queer or transgender community; health status; utilization of health services; STI-related symptoms, and mpox vaccination status (See Table 1).</w:t>
      </w:r>
    </w:p>
    <w:p>
      <w:pPr>
        <w:pStyle w:val="BodyText"/>
      </w:pPr>
      <w:r>
        <w:t xml:space="preserve">All participants were asked whether they had physical and sexual contact in a setting with two or more other people in the four weeks preceding the survey. We refer to this as</w:t>
      </w:r>
      <w:r>
        <w:t xml:space="preserve"> </w:t>
      </w:r>
      <w:r>
        <w:t xml:space="preserve">“</w:t>
      </w:r>
      <w:r>
        <w:t xml:space="preserve">group contact</w:t>
      </w:r>
      <w:r>
        <w:t xml:space="preserve">”</w:t>
      </w:r>
      <w:r>
        <w:t xml:space="preserve"> </w:t>
      </w:r>
      <w:r>
        <w:t xml:space="preserve">below. Those who answered yes were asked to enter the locations of these settings, which we refer to as</w:t>
      </w:r>
      <w:r>
        <w:t xml:space="preserve"> </w:t>
      </w:r>
      <w:r>
        <w:t xml:space="preserve">“</w:t>
      </w:r>
      <w:r>
        <w:t xml:space="preserve">contact venues</w:t>
      </w:r>
      <w:r>
        <w:t xml:space="preserve">”</w:t>
      </w:r>
      <w:r>
        <w:t xml:space="preserve"> </w:t>
      </w:r>
      <w:r>
        <w:t xml:space="preserve">below.</w:t>
      </w:r>
    </w:p>
    <w:bookmarkEnd w:id="39"/>
    <w:bookmarkStart w:id="40" w:name="contact-venues-and-characteristics"/>
    <w:p>
      <w:pPr>
        <w:pStyle w:val="Heading3"/>
      </w:pPr>
      <w:r>
        <w:t xml:space="preserve">Contact venues and characteristics</w:t>
      </w:r>
    </w:p>
    <w:p>
      <w:pPr>
        <w:pStyle w:val="FirstParagraph"/>
      </w:pPr>
      <w:r>
        <w:t xml:space="preserve">Among participants who reported group contact (i.e. physical or sexual contact in a group setting in the preceding 4 weeks) we solicited the census tracts of the places at which the contact happened. We refer to these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bookmarkEnd w:id="40"/>
    <w:bookmarkEnd w:id="41"/>
    <w:bookmarkStart w:id="49" w:name="statistical-analysis"/>
    <w:p>
      <w:pPr>
        <w:pStyle w:val="Heading2"/>
      </w:pPr>
      <w:r>
        <w:t xml:space="preserve">Statistical Analysis</w:t>
      </w:r>
    </w:p>
    <w:bookmarkStart w:id="42" w:name="participant-characteristics-1"/>
    <w:p>
      <w:pPr>
        <w:pStyle w:val="Heading3"/>
      </w:pPr>
      <w:r>
        <w:t xml:space="preserve">Participant characteristics</w:t>
      </w:r>
    </w:p>
    <w:p>
      <w:pPr>
        <w:pStyle w:val="FirstParagraph"/>
      </w:pPr>
      <w:r>
        <w:t xml:space="preserve">To describe the study population, we cross-tabulated participant characteristics against group contact. We also visualized sexual orientation by a calculated variable called race-gender (see below).</w:t>
      </w:r>
    </w:p>
    <w:p>
      <w:pPr>
        <w:pStyle w:val="BodyText"/>
      </w:pPr>
      <w:r>
        <w:rPr>
          <w:u w:val="single"/>
        </w:rPr>
        <w:t xml:space="preserve">Gender identity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rPr>
          <w:u w:val="single"/>
        </w:rPr>
        <w:t xml:space="preserve">Race-gender</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42"/>
    <w:bookmarkStart w:id="43" w:name="contact-venue-characteristics"/>
    <w:p>
      <w:pPr>
        <w:pStyle w:val="Heading3"/>
      </w:pPr>
      <w:r>
        <w:t xml:space="preserve">Contact venue characteristics</w:t>
      </w:r>
    </w:p>
    <w:p>
      <w:pPr>
        <w:pStyle w:val="FirstParagraph"/>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3"/>
    <w:bookmarkStart w:id="44" w:name="participant-network-characteristics"/>
    <w:p>
      <w:pPr>
        <w:pStyle w:val="Heading3"/>
      </w:pPr>
      <w:r>
        <w:t xml:space="preserve">Participant network characteristics</w:t>
      </w:r>
    </w:p>
    <w:p>
      <w:pPr>
        <w:pStyle w:val="FirstParagraph"/>
      </w:pPr>
      <w:r>
        <w:t xml:space="preserve">To understand how the population represented by MPX NYC study data are potentially connected through interactions in the physical spaces they live and socialize in, we constructed the MPX NYC participant network. This network has survey participants as nodes, and weighted ties that represent shared community districts. A weighted tie between two individuals indicates that they each have at least one residence or contact venue in a common community district. The weight is given by the count of community districts the pair share in this way.</w:t>
      </w:r>
    </w:p>
    <w:p>
      <w:pPr>
        <w:pStyle w:val="BodyText"/>
      </w:pPr>
      <w:r>
        <w:t xml:space="preserve">This network encodes the potential for a pair of individuals to make physical contact with one another in a way that would potentially transmit a pathogen. The more community districts they share, the more likely it is that they would transmit a pathogen, if one member of the pair was infected and the other was not.</w:t>
      </w:r>
    </w:p>
    <w:p>
      <w:pPr>
        <w:pStyle w:val="BodyText"/>
      </w:pPr>
      <w:r>
        <w:rPr>
          <w:u w:val="single"/>
        </w:rPr>
        <w:t xml:space="preserve">Proportion in largest connected component</w:t>
      </w:r>
    </w:p>
    <w:p>
      <w:pPr>
        <w:pStyle w:val="BodyText"/>
      </w:pPr>
      <w:r>
        <w:t xml:space="preserve">Of interest is the overall connectedness of the network. The better connected a network is, the more easily a pathogen could disseminate across the entire network.</w:t>
      </w:r>
    </w:p>
    <w:p>
      <w:pPr>
        <w:pStyle w:val="BodyText"/>
      </w:pPr>
      <w:r>
        <w:t xml:space="preserve">To assess connectedness, we calculated the proportion of nodes in the largest connected component (LCC) of the MPX NYC participant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w:t>
      </w:r>
    </w:p>
    <w:p>
      <w:pPr>
        <w:pStyle w:val="BodyText"/>
      </w:pPr>
      <w:r>
        <w:t xml:space="preserve">For this analysis, we consider a network with a larger LCC to be better connected than a network with a smaller LCC. This measure will be used to assess the impact of a hypothetical intervention to slow down the dissemination of a new pathogen (more described below).</w:t>
      </w:r>
    </w:p>
    <w:p>
      <w:pPr>
        <w:pStyle w:val="BodyText"/>
      </w:pPr>
      <w:r>
        <w:rPr>
          <w:u w:val="single"/>
        </w:rPr>
        <w:t xml:space="preserve">Spatial mixing coefficient</w:t>
      </w:r>
    </w:p>
    <w:p>
      <w:pPr>
        <w:pStyle w:val="BodyText"/>
      </w:pPr>
      <w:r>
        <w:t xml:space="preserve">The MPX NYC participant network can also be used to analyze the pattern of connection across different demographic groups. We did this using the spatial mixing coefficient, which we motivate and define below.</w:t>
      </w:r>
    </w:p>
    <w:p>
      <w:pPr>
        <w:pStyle w:val="BodyText"/>
      </w:pPr>
      <w:r>
        <w:t xml:space="preserve">Say there are three types of retired university professors in Boston - A) those who choose to live and socialize in neighborhoods with universities (where they can meet old colleagues and students); B) those who choose to live and socialize away from former colleagues and students; and C) those who choose neighborhoods without regard for university life. And say the proportion of people who are under 25 years of age in Boston is</w:t>
      </w:r>
      <w:r>
        <w:t xml:space="preserve"> </w:t>
      </w:r>
      <m:oMath>
        <m:r>
          <m:t>20</m:t>
        </m:r>
        <m:r>
          <m:rPr>
            <m:sty m:val="p"/>
          </m:rPr>
          <m:t>%</m:t>
        </m:r>
      </m:oMath>
      <w:r>
        <w:t xml:space="preserve"> </w:t>
      </w:r>
      <w:r>
        <w:t xml:space="preserve">and that the majority of this group are college students. People who are under 25 years of age would be over-represented in neighborhoods with college campuses and residences, and under-represented in those without.</w:t>
      </w:r>
    </w:p>
    <w:p>
      <w:pPr>
        <w:pStyle w:val="BodyText"/>
      </w:pPr>
      <w:r>
        <w:t xml:space="preserve">To understand what kind of retired professor a particular person is, you could ask her of all the peopple she encountered in the past 12 months, what proportion were under</w:t>
      </w:r>
      <w:r>
        <w:t xml:space="preserve"> </w:t>
      </w:r>
      <m:oMath>
        <m:r>
          <m:t>25</m:t>
        </m:r>
      </m:oMath>
      <w:r>
        <w:t xml:space="preserve">. If she is of type C, we would expect her answer to be about</w:t>
      </w:r>
      <w:r>
        <w:t xml:space="preserve"> </w:t>
      </w:r>
      <m:oMath>
        <m:r>
          <m:t>20</m:t>
        </m:r>
        <m:r>
          <m:rPr>
            <m:sty m:val="p"/>
          </m:rPr>
          <m:t>%</m:t>
        </m:r>
      </m:oMath>
      <w:r>
        <w:t xml:space="preserve">. If she avoids universities (i.e. is of type B), the proportion would be lower than</w:t>
      </w:r>
      <w:r>
        <w:t xml:space="preserve"> </w:t>
      </w:r>
      <m:oMath>
        <m:r>
          <m:t>20</m:t>
        </m:r>
        <m:r>
          <m:rPr>
            <m:sty m:val="p"/>
          </m:rPr>
          <m:t>%</m:t>
        </m:r>
      </m:oMath>
      <w:r>
        <w:t xml:space="preserve"> </w:t>
      </w:r>
      <w:r>
        <w:t xml:space="preserve">and if she seeks them out (i.e. type A), her answer would be greater than</w:t>
      </w:r>
      <w:r>
        <w:t xml:space="preserve"> </w:t>
      </w:r>
      <m:oMath>
        <m:r>
          <m:t>20</m:t>
        </m:r>
        <m:r>
          <m:rPr>
            <m:sty m:val="p"/>
          </m:rPr>
          <m:t>%</m:t>
        </m:r>
      </m:oMath>
      <w:r>
        <w:t xml:space="preserve">.</w:t>
      </w:r>
    </w:p>
    <w:p>
      <w:pPr>
        <w:pStyle w:val="BodyText"/>
      </w:pPr>
      <w:r>
        <w:t xml:space="preserve">In the context of MPX NYC, we define the mixing ratio of subgroup</w:t>
      </w:r>
      <w:r>
        <w:t xml:space="preserve"> </w:t>
      </w:r>
      <m:oMath>
        <m:r>
          <m:t>a</m:t>
        </m:r>
      </m:oMath>
      <w:r>
        <w:t xml:space="preserve"> </w:t>
      </w:r>
      <w:r>
        <w:t xml:space="preserve">for subgroup</w:t>
      </w:r>
      <w:r>
        <w:t xml:space="preserve"> </w:t>
      </w:r>
      <m:oMath>
        <m:r>
          <m:t>b</m:t>
        </m:r>
      </m:oMath>
      <w:r>
        <w:t xml:space="preserve"> </w:t>
      </w:r>
      <w:r>
        <w:t xml:space="preserve">as the average preference of subgroup</w:t>
      </w:r>
      <w:r>
        <w:t xml:space="preserve"> </w:t>
      </w:r>
      <m:oMath>
        <m:r>
          <m:t>a</m:t>
        </m:r>
      </m:oMath>
      <w:r>
        <w:t xml:space="preserve"> </w:t>
      </w:r>
      <w:r>
        <w:t xml:space="preserve">for subgroup</w:t>
      </w:r>
      <w:r>
        <w:t xml:space="preserve"> </w:t>
      </w:r>
      <m:oMath>
        <m:r>
          <m:t>b</m:t>
        </m:r>
      </m:oMath>
      <w:r>
        <w:t xml:space="preserve"> </w:t>
      </w:r>
      <w:r>
        <w:t xml:space="preserve">divided by the prevalence of subgroup</w:t>
      </w:r>
      <w:r>
        <w:t xml:space="preserve"> </w:t>
      </w:r>
      <m:oMath>
        <m:r>
          <m:t>b</m:t>
        </m:r>
      </m:oMath>
      <w:r>
        <w:t xml:space="preserve">. For a given individual (node), preference for subgroup</w:t>
      </w:r>
      <w:r>
        <w:t xml:space="preserve"> </w:t>
      </w:r>
      <m:oMath>
        <m:r>
          <m:t>b</m:t>
        </m:r>
      </m:oMath>
      <w:r>
        <w:t xml:space="preserve"> </w:t>
      </w:r>
      <w:r>
        <w:t xml:space="preserve">is given by the number of alters in subgroup</w:t>
      </w:r>
      <w:r>
        <w:t xml:space="preserve"> </w:t>
      </w:r>
      <m:oMath>
        <m:r>
          <m:t>b</m:t>
        </m:r>
      </m:oMath>
      <w:r>
        <w:t xml:space="preserve"> </w:t>
      </w:r>
      <w:r>
        <w:t xml:space="preserve">divided by the total number of alters (an alter is any node connected to the node under consideration). The average preference of subgroup</w:t>
      </w:r>
      <w:r>
        <w:t xml:space="preserve"> </w:t>
      </w:r>
      <m:oMath>
        <m:r>
          <m:t>a</m:t>
        </m:r>
      </m:oMath>
      <w:r>
        <w:t xml:space="preserve"> </w:t>
      </w:r>
      <w:r>
        <w:t xml:space="preserve">for subgroup</w:t>
      </w:r>
      <w:r>
        <w:t xml:space="preserve"> </w:t>
      </w:r>
      <m:oMath>
        <m:r>
          <m:t>b</m:t>
        </m:r>
      </m:oMath>
      <w:r>
        <w:t xml:space="preserve"> </w:t>
      </w:r>
      <w:r>
        <w:t xml:space="preserve">is given by the sum of preferences among individuals in subgroup</w:t>
      </w:r>
      <w:r>
        <w:t xml:space="preserve"> </w:t>
      </w:r>
      <m:oMath>
        <m:r>
          <m:t>a</m:t>
        </m:r>
      </m:oMath>
      <w:r>
        <w:t xml:space="preserve"> </w:t>
      </w:r>
      <w:r>
        <w:t xml:space="preserve">divided by the size of subgroup</w:t>
      </w:r>
      <w:r>
        <w:t xml:space="preserve"> </w:t>
      </w:r>
      <m:oMath>
        <m:r>
          <m:t>a</m:t>
        </m:r>
      </m:oMath>
      <w:r>
        <w:t xml:space="preserve">. The spatial mixing coefficient is calculated as the spatial mixing ratio minus one.</w:t>
      </w:r>
    </w:p>
    <w:p>
      <w:pPr>
        <w:pStyle w:val="BodyText"/>
      </w:pPr>
      <w:r>
        <w:t xml:space="preserve">In the motivating example, we were soliciting the retired professor’s preference for the subgroup: under 25. We were then mentally comparing it with the prevalence of that subgroup (</w:t>
      </w:r>
      <m:oMath>
        <m:r>
          <m:t>20</m:t>
        </m:r>
        <m:r>
          <m:rPr>
            <m:sty m:val="p"/>
          </m:rPr>
          <m:t>%</m:t>
        </m:r>
      </m:oMath>
      <w:r>
        <w:t xml:space="preserve">). The spatial mixing coefficient makes this comparison by dividing preference by prevalence and subtracting 1. It is zero when contact venues and residences for a given subgroup are distributed in space independently of another; positive if members of the former subgroup tend to share community districts with those of the latter; and negative if they tend to not share community districts.</w:t>
      </w:r>
    </w:p>
    <w:p>
      <w:pPr>
        <w:pStyle w:val="BodyText"/>
      </w:pPr>
      <w:r>
        <w:t xml:space="preserve">The spatial mixing coefficient is related to notions in social network analysis and compartmental infectious disease modelling. The coefficient of a given sub-group for that same subgroup indicates homophily when it is positive, random mixing when it is zero, and heterophily when it is negative. It goes further by showing, in the case of heterophily, which subgroups members of the focal subgroup tend to be connected with. This is useful in early outbreak investigations as it allows the analyst to understand the potential path of a new pathogen across the population of interest. e.g. where there is strong homophily in the a network like the MPX NYC participant network, a new pathogen will tend to stay within the subgroup it first affected. If there is strong heterophily, on the other hand, the pathogen will tend to disseminate across groups favored by the first subgroup it affected.</w:t>
      </w:r>
    </w:p>
    <w:p>
      <w:pPr>
        <w:pStyle w:val="BodyText"/>
      </w:pPr>
      <w:r>
        <w:t xml:space="preserve">We calculated the spatial mixing coefficient across groups defined by age, sexual orientation, and race-gender.</w:t>
      </w:r>
    </w:p>
    <w:bookmarkEnd w:id="44"/>
    <w:bookmarkStart w:id="45" w:name="Xb87fb67380c6541b5c3bd7d0a20a8fc5371a42b"/>
    <w:p>
      <w:pPr>
        <w:pStyle w:val="Heading3"/>
      </w:pPr>
      <w:r>
        <w:t xml:space="preserve">Community district network characteristics</w:t>
      </w:r>
    </w:p>
    <w:p>
      <w:pPr>
        <w:pStyle w:val="FirstParagraph"/>
      </w:pPr>
      <w:r>
        <w:t xml:space="preserve">To understand how community districts represented in study data are connected through participants who have residences and contact venues across them, we constructed the MPX NYC community district network. This is a network with community districts as nodes. A weighted tie between two nodes indicates that the two community districts both have at least one MPX NYX participant who has a residence or community district in both places. The weight is given by the count of such individuals. For each node in the community district network, we define</w:t>
      </w:r>
      <w:r>
        <w:t xml:space="preserve"> </w:t>
      </w:r>
      <w:r>
        <w:rPr>
          <w:u w:val="single"/>
        </w:rPr>
        <w:t xml:space="preserve">community district centrality</w:t>
      </w:r>
      <w:r>
        <w:t xml:space="preserve"> </w:t>
      </w:r>
      <w:r>
        <w:t xml:space="preserve">as the weighted degree of the node. (i.e. the sum of the weights for all the ties connected to the node).</w:t>
      </w:r>
    </w:p>
    <w:bookmarkEnd w:id="45"/>
    <w:bookmarkStart w:id="48" w:name="responding-to-an-outbreak"/>
    <w:p>
      <w:pPr>
        <w:pStyle w:val="Heading3"/>
      </w:pPr>
      <w:r>
        <w:t xml:space="preserve">Responding to an outbreak</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the population represented by the MPX NYC dataset against a novel pathogen. We examine the impact of two different approaches to conducting the intervention on two population outcome measures of interest: immunization coverage, and population connectedness.</w:t>
      </w:r>
    </w:p>
    <w:bookmarkStart w:id="46" w:name="intervention-strategies"/>
    <w:p>
      <w:pPr>
        <w:pStyle w:val="Heading4"/>
      </w:pPr>
      <w:r>
        <w:t xml:space="preserve">Intervention strategies</w:t>
      </w:r>
    </w:p>
    <w:p>
      <w:pPr>
        <w:pStyle w:val="FirstParagraph"/>
      </w:pPr>
      <w:r>
        <w:t xml:space="preserve">In this hypothetical intervention, community districts are ordered by priority and are immunized one at a time, beginning with the highest priority community district. We assume that to immunize a community district is to immunize each individual who has a contact venue or residence in that community district. We assume that once a person is immunized, they are unable to acquire or transmit the pathogen, and we assume that everyone can only be immunized once.</w:t>
      </w:r>
    </w:p>
    <w:p>
      <w:pPr>
        <w:pStyle w:val="BodyText"/>
      </w:pPr>
      <w:r>
        <w:t xml:space="preserve">We assessed two strategies for prioritizing community districts: the contact-neutralizing strategy and the movement-neutralizing strategy.</w:t>
      </w:r>
    </w:p>
    <w:p>
      <w:pPr>
        <w:pStyle w:val="BodyText"/>
      </w:pPr>
      <w:r>
        <w:t xml:space="preserve">In the</w:t>
      </w:r>
      <w:r>
        <w:t xml:space="preserve"> </w:t>
      </w:r>
      <w:r>
        <w:rPr>
          <w:u w:val="single"/>
        </w:rPr>
        <w:t xml:space="preserve">contact-neutralizing</w:t>
      </w:r>
      <w:r>
        <w:t xml:space="preserve"> </w:t>
      </w:r>
      <w:r>
        <w:t xml:space="preserve">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 It attempts to immunize as many people in as few community districts as possible.</w:t>
      </w:r>
    </w:p>
    <w:p>
      <w:pPr>
        <w:pStyle w:val="BodyText"/>
      </w:pPr>
      <w:r>
        <w:t xml:space="preserve">In the</w:t>
      </w:r>
      <w:r>
        <w:t xml:space="preserve"> </w:t>
      </w:r>
      <w:r>
        <w:rPr>
          <w:u w:val="single"/>
        </w:rPr>
        <w:t xml:space="preserve">movement-neutralizing strategy</w:t>
      </w:r>
      <w:r>
        <w:t xml:space="preserve">, we rank community districts by their spatial centrality. This strategy prioritizes community districts with a high level of connection to other community districts for immunization. It attempts to immunize the community districts that are potential hubs for the dissemination of the pathogen across the city early to geographically contain the outbreak.</w:t>
      </w:r>
    </w:p>
    <w:bookmarkEnd w:id="46"/>
    <w:bookmarkStart w:id="47" w:name="intervention-outcomes"/>
    <w:p>
      <w:pPr>
        <w:pStyle w:val="Heading4"/>
      </w:pPr>
      <w:r>
        <w:t xml:space="preserve">Intervention outcomes</w:t>
      </w:r>
    </w:p>
    <w:p>
      <w:pPr>
        <w:pStyle w:val="FirstParagraph"/>
      </w:pPr>
      <w:r>
        <w:t xml:space="preserve">For each community district immunized, we updated the MPX NYC participant network by removing nodes that represent immunized individuals. We then calculated the two outcomes each time: spatial efficiency, and spatial network impact.</w:t>
      </w:r>
    </w:p>
    <w:p>
      <w:pPr>
        <w:pStyle w:val="BodyText"/>
      </w:pPr>
      <w:r>
        <w:rPr>
          <w:u w:val="single"/>
        </w:rPr>
        <w:t xml:space="preserve">Spatial efficiency</w:t>
      </w:r>
      <w:r>
        <w:t xml:space="preserve"> </w:t>
      </w:r>
      <w:r>
        <w:t xml:space="preserve">is defined as the total count of immunized individuals divided by the count of immunized community districts.</w:t>
      </w:r>
      <w:r>
        <w:t xml:space="preserve"> </w:t>
      </w:r>
      <w:r>
        <w:rPr>
          <w:u w:val="single"/>
        </w:rPr>
        <w:t xml:space="preserve">Spatial network impact</w:t>
      </w:r>
      <w:r>
        <w:t xml:space="preserve"> </w:t>
      </w:r>
      <w:r>
        <w:t xml:space="preserve">is defined as the proportion of individuals included in the largest connected component of the MPX NYC participant network.</w:t>
      </w:r>
    </w:p>
    <w:p>
      <w:pPr>
        <w:pStyle w:val="BodyText"/>
      </w:pPr>
      <w:r>
        <w:t xml:space="preserve">To illustrate differences in spatial efficiency across intervention strategies, we visualized the number of community districts it would take to immunize 33% of the population, and 66% of the population respectively. To illustrate differences in spatial network impact across intervention strategies, for each additional community district immunized, we plotted the proportions of individuals who are immunized, unimmunized and in the largest connected component, and unimmunized but outside of the largest connected component, respectively.</w:t>
      </w:r>
    </w:p>
    <w:bookmarkEnd w:id="47"/>
    <w:bookmarkEnd w:id="48"/>
    <w:bookmarkEnd w:id="49"/>
    <w:bookmarkEnd w:id="50"/>
    <w:bookmarkStart w:id="87" w:name="results"/>
    <w:p>
      <w:pPr>
        <w:pStyle w:val="Heading1"/>
      </w:pPr>
      <w:r>
        <w:t xml:space="preserve">Results</w:t>
      </w:r>
    </w:p>
    <w:bookmarkStart w:id="56" w:name="participants"/>
    <w:p>
      <w:pPr>
        <w:pStyle w:val="Heading2"/>
      </w:pPr>
      <w:r>
        <w:t xml:space="preserve">Participants</w:t>
      </w:r>
    </w:p>
    <w:p>
      <w:pPr>
        <w:pStyle w:val="FirstParagraph"/>
      </w:pPr>
      <w:r>
        <w:t xml:space="preserve">The MPX NYC survey was open from 30 August to 15 November, 2022, but recruited</w:t>
      </w:r>
      <w:r>
        <w:t xml:space="preserve"> </w:t>
      </w:r>
      <m:oMath>
        <m:r>
          <m:t>70</m:t>
        </m:r>
        <m:r>
          <m:rPr>
            <m:sty m:val="p"/>
          </m:rPr>
          <m:t>%</m:t>
        </m:r>
      </m:oMath>
      <w:r>
        <w:t xml:space="preserve"> </w:t>
      </w:r>
      <w:r>
        <w:t xml:space="preserve">participants in two 48 hour periods: half were recruited from 30 to 31 Aug, and another 20% from 10 to 11 September (see</w:t>
      </w:r>
      <w:r>
        <w:t xml:space="preserve"> </w:t>
      </w:r>
      <w:hyperlink w:anchor="fig-people-descriptives">
        <w:r>
          <w:rPr>
            <w:rStyle w:val="Hyperlink"/>
          </w:rPr>
          <w:t xml:space="preserve">Figure 4</w:t>
        </w:r>
      </w:hyperlink>
      <w:r>
        <w:t xml:space="preserve">). Over these periods, the MPX NYC recruitment advertisements were shown to users of Grindr in New York City upon logging on to the app.</w:t>
      </w:r>
    </w:p>
    <w:p>
      <w:pPr>
        <w:pStyle w:val="BodyText"/>
      </w:pPr>
      <w:r>
        <w:t xml:space="preserve">MPX NYC participants are demographically diverse.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of participants. Two-thirds of participants identified as gay, 14% as bisexual, and 12% as queer. Just under half of participants resided in the borough of Manhattan, and one third in Brooklyn.</w:t>
      </w:r>
    </w:p>
    <w:p>
      <w:pPr>
        <w:pStyle w:val="BodyText"/>
      </w:pPr>
      <w:r>
        <w:t xml:space="preserve">In terms of health status and health services, one in ten participants reported living with HIV - the overwhelming majority were virally suppressed. In addition, about 16% reported at least one STI symptom. Two out of five participants were on PrEP at the time they took the survey. Two-thirds had received the MPOX vaccine, though only 8% had received MPOX testing.</w:t>
      </w:r>
    </w:p>
    <w:tbl>
      <w:tblPr>
        <w:tblStyle w:val="Table"/>
        <w:tblW w:type="pct" w:w="5000"/>
        <w:tblLook w:firstRow="0" w:lastRow="0" w:firstColumn="0" w:lastColumn="0" w:noHBand="0" w:noVBand="0" w:val="0000"/>
        <w:jc w:val="start"/>
      </w:tblPr>
      <w:tblGrid>
        <w:gridCol w:w="7920"/>
      </w:tblGrid>
      <w:tr>
        <w:tc>
          <w:tcPr/>
          <w:bookmarkStart w:id="51"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1"/>
        </w:tc>
      </w:tr>
    </w:tbl>
    <w:p>
      <w:pPr>
        <w:pStyle w:val="BodyText"/>
      </w:pPr>
      <w:r>
        <w:t xml:space="preserve">This diversity of subgroups implies different strategies for communication, and possibly different health interventions. For instance, the sexual orientation of participants differed markedly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on the other hand, were most likely to identify as queer, followed by bisexual or gay. Transgender women tended to identify as straight, bisexual, or other sexual orientations. Cisgender women participants tended to be straight, followed by bisexual, followed by queer. For non-binary people, most identified as queer, followed by gay and bisexual.</w:t>
      </w:r>
    </w:p>
    <w:tbl>
      <w:tblPr>
        <w:tblStyle w:val="Table"/>
        <w:tblW w:type="pct" w:w="5000"/>
        <w:tblLook w:firstRow="0" w:lastRow="0" w:firstColumn="0" w:lastColumn="0" w:noHBand="0" w:noVBand="0" w:val="0000"/>
        <w:jc w:val="start"/>
      </w:tblPr>
      <w:tblGrid>
        <w:gridCol w:w="7920"/>
      </w:tblGrid>
      <w:tr>
        <w:tc>
          <w:tcPr/>
          <w:bookmarkStart w:id="55" w:name="fig-sexorientation-racegender"/>
          <w:p>
            <w:pPr>
              <w:jc w:val="center"/>
            </w:pPr>
            <w:r>
              <w:drawing>
                <wp:inline>
                  <wp:extent cx="5334000" cy="4533900"/>
                  <wp:effectExtent b="0" l="0" r="0" t="0"/>
                  <wp:docPr descr="" title="" id="53" name="Picture"/>
                  <a:graphic>
                    <a:graphicData uri="http://schemas.openxmlformats.org/drawingml/2006/picture">
                      <pic:pic>
                        <pic:nvPicPr>
                          <pic:cNvPr descr="_manuscript_files/figure-docx/fig-sexorientation-racegender-1.png" id="54" name="Picture"/>
                          <pic:cNvPicPr>
                            <a:picLocks noChangeArrowheads="1" noChangeAspect="1"/>
                          </pic:cNvPicPr>
                        </pic:nvPicPr>
                        <pic:blipFill>
                          <a:blip r:embed="rId52"/>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5"/>
        </w:tc>
      </w:tr>
    </w:tbl>
    <w:p>
      <w:pPr>
        <w:pStyle w:val="BodyText"/>
      </w:pPr>
      <w:r>
        <w:t xml:space="preserve">MPX NYC participants were deeply connected to queer and trans communities in New York City. About two-thirds reported being in recent (preceding 4 weeks) contact with 1 - 10 queer or trans friends. Only 20% reported not being in contact. About half of the participants had between 1 and 3 recent serial sex partnerships with one fifth reporting four or more partners. About one third of participants reported spending 16-30 minutes when traveling to a hookup while a third spent more than 30 minutes. Almost one in four participants reported having recent physical (non-sexual) contact with 2 or more individuals at the same time, and one third reported having had no contact. [DOUBLE CHECK]</w:t>
      </w:r>
    </w:p>
    <w:p>
      <w:pPr>
        <w:pStyle w:val="BodyText"/>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venues at which they had contact. These contact venues are examined in the next section.</w:t>
      </w:r>
    </w:p>
    <w:p>
      <w:pPr>
        <w:pStyle w:val="BodyText"/>
      </w:pPr>
      <w:r>
        <w:t xml:space="preserve">Participants who reported recent physical or sexual contact in a group setting (group contact) were slightly younger than those who did not. They were more likely to identify as gay and less likely to identify as straight. Surprisingly, they were less likely to have been recruited through a Grindr advertisement and more likely to have been recruited before the first Grindr pop-up advertisement on 30 August 2022.</w:t>
      </w:r>
    </w:p>
    <w:p>
      <w:pPr>
        <w:pStyle w:val="BodyText"/>
      </w:pPr>
      <w:r>
        <w:t xml:space="preserve">These participants did not differ from the rest in terms of HIV status or HIV viral suppression, but they were more likely to have at least one STI symptom, and showed higher utilization of PrEP, mpox testing, and mpox vaccine. They were more closely connected with the queer and trans community, reporting more contact with friends, more physical contact partners and more sexual contact partners. They spent more time travelling to hookups than participants who had not had recent contact in a group setting.</w:t>
      </w:r>
    </w:p>
    <w:bookmarkEnd w:id="56"/>
    <w:bookmarkStart w:id="61" w:name="contact-venues"/>
    <w:p>
      <w:pPr>
        <w:pStyle w:val="Heading2"/>
      </w:pPr>
      <w:r>
        <w:t xml:space="preserve">Contact venues</w:t>
      </w:r>
    </w:p>
    <w:p>
      <w:pPr>
        <w:pStyle w:val="FirstParagraph"/>
      </w:pPr>
      <w:r>
        <w:t xml:space="preserve">Of the</w:t>
      </w:r>
      <w:r>
        <w:t xml:space="preserve"> </w:t>
      </w:r>
      <m:oMath>
        <m:r>
          <m:t>604</m:t>
        </m:r>
      </m:oMath>
      <w:r>
        <w:t xml:space="preserve"> </w:t>
      </w:r>
      <w:r>
        <w:t xml:space="preserve">locations at which participant had physical or sexual contact in a group setting (contact venues), about two out of five were private residences, and about a quarter were dance parties. More than half of the contact venues were in Manhattan, while less than a third were in the Brooklyn. A quarter of all contact venues were in the same community as the participant’s residence,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(rather than non-sexual physical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further from home a contact venue was, the more likely it was to be a dance party.</w:t>
      </w:r>
    </w:p>
    <w:tbl>
      <w:tblPr>
        <w:tblStyle w:val="Table"/>
        <w:tblW w:type="pct" w:w="5000"/>
        <w:tblLook w:firstRow="0" w:lastRow="0" w:firstColumn="0" w:lastColumn="0" w:noHBand="0" w:noVBand="0" w:val="0000"/>
        <w:jc w:val="start"/>
      </w:tblPr>
      <w:tblGrid>
        <w:gridCol w:w="7920"/>
      </w:tblGrid>
      <w:tr>
        <w:tc>
          <w:tcPr/>
          <w:bookmarkStart w:id="60" w:name="fig-places-distance-sexcontact"/>
          <w:p>
            <w:pPr>
              <w:jc w:val="center"/>
            </w:pPr>
            <w:r>
              <w:drawing>
                <wp:inline>
                  <wp:extent cx="5334000" cy="5334000"/>
                  <wp:effectExtent b="0" l="0" r="0" t="0"/>
                  <wp:docPr descr="" title="" id="58" name="Picture"/>
                  <a:graphic>
                    <a:graphicData uri="http://schemas.openxmlformats.org/drawingml/2006/picture">
                      <pic:pic>
                        <pic:nvPicPr>
                          <pic:cNvPr descr="_manuscript_files/figure-docx/fig-places-distance-sexcontact-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0"/>
        </w:tc>
      </w:tr>
    </w:tbl>
    <w:bookmarkEnd w:id="61"/>
    <w:bookmarkStart w:id="70" w:name="movement"/>
    <w:p>
      <w:pPr>
        <w:pStyle w:val="Heading2"/>
      </w:pPr>
      <w:r>
        <w:t xml:space="preserve">Movement</w:t>
      </w:r>
    </w:p>
    <w:p>
      <w:pPr>
        <w:pStyle w:val="FirstParagraph"/>
      </w:pPr>
      <w:hyperlink w:anchor="fig-communities-bar">
        <w:r>
          <w:rPr>
            <w:rStyle w:val="Hyperlink"/>
          </w:rPr>
          <w:t xml:space="preserve">Figure 7</w:t>
        </w:r>
      </w:hyperlink>
      <w:r>
        <w:t xml:space="preserve"> </w:t>
      </w:r>
      <w:r>
        <w:t xml:space="preserve">shows the difference betweeen the proportion of primary residences in each community district and the proprotion of contact venues in each community district. It shows that within Brooklyn, Manhattan, and Queens, there is a small set of community districts which tend to be markedly over-represented among contact venues compared to their share of primary residences. These are BK01, MN05, and QN05, respectively.</w:t>
      </w:r>
    </w:p>
    <w:tbl>
      <w:tblPr>
        <w:tblStyle w:val="Table"/>
        <w:tblW w:type="pct" w:w="5000"/>
        <w:tblLook w:firstRow="0" w:lastRow="0" w:firstColumn="0" w:lastColumn="0" w:noHBand="0" w:noVBand="0" w:val="0000"/>
        <w:jc w:val="start"/>
      </w:tblPr>
      <w:tblGrid>
        <w:gridCol w:w="7920"/>
      </w:tblGrid>
      <w:tr>
        <w:tc>
          <w:tcPr/>
          <w:bookmarkStart w:id="65" w:name="fig-communities-bar"/>
          <w:p>
            <w:pPr>
              <w:jc w:val="center"/>
            </w:pPr>
            <w:r>
              <w:drawing>
                <wp:inline>
                  <wp:extent cx="5334000" cy="3733800"/>
                  <wp:effectExtent b="0" l="0" r="0" t="0"/>
                  <wp:docPr descr="" title="" id="63" name="Picture"/>
                  <a:graphic>
                    <a:graphicData uri="http://schemas.openxmlformats.org/drawingml/2006/picture">
                      <pic:pic>
                        <pic:nvPicPr>
                          <pic:cNvPr descr="_manuscript_files/figure-docx/fig-communities-bar-1.png" id="64" name="Picture"/>
                          <pic:cNvPicPr>
                            <a:picLocks noChangeArrowheads="1" noChangeAspect="1"/>
                          </pic:cNvPicPr>
                        </pic:nvPicPr>
                        <pic:blipFill>
                          <a:blip r:embed="rId62"/>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5"/>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69" w:name="fig-communities-movement"/>
          <w:p>
            <w:pPr>
              <w:jc w:val="center"/>
            </w:pPr>
            <w:r>
              <w:drawing>
                <wp:inline>
                  <wp:extent cx="5334000" cy="5334000"/>
                  <wp:effectExtent b="0" l="0" r="0" t="0"/>
                  <wp:docPr descr="" title="" id="67" name="Picture"/>
                  <a:graphic>
                    <a:graphicData uri="http://schemas.openxmlformats.org/drawingml/2006/picture">
                      <pic:pic>
                        <pic:nvPicPr>
                          <pic:cNvPr descr="_manuscript_files/figure-docx/fig-communities-movement-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69"/>
        </w:tc>
      </w:tr>
    </w:tbl>
    <w:bookmarkEnd w:id="70"/>
    <w:bookmarkStart w:id="75" w:name="spatial-mixing"/>
    <w:p>
      <w:pPr>
        <w:pStyle w:val="Heading2"/>
      </w:pPr>
      <w:r>
        <w:t xml:space="preserve">Spatial 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overlapping set of community districts with individuals whose characteristics are shown at the top.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4" w:name="fig-subgroup-mixing"/>
          <w:p>
            <w:pPr>
              <w:jc w:val="center"/>
            </w:pPr>
            <w:r>
              <w:drawing>
                <wp:inline>
                  <wp:extent cx="5334000" cy="7556500"/>
                  <wp:effectExtent b="0" l="0" r="0" t="0"/>
                  <wp:docPr descr="" title="" id="72" name="Picture"/>
                  <a:graphic>
                    <a:graphicData uri="http://schemas.openxmlformats.org/drawingml/2006/picture">
                      <pic:pic>
                        <pic:nvPicPr>
                          <pic:cNvPr descr="_manuscript_files/figure-docx/fig-subgroup-mixing-1.png" id="73" name="Picture"/>
                          <pic:cNvPicPr>
                            <a:picLocks noChangeArrowheads="1" noChangeAspect="1"/>
                          </pic:cNvPicPr>
                        </pic:nvPicPr>
                        <pic:blipFill>
                          <a:blip r:embed="rId71"/>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4"/>
        </w:tc>
      </w:tr>
    </w:tbl>
    <w:bookmarkEnd w:id="75"/>
    <w:bookmarkStart w:id="86" w:name="X2c0a35f27f96906d05b23efaecc1455a3cd85ce"/>
    <w:p>
      <w:pPr>
        <w:pStyle w:val="Heading2"/>
      </w:pPr>
      <w:r>
        <w:t xml:space="preserve">Impact of hypothetical outbreak interventions</w:t>
      </w:r>
    </w:p>
    <w:bookmarkStart w:id="80" w:name="spatial-efficiency"/>
    <w:p>
      <w:pPr>
        <w:pStyle w:val="Heading3"/>
      </w:pPr>
      <w:r>
        <w:t xml:space="preserve">Spatial efficiency</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 population (Group A + Group B) under both the contact-neutralizing and movement-neutralizing intervention strategies.</w:t>
      </w:r>
    </w:p>
    <w:p>
      <w:pPr>
        <w:pStyle w:val="BodyText"/>
      </w:pPr>
      <w:r>
        <w:t xml:space="preserve">Under the contact-neutralizing strategy, it would take five community districts to immunize 33% of the population. These are MN04, BK01, MN10, BK03, and QN01. To reach 66% of participants with the intervention, it would be necessary to immunize 13 community districts. The additional community districts would be MN12, BK04, MN02, BK08, MN07, MN09, BK02, and MN05.</w:t>
      </w:r>
    </w:p>
    <w:p>
      <w:pPr>
        <w:pStyle w:val="BodyText"/>
      </w:pPr>
      <w:r>
        <w:t xml:space="preserve">Under the movement-neutralizing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79" w:name="fig-hiimpact-communities"/>
          <w:p>
            <w:pPr>
              <w:jc w:val="center"/>
            </w:pPr>
            <w:r>
              <w:drawing>
                <wp:inline>
                  <wp:extent cx="5334000" cy="4267200"/>
                  <wp:effectExtent b="0" l="0" r="0" t="0"/>
                  <wp:docPr descr="" title="" id="77" name="Picture"/>
                  <a:graphic>
                    <a:graphicData uri="http://schemas.openxmlformats.org/drawingml/2006/picture">
                      <pic:pic>
                        <pic:nvPicPr>
                          <pic:cNvPr descr="_manuscript_files/figure-docx/fig-hiimpact-communities-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movement-neutralizing strategy</w:t>
            </w:r>
          </w:p>
          <w:bookmarkEnd w:id="79"/>
        </w:tc>
      </w:tr>
    </w:tbl>
    <w:bookmarkEnd w:id="80"/>
    <w:bookmarkStart w:id="85" w:name="spatial-network-impact"/>
    <w:p>
      <w:pPr>
        <w:pStyle w:val="Heading3"/>
      </w:pPr>
      <w:r>
        <w:t xml:space="preserve">Spatial network impact</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movement-neutralizing strategy, the proportion of the population included in the largest connected component declines more sharply than for the contact-neutralizing strategy as more community districts are immunized. In the contact-neutralizing strategy, the overall proportion of unvaccinated individuals declines more sharply than in the movement-neutralizing strategy. There is not a noticeable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4" w:name="fig-netimpact"/>
          <w:p>
            <w:pPr>
              <w:jc w:val="center"/>
            </w:pPr>
            <w:r>
              <w:drawing>
                <wp:inline>
                  <wp:extent cx="5334000" cy="3333750"/>
                  <wp:effectExtent b="0" l="0" r="0" t="0"/>
                  <wp:docPr descr="" title="" id="82" name="Picture"/>
                  <a:graphic>
                    <a:graphicData uri="http://schemas.openxmlformats.org/drawingml/2006/picture">
                      <pic:pic>
                        <pic:nvPicPr>
                          <pic:cNvPr descr="_manuscript_files/figure-docx/fig-netimpact-1.png" id="83" name="Picture"/>
                          <pic:cNvPicPr>
                            <a:picLocks noChangeArrowheads="1" noChangeAspect="1"/>
                          </pic:cNvPicPr>
                        </pic:nvPicPr>
                        <pic:blipFill>
                          <a:blip r:embed="rId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4"/>
        </w:tc>
      </w:tr>
    </w:tbl>
    <w:bookmarkEnd w:id="85"/>
    <w:bookmarkEnd w:id="86"/>
    <w:bookmarkEnd w:id="87"/>
    <w:bookmarkStart w:id="132" w:name="technical-appendix"/>
    <w:p>
      <w:pPr>
        <w:pStyle w:val="Heading1"/>
      </w:pPr>
      <w:r>
        <w:t xml:space="preserve">Technical Appendix</w:t>
      </w:r>
    </w:p>
    <w:bookmarkStart w:id="114" w:name="mpx-nyc-spatial-participant-network-data"/>
    <w:p>
      <w:pPr>
        <w:pStyle w:val="Heading2"/>
      </w:pPr>
      <w:r>
        <w:t xml:space="preserve">MPX NYC spatial participant network data</w:t>
      </w:r>
    </w:p>
    <w:tbl>
      <w:tblPr>
        <w:tblStyle w:val="Table"/>
        <w:tblW w:type="pct" w:w="5000"/>
        <w:tblLook w:firstRow="0" w:lastRow="0" w:firstColumn="0" w:lastColumn="0" w:noHBand="0" w:noVBand="0" w:val="0000"/>
        <w:jc w:val="start"/>
      </w:tblPr>
      <w:tblGrid>
        <w:gridCol w:w="7920"/>
      </w:tblGrid>
      <w:tr>
        <w:tc>
          <w:tcPr/>
          <w:bookmarkStart w:id="91" w:name="fig-data"/>
          <w:p>
            <w:pPr>
              <w:jc w:val="center"/>
            </w:pPr>
            <w:r>
              <w:drawing>
                <wp:inline>
                  <wp:extent cx="5334000" cy="3333750"/>
                  <wp:effectExtent b="0" l="0" r="0" t="0"/>
                  <wp:docPr descr="" title="" id="89" name="Picture"/>
                  <a:graphic>
                    <a:graphicData uri="http://schemas.openxmlformats.org/drawingml/2006/picture">
                      <pic:pic>
                        <pic:nvPicPr>
                          <pic:cNvPr descr="_manuscript_files/figure-docx/fig-data-1.png" id="90" name="Picture"/>
                          <pic:cNvPicPr>
                            <a:picLocks noChangeArrowheads="1" noChangeAspect="1"/>
                          </pic:cNvPicPr>
                        </pic:nvPicPr>
                        <pic:blipFill>
                          <a:blip r:embed="rId8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MPX NYC spatial participant network data</w:t>
            </w:r>
          </w:p>
          <w:bookmarkEnd w:id="91"/>
        </w:tc>
      </w:tr>
    </w:tbl>
    <w:bookmarkStart w:id="94" w:name="description"/>
    <w:p>
      <w:pPr>
        <w:pStyle w:val="Heading4"/>
      </w:pPr>
      <w:r>
        <w:t xml:space="preserve">Description</w:t>
      </w:r>
    </w:p>
    <w:bookmarkStart w:id="92" w:name="tbl-example-bipartite-nod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p>
      <w:pPr>
        <w:pStyle w:val="FirstParagraph"/>
      </w:pPr>
      <w:r>
        <w:rPr>
          <w:bCs/>
          <w:b/>
        </w:rPr>
        <w:t xml:space="preserve">?(caption)</w:t>
      </w:r>
    </w:p>
    <w:bookmarkEnd w:id="92"/>
    <w:bookmarkStart w:id="93" w:name="tbl-example-bipartite-edg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from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to</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bl>
    <w:p>
      <w:pPr>
        <w:pStyle w:val="BodyText"/>
      </w:pPr>
      <w:r>
        <w:rPr>
          <w:bCs/>
          <w:b/>
        </w:rPr>
        <w:t xml:space="preserve">?(caption)</w:t>
      </w:r>
    </w:p>
    <w:bookmarkEnd w:id="93"/>
    <w:p>
      <w:pPr>
        <w:pStyle w:val="BodyText"/>
      </w:pPr>
      <w:r>
        <w:t xml:space="preserve">The MPX NYC spatial participant data network is a network object that contains all collected data. In this network, nodes comprise of community districts and survey participants. Edges can only exist between a person and a communtiy district - they indicate that the person either lives in or has a contact place in that community district. In</w:t>
      </w:r>
      <w:r>
        <w:t xml:space="preserve"> </w:t>
      </w:r>
      <w:hyperlink w:anchor="fig-data">
        <w:r>
          <w:rPr>
            <w:rStyle w:val="Hyperlink"/>
          </w:rPr>
          <w:t xml:space="preserve">Figure 12</w:t>
        </w:r>
      </w:hyperlink>
      <w:r>
        <w:t xml:space="preserve">, participant nodes are blue and community district nodes are pink. e.g. Participants 4, 5, 7, 8 each have a residence or contact venue in community district C. Participant 3 has one contact venues or residence in each of community districts A, B, and two contact venues or a residence and a contact venue in community district E.</w:t>
      </w:r>
    </w:p>
    <w:bookmarkEnd w:id="94"/>
    <w:bookmarkStart w:id="95" w:name="definition"/>
    <w:p>
      <w:pPr>
        <w:pStyle w:val="Heading4"/>
      </w:pPr>
      <w:r>
        <w:t xml:space="preserve">Definition</w:t>
      </w:r>
    </w:p>
    <w:p>
      <w:pPr>
        <w:pStyle w:val="FirstParagraph"/>
      </w:pPr>
      <w:r>
        <w:t xml:space="preserve">We define the MPX NYC spatial participant graph as</w:t>
      </w:r>
    </w:p>
    <w:p>
      <w:pPr>
        <w:pStyle w:val="BodyText"/>
      </w:pPr>
      <m:oMathPara>
        <m:oMathParaPr>
          <m:jc m:val="center"/>
        </m:oMathParaPr>
        <m:oMath>
          <m:r>
            <m:t>G</m:t>
          </m:r>
          <m:d>
            <m:dPr>
              <m:begChr m:val="("/>
              <m:endChr m:val=")"/>
              <m:sepChr m:val=""/>
              <m:grow/>
            </m:dPr>
            <m:e>
              <m:r>
                <m:t>N</m:t>
              </m:r>
              <m:r>
                <m:rPr>
                  <m:sty m:val="p"/>
                </m:rPr>
                <m:t>,</m:t>
              </m:r>
              <m:r>
                <m:t>ψ</m:t>
              </m:r>
            </m:e>
          </m:d>
          <m:r>
            <m:rPr>
              <m:nor/>
              <m:sty m:val="p"/>
            </m:rPr>
            <m:t> where </m:t>
          </m:r>
          <m:r>
            <m:t>ψ</m:t>
          </m:r>
          <m:r>
            <m:rPr>
              <m:sty m:val="p"/>
            </m:rPr>
            <m:t>:</m:t>
          </m:r>
          <m:r>
            <m:t>N</m:t>
          </m:r>
          <m:r>
            <m:rPr>
              <m:sty m:val="p"/>
            </m:rPr>
            <m:t>×</m:t>
          </m:r>
          <m:r>
            <m:t>N</m:t>
          </m:r>
          <m:r>
            <m:rPr>
              <m:sty m:val="p"/>
            </m:rPr>
            <m:t>→</m:t>
          </m:r>
          <m:sSub>
            <m:e>
              <m:r>
                <m:rPr>
                  <m:sty m:val="p"/>
                  <m:scr m:val="double-struck"/>
                </m:rPr>
                <m:t>N</m:t>
              </m:r>
            </m:e>
            <m:sub>
              <m:r>
                <m:t>0</m:t>
              </m:r>
            </m:sub>
          </m:sSub>
        </m:oMath>
      </m:oMathPara>
    </w:p>
    <w:p>
      <w:pPr>
        <w:pStyle w:val="FirstParagraph"/>
      </w:pPr>
      <m:oMath>
        <m:r>
          <m:t>N</m:t>
        </m:r>
      </m:oMath>
      <w:r>
        <w:t xml:space="preserve"> </w:t>
      </w:r>
      <w:r>
        <w:t xml:space="preserve">is a set containing node indices and</w:t>
      </w:r>
      <w:r>
        <w:t xml:space="preserve"> </w:t>
      </w:r>
      <m:oMath>
        <m:r>
          <m:t>ψ</m:t>
        </m:r>
      </m:oMath>
      <w:r>
        <w:t xml:space="preserve"> </w:t>
      </w:r>
      <w:r>
        <w:t xml:space="preserve">(the adjacency function for</w:t>
      </w:r>
      <w:r>
        <w:t xml:space="preserve"> </w:t>
      </w:r>
      <m:oMath>
        <m:r>
          <m:t>G</m:t>
        </m:r>
      </m:oMath>
      <w:r>
        <w:t xml:space="preserve">) is a mapping from each possible pair of nodes to the set of non-negative integers.</w:t>
      </w:r>
      <w:r>
        <w:t xml:space="preserve"> </w:t>
      </w:r>
      <m:oMath>
        <m:r>
          <m:t>ψ</m:t>
        </m:r>
        <m:d>
          <m:dPr>
            <m:begChr m:val="("/>
            <m:endChr m:val=")"/>
            <m:sepChr m:val=""/>
            <m:grow/>
          </m:dPr>
          <m:e>
            <m:r>
              <m:t>a</m:t>
            </m:r>
            <m:r>
              <m:rPr>
                <m:sty m:val="p"/>
              </m:rPr>
              <m:t>,</m:t>
            </m:r>
            <m:r>
              <m:t>b</m:t>
            </m:r>
          </m:e>
        </m:d>
        <m:r>
          <m:rPr>
            <m:sty m:val="p"/>
          </m:rPr>
          <m:t>=</m:t>
        </m:r>
        <m:r>
          <m:t>0</m:t>
        </m:r>
      </m:oMath>
      <w:r>
        <w:t xml:space="preserve"> </w:t>
      </w:r>
      <w:r>
        <w:t xml:space="preserve">when there is no edge between distinct nodes</w:t>
      </w:r>
      <w:r>
        <w:t xml:space="preserve"> </w:t>
      </w:r>
      <m:oMath>
        <m:r>
          <m:t>a</m:t>
        </m:r>
        <m:r>
          <m:rPr>
            <m:sty m:val="p"/>
          </m:rPr>
          <m:t>,</m:t>
        </m:r>
        <m:r>
          <m:t>b</m:t>
        </m:r>
        <m:r>
          <m:rPr>
            <m:sty m:val="p"/>
          </m:rPr>
          <m:t>∈</m:t>
        </m:r>
        <m:r>
          <m:t>N</m:t>
        </m:r>
      </m:oMath>
      <w:r>
        <w:t xml:space="preserve"> </w:t>
      </w:r>
      <w:r>
        <w:t xml:space="preserve">and</w:t>
      </w:r>
      <w:r>
        <w:t xml:space="preserve"> </w:t>
      </w:r>
      <m:oMath>
        <m:r>
          <m:t>ψ</m:t>
        </m:r>
        <m:d>
          <m:dPr>
            <m:begChr m:val="("/>
            <m:endChr m:val=")"/>
            <m:sepChr m:val=""/>
            <m:grow/>
          </m:dPr>
          <m:e>
            <m:r>
              <m:t>a</m:t>
            </m:r>
            <m:r>
              <m:rPr>
                <m:sty m:val="p"/>
              </m:rPr>
              <m:t>,</m:t>
            </m:r>
            <m:r>
              <m:t>b</m:t>
            </m:r>
          </m:e>
        </m:d>
        <m:r>
          <m:rPr>
            <m:sty m:val="p"/>
          </m:rPr>
          <m:t>&gt;</m:t>
        </m:r>
        <m:r>
          <m:t>0</m:t>
        </m:r>
      </m:oMath>
      <w:r>
        <w:t xml:space="preserve"> </w:t>
      </w:r>
      <w:r>
        <w:t xml:space="preserve">if there is. By definition, a node cannot have an edge with itself. i.e. </w:t>
      </w:r>
      <m:oMath>
        <m:r>
          <m:t>ψ</m:t>
        </m:r>
        <m:d>
          <m:dPr>
            <m:begChr m:val="("/>
            <m:endChr m:val=")"/>
            <m:sepChr m:val=""/>
            <m:grow/>
          </m:dPr>
          <m:e>
            <m:r>
              <m:t>a</m:t>
            </m:r>
            <m:r>
              <m:rPr>
                <m:sty m:val="p"/>
              </m:rPr>
              <m:t>,</m:t>
            </m:r>
            <m:r>
              <m:t>a</m:t>
            </m:r>
          </m:e>
        </m:d>
        <m:r>
          <m:rPr>
            <m:sty m:val="p"/>
          </m:rPr>
          <m:t>=</m:t>
        </m:r>
        <m:r>
          <m:t>0</m:t>
        </m:r>
      </m:oMath>
      <w:r>
        <w:t xml:space="preserve"> </w:t>
      </w:r>
      <m:oMath>
        <m:r>
          <m:rPr>
            <m:sty m:val="p"/>
          </m:rPr>
          <m:t>∀</m:t>
        </m:r>
        <m:r>
          <m:t>a</m:t>
        </m:r>
        <m:r>
          <m:rPr>
            <m:sty m:val="p"/>
          </m:rPr>
          <m:t>∈</m:t>
        </m:r>
        <m:r>
          <m:t>N</m:t>
        </m:r>
      </m:oMath>
      <w:r>
        <w:t xml:space="preserve">.</w:t>
      </w:r>
    </w:p>
    <w:p>
      <w:pPr>
        <w:pStyle w:val="BodyText"/>
      </w:pPr>
      <w:r>
        <w:t xml:space="preserve">In the MPX NYC spatial participant graph, nodes can be partitioned into a set of study participants</w:t>
      </w:r>
      <w:r>
        <w:t xml:space="preserve"> </w:t>
      </w:r>
      <m:oMath>
        <m:sSub>
          <m:e>
            <m:r>
              <m:t>N</m:t>
            </m:r>
          </m:e>
          <m:sub>
            <m:r>
              <m:t>p</m:t>
            </m:r>
          </m:sub>
        </m:sSub>
      </m:oMath>
      <w:r>
        <w:t xml:space="preserve"> </w:t>
      </w:r>
      <w:r>
        <w:t xml:space="preserve">and a set of community districts</w:t>
      </w:r>
      <w:r>
        <w:t xml:space="preserve"> </w:t>
      </w:r>
      <m:oMath>
        <m:sSub>
          <m:e>
            <m:r>
              <m:t>N</m:t>
            </m:r>
          </m:e>
          <m:sub>
            <m:r>
              <m:t>c</m:t>
            </m:r>
          </m:sub>
        </m:sSub>
      </m:oMath>
      <w:r>
        <w:t xml:space="preserve">. i.e.</w:t>
      </w:r>
    </w:p>
    <w:p>
      <w:pPr>
        <w:pStyle w:val="BodyText"/>
      </w:pPr>
      <m:oMathPara>
        <m:oMathParaPr>
          <m:jc m:val="center"/>
        </m:oMathParaPr>
        <m:oMath>
          <m:sSub>
            <m:e>
              <m:r>
                <m:t>N</m:t>
              </m:r>
            </m:e>
            <m:sub>
              <m:r>
                <m:t>p</m:t>
              </m:r>
            </m:sub>
          </m:sSub>
          <m:r>
            <m:rPr>
              <m:sty m:val="p"/>
            </m:rPr>
            <m:t>∪</m:t>
          </m:r>
          <m:sSub>
            <m:e>
              <m:r>
                <m:t>N</m:t>
              </m:r>
            </m:e>
            <m:sub>
              <m:r>
                <m:t>c</m:t>
              </m:r>
            </m:sub>
          </m:sSub>
          <m:r>
            <m:rPr>
              <m:sty m:val="p"/>
            </m:rPr>
            <m:t>=</m:t>
          </m:r>
          <m:r>
            <m:t>N</m:t>
          </m:r>
          <m:r>
            <m:rPr>
              <m:nor/>
              <m:sty m:val="p"/>
            </m:rPr>
            <m:t> and </m:t>
          </m:r>
          <m:sSub>
            <m:e>
              <m:r>
                <m:t>N</m:t>
              </m:r>
            </m:e>
            <m:sub>
              <m:r>
                <m:t>p</m:t>
              </m:r>
            </m:sub>
          </m:sSub>
          <m:r>
            <m:rPr>
              <m:sty m:val="p"/>
            </m:rPr>
            <m:t>∩</m:t>
          </m:r>
          <m:sSub>
            <m:e>
              <m:r>
                <m:t>N</m:t>
              </m:r>
            </m:e>
            <m:sub>
              <m:r>
                <m:t>c</m:t>
              </m:r>
            </m:sub>
          </m:sSub>
          <m:r>
            <m:rPr>
              <m:sty m:val="p"/>
            </m:rPr>
            <m:t>=</m:t>
          </m:r>
          <m:r>
            <m:rPr>
              <m:sty m:val="p"/>
            </m:rPr>
            <m:t>∅</m:t>
          </m:r>
        </m:oMath>
      </m:oMathPara>
    </w:p>
    <w:p>
      <w:pPr>
        <w:pStyle w:val="FirstParagraph"/>
      </w:pPr>
      <w:r>
        <w:t xml:space="preserve">Each individual participant can have a relation with any number of community districts, but not with another participant. Similarly, each community district can have a relation with multiple participants, but not with another community district. i.e.:</w:t>
      </w:r>
    </w:p>
    <w:p>
      <w:pPr>
        <w:pStyle w:val="BodyText"/>
      </w:pPr>
      <m:oMathPara>
        <m:oMathParaPr>
          <m:jc m:val="center"/>
        </m:oMathParaPr>
        <m:oMath>
          <m:r>
            <m:t>ψ</m:t>
          </m:r>
          <m:d>
            <m:dPr>
              <m:begChr m:val="("/>
              <m:endChr m:val=")"/>
              <m:sepChr m:val=""/>
              <m:grow/>
            </m:dPr>
            <m:e>
              <m:r>
                <m:t>a</m:t>
              </m:r>
              <m:r>
                <m:rPr>
                  <m:sty m:val="p"/>
                </m:rPr>
                <m:t>,</m:t>
              </m:r>
              <m:r>
                <m:t>b</m:t>
              </m:r>
            </m:e>
          </m:d>
          <m:r>
            <m:rPr>
              <m:sty m:val="p"/>
            </m:rPr>
            <m:t>&gt;</m:t>
          </m:r>
          <m:r>
            <m:t>0</m:t>
          </m:r>
          <m:r>
            <m:rPr>
              <m:sty m:val="p"/>
            </m:rPr>
            <m:t>⇒</m:t>
          </m:r>
          <m:r>
            <m:t>a</m:t>
          </m:r>
          <m:r>
            <m:rPr>
              <m:sty m:val="p"/>
            </m:rPr>
            <m:t>∈</m:t>
          </m:r>
          <m:sSub>
            <m:e>
              <m:r>
                <m:t>N</m:t>
              </m:r>
            </m:e>
            <m:sub>
              <m:r>
                <m:t>p</m:t>
              </m:r>
            </m:sub>
          </m:sSub>
          <m:r>
            <m:rPr>
              <m:sty m:val="p"/>
            </m:rPr>
            <m:t>,</m:t>
          </m:r>
          <m:r>
            <m:t>b</m:t>
          </m:r>
          <m:r>
            <m:rPr>
              <m:sty m:val="p"/>
            </m:rPr>
            <m:t>∈</m:t>
          </m:r>
          <m:sSub>
            <m:e>
              <m:r>
                <m:t>N</m:t>
              </m:r>
            </m:e>
            <m:sub>
              <m:r>
                <m:t>c</m:t>
              </m:r>
            </m:sub>
          </m:sSub>
        </m:oMath>
      </m:oMathPara>
    </w:p>
    <w:p>
      <w:pPr>
        <w:pStyle w:val="FirstParagraph"/>
      </w:pPr>
      <w:r>
        <w:t xml:space="preserve">Finally, we define</w:t>
      </w:r>
      <w:r>
        <w:t xml:space="preserve"> </w:t>
      </w:r>
      <m:oMath>
        <m:r>
          <m:t>M</m:t>
        </m:r>
      </m:oMath>
      <w:r>
        <w:t xml:space="preserve"> </w:t>
      </w:r>
      <w:r>
        <w:t xml:space="preserve">as a</w:t>
      </w:r>
      <w:r>
        <w:t xml:space="preserve"> </w:t>
      </w:r>
      <m:oMath>
        <m:r>
          <m:t>q</m:t>
        </m:r>
        <m:r>
          <m:rPr>
            <m:sty m:val="p"/>
          </m:rPr>
          <m:t>×</m:t>
        </m:r>
        <m:r>
          <m:t>r</m:t>
        </m:r>
      </m:oMath>
      <w:r>
        <w:t xml:space="preserve"> </w:t>
      </w:r>
      <w:r>
        <w:t xml:space="preserve">weighted adjacency matrix for</w:t>
      </w:r>
      <w:r>
        <w:t xml:space="preserve"> </w:t>
      </w:r>
      <m:oMath>
        <m:r>
          <m:t>G</m:t>
        </m:r>
      </m:oMath>
      <w:r>
        <w:t xml:space="preserve"> </w:t>
      </w:r>
      <w:r>
        <w:t xml:space="preserve">where</w:t>
      </w:r>
      <w:r>
        <w:t xml:space="preserve"> </w:t>
      </w:r>
      <m:oMath>
        <m:r>
          <m:t>q</m:t>
        </m:r>
        <m:r>
          <m:rPr>
            <m:sty m:val="p"/>
          </m:rPr>
          <m:t>=</m:t>
        </m:r>
        <m:d>
          <m:dPr>
            <m:begChr m:val="|"/>
            <m:endChr m:val="|"/>
            <m:sepChr m:val=""/>
            <m:grow/>
          </m:dPr>
          <m:e>
            <m:sSub>
              <m:e>
                <m:r>
                  <m:t>N</m:t>
                </m:r>
              </m:e>
              <m:sub>
                <m:r>
                  <m:t>p</m:t>
                </m:r>
              </m:sub>
            </m:sSub>
          </m:e>
        </m:d>
      </m:oMath>
      <w:r>
        <w:t xml:space="preserve"> </w:t>
      </w:r>
      <w:r>
        <w:t xml:space="preserve">and</w:t>
      </w:r>
      <w:r>
        <w:t xml:space="preserve"> </w:t>
      </w:r>
      <m:oMath>
        <m:r>
          <m:t>r</m:t>
        </m:r>
        <m:r>
          <m:rPr>
            <m:sty m:val="p"/>
          </m:rPr>
          <m:t>=</m:t>
        </m:r>
        <m:d>
          <m:dPr>
            <m:begChr m:val="|"/>
            <m:endChr m:val="|"/>
            <m:sepChr m:val=""/>
            <m:grow/>
          </m:dPr>
          <m:e>
            <m:sSub>
              <m:e>
                <m:r>
                  <m:t>N</m:t>
                </m:r>
              </m:e>
              <m:sub>
                <m:r>
                  <m:t>c</m:t>
                </m:r>
              </m:sub>
            </m:sSub>
          </m:e>
        </m:d>
      </m:oMath>
      <w:r>
        <w:t xml:space="preserve">. The</w:t>
      </w:r>
      <w:r>
        <w:t xml:space="preserve"> </w:t>
      </w:r>
      <m:oMath>
        <m:r>
          <m:t>i</m:t>
        </m:r>
        <m:sSup>
          <m:e>
            <m:r>
              <m:t>j</m:t>
            </m:r>
          </m:e>
          <m:sup>
            <m:r>
              <m:t>t</m:t>
            </m:r>
            <m:r>
              <m:t>h</m:t>
            </m:r>
          </m:sup>
        </m:sSup>
      </m:oMath>
      <w:r>
        <w:t xml:space="preserve"> </w:t>
      </w:r>
      <w:r>
        <w:t xml:space="preserve">entry of</w:t>
      </w:r>
      <w:r>
        <w:t xml:space="preserve"> </w:t>
      </w:r>
      <m:oMath>
        <m:r>
          <m:t>M</m:t>
        </m:r>
      </m:oMath>
      <w:r>
        <w:t xml:space="preserve"> </w:t>
      </w:r>
      <w:r>
        <w:t xml:space="preserve">is</w:t>
      </w:r>
    </w:p>
    <w:p>
      <w:pPr>
        <w:pStyle w:val="BodyText"/>
      </w:pPr>
      <m:oMathPara>
        <m:oMathParaPr>
          <m:jc m:val="center"/>
        </m:oMathParaPr>
        <m:oMath>
          <m:sSup>
            <m:e>
              <m:r>
                <m:t>m</m:t>
              </m:r>
            </m:e>
            <m:sup>
              <m:r>
                <m:t>i</m:t>
              </m:r>
              <m:r>
                <m:t>j</m:t>
              </m:r>
            </m:sup>
          </m:sSup>
          <m:r>
            <m:rPr>
              <m:sty m:val="p"/>
            </m:rPr>
            <m:t>=</m:t>
          </m:r>
          <m:r>
            <m:t>ψ</m:t>
          </m:r>
          <m:d>
            <m:dPr>
              <m:begChr m:val="("/>
              <m:endChr m:val=")"/>
              <m:sepChr m:val=""/>
              <m:grow/>
            </m:dPr>
            <m:e>
              <m:r>
                <m:t>i</m:t>
              </m:r>
              <m:r>
                <m:rPr>
                  <m:sty m:val="p"/>
                </m:rPr>
                <m:t>,</m:t>
              </m:r>
              <m:r>
                <m:t>j</m:t>
              </m:r>
            </m:e>
          </m:d>
        </m:oMath>
      </m:oMathPara>
    </w:p>
    <w:p>
      <w:pPr>
        <w:pStyle w:val="FirstParagraph"/>
      </w:pPr>
      <w:r>
        <w:t xml:space="preserve">In the MPX NYC data, it is possible for there two be more than one relation between a specific pair of nodes. In this mathematical description, however, we assume that there can only be one edge between a pair of nodes, and summarize the study data by assigning the count of relations as an edge weight. i.e In the case where participant</w:t>
      </w:r>
      <w:r>
        <w:t xml:space="preserve"> </w:t>
      </w:r>
      <m:oMath>
        <m:r>
          <m:t>a</m:t>
        </m:r>
        <m:r>
          <m:rPr>
            <m:sty m:val="p"/>
          </m:rPr>
          <m:t>∈</m:t>
        </m:r>
        <m:sSub>
          <m:e>
            <m:r>
              <m:t>N</m:t>
            </m:r>
          </m:e>
          <m:sub>
            <m:r>
              <m:t>p</m:t>
            </m:r>
          </m:sub>
        </m:sSub>
      </m:oMath>
      <w:r>
        <w:t xml:space="preserve"> </w:t>
      </w:r>
      <w:r>
        <w:t xml:space="preserve">has</w:t>
      </w:r>
      <w:r>
        <w:t xml:space="preserve"> </w:t>
      </w:r>
      <m:oMath>
        <m:r>
          <m:t>r</m:t>
        </m:r>
      </m:oMath>
      <w:r>
        <w:t xml:space="preserve"> </w:t>
      </w:r>
      <w:r>
        <w:t xml:space="preserve">relations with community district</w:t>
      </w:r>
      <w:r>
        <w:t xml:space="preserve"> </w:t>
      </w:r>
      <m:oMath>
        <m:r>
          <m:t>c</m:t>
        </m:r>
        <m:r>
          <m:rPr>
            <m:sty m:val="p"/>
          </m:rPr>
          <m:t>∈</m:t>
        </m:r>
        <m:sSub>
          <m:e>
            <m:r>
              <m:t>N</m:t>
            </m:r>
          </m:e>
          <m:sub>
            <m:r>
              <m:t>c</m:t>
            </m:r>
          </m:sub>
        </m:sSub>
      </m:oMath>
      <w:r>
        <w:t xml:space="preserve">, there is only one edge</w:t>
      </w:r>
      <w:r>
        <w:t xml:space="preserve"> </w:t>
      </w:r>
      <m:oMath>
        <m:d>
          <m:dPr>
            <m:begChr m:val="("/>
            <m:endChr m:val=")"/>
            <m:sepChr m:val=""/>
            <m:grow/>
          </m:dPr>
          <m:e>
            <m:r>
              <m:t>a</m:t>
            </m:r>
            <m:r>
              <m:rPr>
                <m:sty m:val="p"/>
              </m:rPr>
              <m:t>,</m:t>
            </m:r>
            <m:r>
              <m:t>c</m:t>
            </m:r>
          </m:e>
        </m:d>
      </m:oMath>
      <w:r>
        <w:t xml:space="preserve"> </w:t>
      </w:r>
      <w:r>
        <w:t xml:space="preserve">in</w:t>
      </w:r>
      <w:r>
        <w:t xml:space="preserve"> </w:t>
      </w:r>
      <m:oMath>
        <m:r>
          <m:t>G</m:t>
        </m:r>
      </m:oMath>
      <w:r>
        <w:t xml:space="preserve"> </w:t>
      </w:r>
      <w:r>
        <w:t xml:space="preserve">and the weight of that edge equals the count of relations (</w:t>
      </w:r>
      <m:oMath>
        <m:r>
          <m:t>ψ</m:t>
        </m:r>
        <m:d>
          <m:dPr>
            <m:begChr m:val="("/>
            <m:endChr m:val=")"/>
            <m:sepChr m:val=""/>
            <m:grow/>
          </m:dPr>
          <m:e>
            <m:r>
              <m:t>a</m:t>
            </m:r>
            <m:r>
              <m:rPr>
                <m:sty m:val="p"/>
              </m:rPr>
              <m:t>,</m:t>
            </m:r>
            <m:r>
              <m:t>c</m:t>
            </m:r>
          </m:e>
        </m:d>
        <m:r>
          <m:rPr>
            <m:sty m:val="p"/>
          </m:rPr>
          <m:t>=</m:t>
        </m:r>
        <m:r>
          <m:t>r</m:t>
        </m:r>
      </m:oMath>
      <w:r>
        <w:t xml:space="preserve">).</w:t>
      </w:r>
    </w:p>
    <w:p>
      <w:pPr>
        <w:pStyle w:val="BodyText"/>
      </w:pPr>
      <w:r>
        <w:t xml:space="preserve">The MPX NYC spatial participant graph meets the definition for a bipartite graph. This allows us to easily derive two related graphs - the bipartite projection onto participant nodes</w:t>
      </w:r>
      <w:r>
        <w:t xml:space="preserve"> </w:t>
      </w:r>
      <m:oMath>
        <m:sSub>
          <m:e>
            <m:r>
              <m:t>G</m:t>
            </m:r>
          </m:e>
          <m:sub>
            <m:r>
              <m:t>p</m:t>
            </m:r>
          </m:sub>
        </m:sSub>
        <m:d>
          <m:dPr>
            <m:begChr m:val="("/>
            <m:endChr m:val=")"/>
            <m:sepChr m:val=""/>
            <m:grow/>
          </m:dPr>
          <m:e>
            <m:sSub>
              <m:e>
                <m:r>
                  <m:t>N</m:t>
                </m:r>
              </m:e>
              <m:sub>
                <m:r>
                  <m:t>p</m:t>
                </m:r>
              </m:sub>
            </m:sSub>
            <m:r>
              <m:rPr>
                <m:sty m:val="p"/>
              </m:rPr>
              <m:t>,</m:t>
            </m:r>
            <m:sSub>
              <m:e>
                <m:r>
                  <m:t>ψ</m:t>
                </m:r>
              </m:e>
              <m:sub>
                <m:r>
                  <m:t>p</m:t>
                </m:r>
              </m:sub>
            </m:sSub>
          </m:e>
        </m:d>
      </m:oMath>
      <w:r>
        <w:t xml:space="preserve">, and the bipartite projection onto community district nodes</w:t>
      </w:r>
      <w:r>
        <w:t xml:space="preserve"> </w:t>
      </w:r>
      <m:oMath>
        <m:sSub>
          <m:e>
            <m:r>
              <m:t>G</m:t>
            </m:r>
          </m:e>
          <m:sub>
            <m:r>
              <m:t>c</m:t>
            </m:r>
          </m:sub>
        </m:sSub>
        <m:d>
          <m:dPr>
            <m:begChr m:val="("/>
            <m:endChr m:val=")"/>
            <m:sepChr m:val=""/>
            <m:grow/>
          </m:dPr>
          <m:e>
            <m:sSub>
              <m:e>
                <m:r>
                  <m:t>N</m:t>
                </m:r>
              </m:e>
              <m:sub>
                <m:r>
                  <m:t>c</m:t>
                </m:r>
              </m:sub>
            </m:sSub>
            <m:r>
              <m:rPr>
                <m:sty m:val="p"/>
              </m:rPr>
              <m:t>,</m:t>
            </m:r>
            <m:sSub>
              <m:e>
                <m:r>
                  <m:t>ψ</m:t>
                </m:r>
              </m:e>
              <m:sub>
                <m:r>
                  <m:t>c</m:t>
                </m:r>
              </m:sub>
            </m:sSub>
          </m:e>
        </m:d>
      </m:oMath>
      <w:r>
        <w:t xml:space="preserve">. The former graph is used to represent the MPX NYC participant network, and the latter is used to represent the MPX NYC community district network. Both are defined below.</w:t>
      </w:r>
    </w:p>
    <w:bookmarkEnd w:id="95"/>
    <w:bookmarkStart w:id="104" w:name="mpx-nyc-participant-network"/>
    <w:p>
      <w:pPr>
        <w:pStyle w:val="Heading3"/>
      </w:pPr>
      <w:r>
        <w:t xml:space="preserve">MPX NYC participant network</w:t>
      </w:r>
    </w:p>
    <w:bookmarkStart w:id="102" w:name="description-1"/>
    <w:p>
      <w:pPr>
        <w:pStyle w:val="Heading4"/>
      </w:pPr>
      <w:r>
        <w:t xml:space="preserve">Description</w:t>
      </w:r>
    </w:p>
    <w:tbl>
      <w:tblPr>
        <w:tblStyle w:val="Table"/>
        <w:tblW w:type="pct" w:w="5000"/>
        <w:tblLook w:firstRow="0" w:lastRow="0" w:firstColumn="0" w:lastColumn="0" w:noHBand="0" w:noVBand="0" w:val="0000"/>
        <w:jc w:val="start"/>
      </w:tblPr>
      <w:tblGrid>
        <w:gridCol w:w="7920"/>
      </w:tblGrid>
      <w:tr>
        <w:tc>
          <w:tcPr/>
          <w:bookmarkStart w:id="99" w:name="fig-data-people"/>
          <w:p>
            <w:pPr>
              <w:jc w:val="center"/>
            </w:pPr>
            <w:r>
              <w:drawing>
                <wp:inline>
                  <wp:extent cx="5334000" cy="3333750"/>
                  <wp:effectExtent b="0" l="0" r="0" t="0"/>
                  <wp:docPr descr="" title="" id="97" name="Picture"/>
                  <a:graphic>
                    <a:graphicData uri="http://schemas.openxmlformats.org/drawingml/2006/picture">
                      <pic:pic>
                        <pic:nvPicPr>
                          <pic:cNvPr descr="_manuscript_files/figure-docx/fig-data-people-1.png" id="98" name="Picture"/>
                          <pic:cNvPicPr>
                            <a:picLocks noChangeArrowheads="1" noChangeAspect="1"/>
                          </pic:cNvPicPr>
                        </pic:nvPicPr>
                        <pic:blipFill>
                          <a:blip r:embed="rId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MPX NYC participant network</w:t>
            </w:r>
          </w:p>
          <w:bookmarkEnd w:id="99"/>
        </w:tc>
      </w:tr>
    </w:tbl>
    <w:bookmarkStart w:id="100" w:name="tbl-example-participant-nod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bl>
    <w:p>
      <w:pPr>
        <w:pStyle w:val="BodyText"/>
      </w:pPr>
      <w:r>
        <w:rPr>
          <w:bCs/>
          <w:b/>
        </w:rPr>
        <w:t xml:space="preserve">?(caption)</w:t>
      </w:r>
    </w:p>
    <w:bookmarkEnd w:id="100"/>
    <w:bookmarkStart w:id="101" w:name="tbl-example-participant-edg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from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weight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bl>
    <w:p>
      <w:pPr>
        <w:pStyle w:val="BodyText"/>
      </w:pPr>
      <w:r>
        <w:rPr>
          <w:bCs/>
          <w:b/>
        </w:rPr>
        <w:t xml:space="preserve">?(caption)</w:t>
      </w:r>
    </w:p>
    <w:bookmarkEnd w:id="101"/>
    <w:p>
      <w:pPr>
        <w:pStyle w:val="BodyText"/>
      </w:pPr>
      <w:r>
        <w:t xml:space="preserve">The MPX NYC participant network has participants as nodes. A pair of nodes is connected by a weighted edge if each of the individuals represented by the nodes has at least one contact venue or residence in the same, shared community district. The weight of the edge is given by the count of community districts the pair of nodes have in common. By definition, an edge of weight</w:t>
      </w:r>
      <w:r>
        <w:t xml:space="preserve"> </w:t>
      </w:r>
      <m:oMath>
        <m:r>
          <m:t>0</m:t>
        </m:r>
      </m:oMath>
      <w:r>
        <w:t xml:space="preserve"> </w:t>
      </w:r>
      <w:r>
        <w:t xml:space="preserve">is equivalent to the absence of an edge. e.g. Participants 1 and 2 are connected in</w:t>
      </w:r>
      <w:r>
        <w:t xml:space="preserve"> </w:t>
      </w:r>
      <w:hyperlink w:anchor="fig-data-people">
        <w:r>
          <w:rPr>
            <w:rStyle w:val="Hyperlink"/>
          </w:rPr>
          <w:t xml:space="preserve">Figure 13</w:t>
        </w:r>
      </w:hyperlink>
      <w:r>
        <w:t xml:space="preserve"> </w:t>
      </w:r>
      <w:r>
        <w:t xml:space="preserve">since, as shown in</w:t>
      </w:r>
      <w:r>
        <w:t xml:space="preserve"> </w:t>
      </w:r>
      <w:hyperlink w:anchor="fig-data-people">
        <w:r>
          <w:rPr>
            <w:rStyle w:val="Hyperlink"/>
          </w:rPr>
          <w:t xml:space="preserve">Figure 13</w:t>
        </w:r>
      </w:hyperlink>
      <w:r>
        <w:t xml:space="preserve"> </w:t>
      </w:r>
      <w:r>
        <w:t xml:space="preserve">they both have a contact venue or residence in community district A. Participants 4 and 5 are connected in</w:t>
      </w:r>
      <w:r>
        <w:t xml:space="preserve"> </w:t>
      </w:r>
      <w:hyperlink w:anchor="fig-data-people">
        <w:r>
          <w:rPr>
            <w:rStyle w:val="Hyperlink"/>
          </w:rPr>
          <w:t xml:space="preserve">Figure 13</w:t>
        </w:r>
      </w:hyperlink>
      <w:r>
        <w:t xml:space="preserve"> </w:t>
      </w:r>
      <w:r>
        <w:t xml:space="preserve">since they share two community districts in</w:t>
      </w:r>
      <w:r>
        <w:t xml:space="preserve"> </w:t>
      </w:r>
      <w:hyperlink w:anchor="fig-data">
        <w:r>
          <w:rPr>
            <w:rStyle w:val="Hyperlink"/>
          </w:rPr>
          <w:t xml:space="preserve">Figure 12</w:t>
        </w:r>
      </w:hyperlink>
      <w:r>
        <w:t xml:space="preserve"> </w:t>
      </w:r>
      <w:r>
        <w:t xml:space="preserve">(community districts D and E). Because they share two community districts in</w:t>
      </w:r>
      <w:r>
        <w:t xml:space="preserve"> </w:t>
      </w:r>
      <w:hyperlink w:anchor="fig-data">
        <w:r>
          <w:rPr>
            <w:rStyle w:val="Hyperlink"/>
          </w:rPr>
          <w:t xml:space="preserve">Figure 12</w:t>
        </w:r>
      </w:hyperlink>
      <w:r>
        <w:t xml:space="preserve">, their edge has a weight of 2 in</w:t>
      </w:r>
      <w:r>
        <w:t xml:space="preserve"> </w:t>
      </w:r>
      <w:hyperlink w:anchor="fig-data-people">
        <w:r>
          <w:rPr>
            <w:rStyle w:val="Hyperlink"/>
          </w:rPr>
          <w:t xml:space="preserve">Figure 13</w:t>
        </w:r>
      </w:hyperlink>
      <w:r>
        <w:t xml:space="preserve">.</w:t>
      </w:r>
    </w:p>
    <w:bookmarkEnd w:id="102"/>
    <w:bookmarkStart w:id="103" w:name="definition-1"/>
    <w:p>
      <w:pPr>
        <w:pStyle w:val="Heading4"/>
      </w:pPr>
      <w:r>
        <w:t xml:space="preserve">Definition</w:t>
      </w:r>
    </w:p>
    <w:p>
      <w:pPr>
        <w:pStyle w:val="FirstParagraph"/>
      </w:pPr>
      <w:r>
        <w:t xml:space="preserve">We define the MPX NYC participant graph as</w:t>
      </w:r>
    </w:p>
    <w:p>
      <w:pPr>
        <w:pStyle w:val="BodyText"/>
      </w:pPr>
      <m:oMathPara>
        <m:oMathParaPr>
          <m:jc m:val="center"/>
        </m:oMathParaPr>
        <m:oMath>
          <m:sSub>
            <m:e>
              <m:r>
                <m:t>G</m:t>
              </m:r>
            </m:e>
            <m:sub>
              <m:r>
                <m:t>p</m:t>
              </m:r>
            </m:sub>
          </m:sSub>
          <m:d>
            <m:dPr>
              <m:begChr m:val="("/>
              <m:endChr m:val=")"/>
              <m:sepChr m:val=""/>
              <m:grow/>
            </m:dPr>
            <m:e>
              <m:sSub>
                <m:e>
                  <m:r>
                    <m:t>N</m:t>
                  </m:r>
                </m:e>
                <m:sub>
                  <m:r>
                    <m:t>p</m:t>
                  </m:r>
                </m:sub>
              </m:sSub>
              <m:r>
                <m:rPr>
                  <m:sty m:val="p"/>
                </m:rPr>
                <m:t>,</m:t>
              </m:r>
              <m:sSub>
                <m:e>
                  <m:r>
                    <m:t>ψ</m:t>
                  </m:r>
                </m:e>
                <m:sub>
                  <m:r>
                    <m:t>p</m:t>
                  </m:r>
                </m:sub>
              </m:sSub>
            </m:e>
          </m:d>
          <m:r>
            <m:rPr>
              <m:nor/>
              <m:sty m:val="p"/>
            </m:rPr>
            <m:t> where </m:t>
          </m:r>
          <m:sSub>
            <m:e>
              <m:r>
                <m:t>ψ</m:t>
              </m:r>
            </m:e>
            <m:sub>
              <m:r>
                <m:t>p</m:t>
              </m:r>
            </m:sub>
          </m:sSub>
          <m:r>
            <m:rPr>
              <m:sty m:val="p"/>
            </m:rPr>
            <m:t>:</m:t>
          </m:r>
          <m:sSub>
            <m:e>
              <m:r>
                <m:t>N</m:t>
              </m:r>
            </m:e>
            <m:sub>
              <m:r>
                <m:t>p</m:t>
              </m:r>
            </m:sub>
          </m:sSub>
          <m:r>
            <m:rPr>
              <m:sty m:val="p"/>
            </m:rPr>
            <m:t>×</m:t>
          </m:r>
          <m:sSub>
            <m:e>
              <m:r>
                <m:t>N</m:t>
              </m:r>
            </m:e>
            <m:sub>
              <m:r>
                <m:t>p</m:t>
              </m:r>
            </m:sub>
          </m:sSub>
          <m:r>
            <m:rPr>
              <m:sty m:val="p"/>
            </m:rPr>
            <m:t>→</m:t>
          </m:r>
          <m:sSub>
            <m:e>
              <m:r>
                <m:rPr>
                  <m:sty m:val="p"/>
                  <m:scr m:val="double-struck"/>
                </m:rPr>
                <m:t>N</m:t>
              </m:r>
            </m:e>
            <m:sub>
              <m:r>
                <m:t>0</m:t>
              </m:r>
            </m:sub>
          </m:sSub>
        </m:oMath>
      </m:oMathPara>
    </w:p>
    <w:p>
      <w:pPr>
        <w:pStyle w:val="FirstParagraph"/>
      </w:pPr>
      <m:oMath>
        <m:sSub>
          <m:e>
            <m:r>
              <m:t>N</m:t>
            </m:r>
          </m:e>
          <m:sub>
            <m:r>
              <m:t>p</m:t>
            </m:r>
          </m:sub>
        </m:sSub>
      </m:oMath>
      <w:r>
        <w:t xml:space="preserve"> </w:t>
      </w:r>
      <w:r>
        <w:t xml:space="preserve">is a set containing node indices for participant nodes and</w:t>
      </w:r>
      <w:r>
        <w:t xml:space="preserve"> </w:t>
      </w:r>
      <m:oMath>
        <m:sSub>
          <m:e>
            <m:r>
              <m:t>ψ</m:t>
            </m:r>
          </m:e>
          <m:sub>
            <m:r>
              <m:t>p</m:t>
            </m:r>
          </m:sub>
        </m:sSub>
      </m:oMath>
      <w:r>
        <w:t xml:space="preserve"> </w:t>
      </w:r>
      <w:r>
        <w:t xml:space="preserve">is a mapping from each possible pair of participants to the set of non-negative integers.</w:t>
      </w:r>
      <w:r>
        <w:t xml:space="preserve"> </w:t>
      </w:r>
      <m:oMath>
        <m:sSub>
          <m:e>
            <m:r>
              <m:t>ψ</m:t>
            </m:r>
          </m:e>
          <m:sub>
            <m:r>
              <m:t>p</m:t>
            </m:r>
          </m:sub>
        </m:sSub>
        <m:d>
          <m:dPr>
            <m:begChr m:val="("/>
            <m:endChr m:val=")"/>
            <m:sepChr m:val=""/>
            <m:grow/>
          </m:dPr>
          <m:e>
            <m:r>
              <m:t>a</m:t>
            </m:r>
            <m:r>
              <m:rPr>
                <m:sty m:val="p"/>
              </m:rPr>
              <m:t>,</m:t>
            </m:r>
            <m:r>
              <m:t>b</m:t>
            </m:r>
          </m:e>
        </m:d>
        <m:r>
          <m:rPr>
            <m:sty m:val="p"/>
          </m:rPr>
          <m:t>=</m:t>
        </m:r>
        <m:r>
          <m:t>0</m:t>
        </m:r>
      </m:oMath>
      <w:r>
        <w:t xml:space="preserve"> </w:t>
      </w:r>
      <w:r>
        <w:t xml:space="preserve">when there is no edge between distinct participants</w:t>
      </w:r>
      <w:r>
        <w:t xml:space="preserve"> </w:t>
      </w:r>
      <m:oMath>
        <m:r>
          <m:t>a</m:t>
        </m:r>
      </m:oMath>
      <w:r>
        <w:t xml:space="preserve"> </w:t>
      </w:r>
      <w:r>
        <w:t xml:space="preserve">and</w:t>
      </w:r>
      <w:r>
        <w:t xml:space="preserve"> </w:t>
      </w:r>
      <m:oMath>
        <m:r>
          <m:t>b</m:t>
        </m:r>
      </m:oMath>
      <w:r>
        <w:t xml:space="preserve"> </w:t>
      </w:r>
      <w:r>
        <w:t xml:space="preserve">and</w:t>
      </w:r>
      <w:r>
        <w:t xml:space="preserve"> </w:t>
      </w:r>
      <m:oMath>
        <m:sSub>
          <m:e>
            <m:r>
              <m:t>ψ</m:t>
            </m:r>
          </m:e>
          <m:sub>
            <m:r>
              <m:t>p</m:t>
            </m:r>
          </m:sub>
        </m:sSub>
        <m:d>
          <m:dPr>
            <m:begChr m:val="("/>
            <m:endChr m:val=")"/>
            <m:sepChr m:val=""/>
            <m:grow/>
          </m:dPr>
          <m:e>
            <m:r>
              <m:t>a</m:t>
            </m:r>
            <m:r>
              <m:rPr>
                <m:sty m:val="p"/>
              </m:rPr>
              <m:t>,</m:t>
            </m:r>
            <m:r>
              <m:t>b</m:t>
            </m:r>
          </m:e>
        </m:d>
        <m:r>
          <m:rPr>
            <m:sty m:val="p"/>
          </m:rPr>
          <m:t>&gt;</m:t>
        </m:r>
        <m:r>
          <m:t>0</m:t>
        </m:r>
      </m:oMath>
      <w:r>
        <w:t xml:space="preserve"> </w:t>
      </w:r>
      <w:r>
        <w:t xml:space="preserve">if there is. By definition, a node cannot have a tie with itself. i.e. </w:t>
      </w:r>
      <m:oMath>
        <m:sSub>
          <m:e>
            <m:r>
              <m:t>ψ</m:t>
            </m:r>
          </m:e>
          <m:sub>
            <m:r>
              <m:t>p</m:t>
            </m:r>
          </m:sub>
        </m:sSub>
        <m:d>
          <m:dPr>
            <m:begChr m:val="("/>
            <m:endChr m:val=")"/>
            <m:sepChr m:val=""/>
            <m:grow/>
          </m:dPr>
          <m:e>
            <m:r>
              <m:t>a</m:t>
            </m:r>
            <m:r>
              <m:rPr>
                <m:sty m:val="p"/>
              </m:rPr>
              <m:t>,</m:t>
            </m:r>
            <m:r>
              <m:t>a</m:t>
            </m:r>
          </m:e>
        </m:d>
        <m:r>
          <m:rPr>
            <m:sty m:val="p"/>
          </m:rPr>
          <m:t>=</m:t>
        </m:r>
        <m:r>
          <m:t>0</m:t>
        </m:r>
      </m:oMath>
      <w:r>
        <w:t xml:space="preserve"> </w:t>
      </w:r>
      <m:oMath>
        <m:r>
          <m:rPr>
            <m:sty m:val="p"/>
          </m:rPr>
          <m:t>∀</m:t>
        </m:r>
        <m:r>
          <m:t>a</m:t>
        </m:r>
        <m:r>
          <m:rPr>
            <m:sty m:val="p"/>
          </m:rPr>
          <m:t>∈</m:t>
        </m:r>
        <m:sSub>
          <m:e>
            <m:r>
              <m:t>N</m:t>
            </m:r>
          </m:e>
          <m:sub>
            <m:r>
              <m:t>p</m:t>
            </m:r>
          </m:sub>
        </m:sSub>
      </m:oMath>
      <w:r>
        <w:t xml:space="preserve">.</w:t>
      </w:r>
    </w:p>
    <w:p>
      <w:pPr>
        <w:pStyle w:val="BodyText"/>
      </w:pPr>
      <m:oMath>
        <m:sSub>
          <m:e>
            <m:r>
              <m:t>G</m:t>
            </m:r>
          </m:e>
          <m:sub>
            <m:r>
              <m:t>p</m:t>
            </m:r>
          </m:sub>
        </m:sSub>
        <m:d>
          <m:dPr>
            <m:begChr m:val="("/>
            <m:endChr m:val=")"/>
            <m:sepChr m:val=""/>
            <m:grow/>
          </m:dPr>
          <m:e>
            <m:sSub>
              <m:e>
                <m:r>
                  <m:t>N</m:t>
                </m:r>
              </m:e>
              <m:sub>
                <m:r>
                  <m:t>p</m:t>
                </m:r>
              </m:sub>
            </m:sSub>
            <m:r>
              <m:rPr>
                <m:sty m:val="p"/>
              </m:rPr>
              <m:t>,</m:t>
            </m:r>
            <m:sSub>
              <m:e>
                <m:r>
                  <m:t>ψ</m:t>
                </m:r>
              </m:e>
              <m:sub>
                <m:r>
                  <m:t>p</m:t>
                </m:r>
              </m:sub>
            </m:sSub>
          </m:e>
        </m:d>
      </m:oMath>
      <w:r>
        <w:t xml:space="preserve"> </w:t>
      </w:r>
      <w:r>
        <w:t xml:space="preserve">can be derived from</w:t>
      </w:r>
      <w:r>
        <w:t xml:space="preserve"> </w:t>
      </w:r>
      <m:oMath>
        <m:r>
          <m:t>G</m:t>
        </m:r>
      </m:oMath>
      <w:r>
        <w:t xml:space="preserve"> </w:t>
      </w:r>
      <w:r>
        <w:t xml:space="preserve">by taking the product of the</w:t>
      </w:r>
      <w:r>
        <w:t xml:space="preserve"> </w:t>
      </w:r>
      <m:oMath>
        <m:r>
          <m:t>q</m:t>
        </m:r>
        <m:r>
          <m:rPr>
            <m:sty m:val="p"/>
          </m:rPr>
          <m:t>×</m:t>
        </m:r>
        <m:r>
          <m:t>r</m:t>
        </m:r>
      </m:oMath>
      <w:r>
        <w:t xml:space="preserve"> </w:t>
      </w:r>
      <w:r>
        <w:t xml:space="preserve">adjacency matrix</w:t>
      </w:r>
      <w:r>
        <w:t xml:space="preserve"> </w:t>
      </w:r>
      <m:oMath>
        <m:r>
          <m:t>M</m:t>
        </m:r>
      </m:oMath>
      <w:r>
        <w:t xml:space="preserve"> </w:t>
      </w:r>
      <w:r>
        <w:t xml:space="preserve">with its transpose:</w:t>
      </w:r>
    </w:p>
    <w:p>
      <w:pPr>
        <w:pStyle w:val="BodyText"/>
      </w:pPr>
      <m:oMathPara>
        <m:oMathParaPr>
          <m:jc m:val="center"/>
        </m:oMathParaPr>
        <m:oMath>
          <m:sSub>
            <m:e>
              <m:r>
                <m:t>M</m:t>
              </m:r>
            </m:e>
            <m:sub>
              <m:r>
                <m:t>p</m:t>
              </m:r>
            </m:sub>
          </m:sSub>
          <m:r>
            <m:rPr>
              <m:sty m:val="p"/>
            </m:rPr>
            <m:t>=</m:t>
          </m:r>
          <m:r>
            <m:t>M</m:t>
          </m:r>
          <m:sSup>
            <m:e>
              <m:r>
                <m:t>M</m:t>
              </m:r>
            </m:e>
            <m:sup>
              <m:r>
                <m:t>T</m:t>
              </m:r>
            </m:sup>
          </m:sSup>
        </m:oMath>
      </m:oMathPara>
    </w:p>
    <w:p>
      <w:pPr>
        <w:pStyle w:val="FirstParagraph"/>
      </w:pPr>
      <w:r>
        <w:t xml:space="preserve">The result is a</w:t>
      </w:r>
      <w:r>
        <w:t xml:space="preserve"> </w:t>
      </w:r>
      <m:oMath>
        <m:r>
          <m:t>q</m:t>
        </m:r>
        <m:r>
          <m:rPr>
            <m:sty m:val="p"/>
          </m:rPr>
          <m:t>×</m:t>
        </m:r>
        <m:r>
          <m:t>q</m:t>
        </m:r>
      </m:oMath>
      <w:r>
        <w:t xml:space="preserve"> </w:t>
      </w:r>
      <w:r>
        <w:t xml:space="preserve">adjacency matrix</w:t>
      </w:r>
      <w:r>
        <w:t xml:space="preserve"> </w:t>
      </w:r>
      <m:oMath>
        <m:sSub>
          <m:e>
            <m:r>
              <m:t>M</m:t>
            </m:r>
          </m:e>
          <m:sub>
            <m:r>
              <m:t>p</m:t>
            </m:r>
          </m:sub>
        </m:sSub>
      </m:oMath>
      <w:r>
        <w:t xml:space="preserve"> </w:t>
      </w:r>
      <w:r>
        <w:t xml:space="preserve">whose entries</w:t>
      </w:r>
      <w:r>
        <w:t xml:space="preserve"> </w:t>
      </w:r>
      <m:oMath>
        <m:sSubSup>
          <m:e>
            <m:r>
              <m:t>m</m:t>
            </m:r>
          </m:e>
          <m:sub>
            <m:r>
              <m:t>p</m:t>
            </m:r>
          </m:sub>
          <m:sup>
            <m:r>
              <m:t>i</m:t>
            </m:r>
            <m:r>
              <m:t>j</m:t>
            </m:r>
          </m:sup>
        </m:sSubSup>
      </m:oMath>
      <w:r>
        <w:t xml:space="preserve"> </w:t>
      </w:r>
      <w:r>
        <w:t xml:space="preserve">are used to define</w:t>
      </w:r>
      <w:r>
        <w:t xml:space="preserve"> </w:t>
      </w:r>
      <m:oMath>
        <m:sSub>
          <m:e>
            <m:r>
              <m:t>ψ</m:t>
            </m:r>
          </m:e>
          <m:sub>
            <m:r>
              <m:t>p</m:t>
            </m:r>
          </m:sub>
        </m:sSub>
      </m:oMath>
      <w:r>
        <w:t xml:space="preserve">:</w:t>
      </w:r>
    </w:p>
    <w:p>
      <w:pPr>
        <w:pStyle w:val="BodyText"/>
      </w:pPr>
      <m:oMathPara>
        <m:oMathParaPr>
          <m:jc m:val="center"/>
        </m:oMathParaPr>
        <m:oMath>
          <m:sSub>
            <m:e>
              <m:r>
                <m:t>ψ</m:t>
              </m:r>
            </m:e>
            <m:sub>
              <m:r>
                <m:t>p</m:t>
              </m:r>
            </m:sub>
          </m:sSub>
          <m:d>
            <m:dPr>
              <m:begChr m:val="("/>
              <m:endChr m:val=")"/>
              <m:sepChr m:val=""/>
              <m:grow/>
            </m:dPr>
            <m:e>
              <m:r>
                <m:t>i</m:t>
              </m:r>
              <m:r>
                <m:rPr>
                  <m:sty m:val="p"/>
                </m:rPr>
                <m:t>,</m:t>
              </m:r>
              <m:r>
                <m:t>j</m:t>
              </m:r>
            </m:e>
          </m:d>
          <m:r>
            <m:rPr>
              <m:sty m:val="p"/>
            </m:rPr>
            <m:t>=</m:t>
          </m:r>
          <m:sSubSup>
            <m:e>
              <m:r>
                <m:t>m</m:t>
              </m:r>
            </m:e>
            <m:sub>
              <m:r>
                <m:t>p</m:t>
              </m:r>
            </m:sub>
            <m:sup>
              <m:r>
                <m:t>i</m:t>
              </m:r>
              <m:r>
                <m:t>j</m:t>
              </m:r>
            </m:sup>
          </m:sSubSup>
        </m:oMath>
      </m:oMathPara>
    </w:p>
    <w:bookmarkEnd w:id="103"/>
    <w:bookmarkEnd w:id="104"/>
    <w:bookmarkStart w:id="113" w:name="mpx-nyc-community-district-network"/>
    <w:p>
      <w:pPr>
        <w:pStyle w:val="Heading3"/>
      </w:pPr>
      <w:r>
        <w:t xml:space="preserve">MPX NYC community district network</w:t>
      </w:r>
    </w:p>
    <w:bookmarkStart w:id="111" w:name="description-2"/>
    <w:p>
      <w:pPr>
        <w:pStyle w:val="Heading4"/>
      </w:pPr>
      <w:r>
        <w:t xml:space="preserve">Description</w:t>
      </w:r>
    </w:p>
    <w:tbl>
      <w:tblPr>
        <w:tblStyle w:val="Table"/>
        <w:tblW w:type="pct" w:w="5000"/>
        <w:tblLook w:firstRow="0" w:lastRow="0" w:firstColumn="0" w:lastColumn="0" w:noHBand="0" w:noVBand="0" w:val="0000"/>
        <w:jc w:val="start"/>
      </w:tblPr>
      <w:tblGrid>
        <w:gridCol w:w="7920"/>
      </w:tblGrid>
      <w:tr>
        <w:tc>
          <w:tcPr/>
          <w:bookmarkStart w:id="108" w:name="fig-data-places"/>
          <w:p>
            <w:pPr>
              <w:jc w:val="center"/>
            </w:pPr>
            <w:r>
              <w:drawing>
                <wp:inline>
                  <wp:extent cx="5334000" cy="3333750"/>
                  <wp:effectExtent b="0" l="0" r="0" t="0"/>
                  <wp:docPr descr="" title="" id="106" name="Picture"/>
                  <a:graphic>
                    <a:graphicData uri="http://schemas.openxmlformats.org/drawingml/2006/picture">
                      <pic:pic>
                        <pic:nvPicPr>
                          <pic:cNvPr descr="_manuscript_files/figure-docx/fig-data-places-1.png" id="107" name="Picture"/>
                          <pic:cNvPicPr>
                            <a:picLocks noChangeArrowheads="1" noChangeAspect="1"/>
                          </pic:cNvPicPr>
                        </pic:nvPicPr>
                        <pic:blipFill>
                          <a:blip r:embed="rId1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MPX NYC community district network</w:t>
            </w:r>
          </w:p>
          <w:bookmarkEnd w:id="108"/>
        </w:tc>
      </w:tr>
    </w:tbl>
    <w:bookmarkStart w:id="109" w:name="tbl-example-place-nod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p>
      <w:pPr>
        <w:pStyle w:val="BodyText"/>
      </w:pPr>
      <w:r>
        <w:rPr>
          <w:bCs/>
          <w:b/>
        </w:rPr>
        <w:t xml:space="preserve">?(caption)</w:t>
      </w:r>
    </w:p>
    <w:bookmarkEnd w:id="109"/>
    <w:bookmarkStart w:id="110" w:name="tbl-example-place-edg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weight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p>
      <w:pPr>
        <w:pStyle w:val="BodyText"/>
      </w:pPr>
      <w:r>
        <w:rPr>
          <w:bCs/>
          <w:b/>
        </w:rPr>
        <w:t xml:space="preserve">?(caption)</w:t>
      </w:r>
    </w:p>
    <w:bookmarkEnd w:id="110"/>
    <w:p>
      <w:pPr>
        <w:pStyle w:val="BodyText"/>
      </w:pPr>
      <w:r>
        <w:t xml:space="preserve">The MPX NYC community district network has community districts as nodes. A pair of community districts is connected by a weighted edge when at least one participant has a contact venue or residence in both community districts. The weight is the count of participants which are shared by the two community districts.</w:t>
      </w:r>
    </w:p>
    <w:bookmarkEnd w:id="111"/>
    <w:bookmarkStart w:id="112" w:name="definition-2"/>
    <w:p>
      <w:pPr>
        <w:pStyle w:val="Heading4"/>
      </w:pPr>
      <w:r>
        <w:t xml:space="preserve">Definition</w:t>
      </w:r>
    </w:p>
    <w:p>
      <w:pPr>
        <w:pStyle w:val="FirstParagraph"/>
      </w:pPr>
      <w:r>
        <w:t xml:space="preserve">We define the MPX NYC community district graph as</w:t>
      </w:r>
    </w:p>
    <w:p>
      <w:pPr>
        <w:pStyle w:val="BodyText"/>
      </w:pPr>
      <m:oMathPara>
        <m:oMathParaPr>
          <m:jc m:val="center"/>
        </m:oMathParaPr>
        <m:oMath>
          <m:sSub>
            <m:e>
              <m:r>
                <m:t>G</m:t>
              </m:r>
            </m:e>
            <m:sub>
              <m:r>
                <m:t>c</m:t>
              </m:r>
            </m:sub>
          </m:sSub>
          <m:d>
            <m:dPr>
              <m:begChr m:val="("/>
              <m:endChr m:val=")"/>
              <m:sepChr m:val=""/>
              <m:grow/>
            </m:dPr>
            <m:e>
              <m:sSub>
                <m:e>
                  <m:r>
                    <m:t>N</m:t>
                  </m:r>
                </m:e>
                <m:sub>
                  <m:r>
                    <m:t>c</m:t>
                  </m:r>
                </m:sub>
              </m:sSub>
              <m:r>
                <m:rPr>
                  <m:sty m:val="p"/>
                </m:rPr>
                <m:t>,</m:t>
              </m:r>
              <m:sSub>
                <m:e>
                  <m:r>
                    <m:t>ψ</m:t>
                  </m:r>
                </m:e>
                <m:sub>
                  <m:r>
                    <m:t>c</m:t>
                  </m:r>
                </m:sub>
              </m:sSub>
            </m:e>
          </m:d>
          <m:r>
            <m:rPr>
              <m:nor/>
              <m:sty m:val="p"/>
            </m:rPr>
            <m:t> where </m:t>
          </m:r>
          <m:sSub>
            <m:e>
              <m:r>
                <m:t>ψ</m:t>
              </m:r>
            </m:e>
            <m:sub>
              <m:r>
                <m:t>c</m:t>
              </m:r>
            </m:sub>
          </m:sSub>
          <m:r>
            <m:rPr>
              <m:sty m:val="p"/>
            </m:rPr>
            <m:t>:</m:t>
          </m:r>
          <m:sSub>
            <m:e>
              <m:r>
                <m:t>N</m:t>
              </m:r>
            </m:e>
            <m:sub>
              <m:r>
                <m:t>c</m:t>
              </m:r>
            </m:sub>
          </m:sSub>
          <m:r>
            <m:rPr>
              <m:sty m:val="p"/>
            </m:rPr>
            <m:t>×</m:t>
          </m:r>
          <m:sSub>
            <m:e>
              <m:r>
                <m:t>N</m:t>
              </m:r>
            </m:e>
            <m:sub>
              <m:r>
                <m:t>c</m:t>
              </m:r>
            </m:sub>
          </m:sSub>
          <m:r>
            <m:rPr>
              <m:sty m:val="p"/>
            </m:rPr>
            <m:t>→</m:t>
          </m:r>
          <m:sSub>
            <m:e>
              <m:r>
                <m:rPr>
                  <m:sty m:val="p"/>
                  <m:scr m:val="double-struck"/>
                </m:rPr>
                <m:t>N</m:t>
              </m:r>
            </m:e>
            <m:sub>
              <m:r>
                <m:t>0</m:t>
              </m:r>
            </m:sub>
          </m:sSub>
        </m:oMath>
      </m:oMathPara>
    </w:p>
    <w:p>
      <w:pPr>
        <w:pStyle w:val="FirstParagraph"/>
      </w:pPr>
      <w:r>
        <w:t xml:space="preserve">where</w:t>
      </w:r>
      <w:r>
        <w:t xml:space="preserve"> </w:t>
      </w:r>
      <m:oMath>
        <m:sSub>
          <m:e>
            <m:r>
              <m:t>N</m:t>
            </m:r>
          </m:e>
          <m:sub>
            <m:r>
              <m:t>c</m:t>
            </m:r>
          </m:sub>
        </m:sSub>
      </m:oMath>
      <w:r>
        <w:t xml:space="preserve"> </w:t>
      </w:r>
      <w:r>
        <w:t xml:space="preserve">is a set containing node indices for community district nodes and</w:t>
      </w:r>
      <w:r>
        <w:t xml:space="preserve"> </w:t>
      </w:r>
      <m:oMath>
        <m:sSub>
          <m:e>
            <m:r>
              <m:t>ψ</m:t>
            </m:r>
          </m:e>
          <m:sub>
            <m:r>
              <m:t>c</m:t>
            </m:r>
          </m:sub>
        </m:sSub>
      </m:oMath>
      <w:r>
        <w:t xml:space="preserve"> </w:t>
      </w:r>
      <w:r>
        <w:t xml:space="preserve">is a mapping from each possible pair of community districts to the set of non-negative integers.</w:t>
      </w:r>
      <w:r>
        <w:t xml:space="preserve"> </w:t>
      </w:r>
      <m:oMath>
        <m:sSub>
          <m:e>
            <m:r>
              <m:t>ψ</m:t>
            </m:r>
          </m:e>
          <m:sub>
            <m:r>
              <m:t>c</m:t>
            </m:r>
          </m:sub>
        </m:sSub>
        <m:d>
          <m:dPr>
            <m:begChr m:val="("/>
            <m:endChr m:val=")"/>
            <m:sepChr m:val=""/>
            <m:grow/>
          </m:dPr>
          <m:e>
            <m:r>
              <m:t>a</m:t>
            </m:r>
            <m:r>
              <m:rPr>
                <m:sty m:val="p"/>
              </m:rPr>
              <m:t>,</m:t>
            </m:r>
            <m:r>
              <m:t>b</m:t>
            </m:r>
          </m:e>
        </m:d>
        <m:r>
          <m:rPr>
            <m:sty m:val="p"/>
          </m:rPr>
          <m:t>=</m:t>
        </m:r>
        <m:r>
          <m:t>0</m:t>
        </m:r>
      </m:oMath>
      <w:r>
        <w:t xml:space="preserve"> </w:t>
      </w:r>
      <w:r>
        <w:t xml:space="preserve">when there is no edge between community districts</w:t>
      </w:r>
      <w:r>
        <w:t xml:space="preserve"> </w:t>
      </w:r>
      <m:oMath>
        <m:r>
          <m:t>a</m:t>
        </m:r>
      </m:oMath>
      <w:r>
        <w:t xml:space="preserve"> </w:t>
      </w:r>
      <w:r>
        <w:t xml:space="preserve">and</w:t>
      </w:r>
      <w:r>
        <w:t xml:space="preserve"> </w:t>
      </w:r>
      <m:oMath>
        <m:r>
          <m:t>b</m:t>
        </m:r>
      </m:oMath>
      <w:r>
        <w:t xml:space="preserve"> </w:t>
      </w:r>
      <w:r>
        <w:t xml:space="preserve">and</w:t>
      </w:r>
      <w:r>
        <w:t xml:space="preserve"> </w:t>
      </w:r>
      <m:oMath>
        <m:sSub>
          <m:e>
            <m:r>
              <m:t>ψ</m:t>
            </m:r>
          </m:e>
          <m:sub>
            <m:r>
              <m:t>c</m:t>
            </m:r>
          </m:sub>
        </m:sSub>
        <m:d>
          <m:dPr>
            <m:begChr m:val="("/>
            <m:endChr m:val=")"/>
            <m:sepChr m:val=""/>
            <m:grow/>
          </m:dPr>
          <m:e>
            <m:r>
              <m:t>a</m:t>
            </m:r>
            <m:r>
              <m:rPr>
                <m:sty m:val="p"/>
              </m:rPr>
              <m:t>,</m:t>
            </m:r>
            <m:r>
              <m:t>b</m:t>
            </m:r>
          </m:e>
        </m:d>
        <m:r>
          <m:rPr>
            <m:sty m:val="p"/>
          </m:rPr>
          <m:t>&gt;</m:t>
        </m:r>
        <m:r>
          <m:t>0</m:t>
        </m:r>
      </m:oMath>
      <w:r>
        <w:t xml:space="preserve"> </w:t>
      </w:r>
      <w:r>
        <w:t xml:space="preserve">if there is. By definition, a node cannot have a tie with itself. i.e. </w:t>
      </w:r>
      <m:oMath>
        <m:sSub>
          <m:e>
            <m:r>
              <m:t>ψ</m:t>
            </m:r>
          </m:e>
          <m:sub>
            <m:r>
              <m:t>c</m:t>
            </m:r>
          </m:sub>
        </m:sSub>
        <m:d>
          <m:dPr>
            <m:begChr m:val="("/>
            <m:endChr m:val=")"/>
            <m:sepChr m:val=""/>
            <m:grow/>
          </m:dPr>
          <m:e>
            <m:r>
              <m:t>a</m:t>
            </m:r>
            <m:r>
              <m:rPr>
                <m:sty m:val="p"/>
              </m:rPr>
              <m:t>,</m:t>
            </m:r>
            <m:r>
              <m:t>a</m:t>
            </m:r>
          </m:e>
        </m:d>
        <m:r>
          <m:rPr>
            <m:sty m:val="p"/>
          </m:rPr>
          <m:t>=</m:t>
        </m:r>
        <m:r>
          <m:t>0</m:t>
        </m:r>
      </m:oMath>
      <w:r>
        <w:t xml:space="preserve"> </w:t>
      </w:r>
      <m:oMath>
        <m:r>
          <m:rPr>
            <m:sty m:val="p"/>
          </m:rPr>
          <m:t>∀</m:t>
        </m:r>
        <m:r>
          <m:t>a</m:t>
        </m:r>
        <m:r>
          <m:rPr>
            <m:sty m:val="p"/>
          </m:rPr>
          <m:t>∈</m:t>
        </m:r>
        <m:sSub>
          <m:e>
            <m:r>
              <m:t>N</m:t>
            </m:r>
          </m:e>
          <m:sub>
            <m:r>
              <m:t>c</m:t>
            </m:r>
          </m:sub>
        </m:sSub>
      </m:oMath>
      <w:r>
        <w:t xml:space="preserve">.</w:t>
      </w:r>
    </w:p>
    <w:p>
      <w:pPr>
        <w:pStyle w:val="BodyText"/>
      </w:pPr>
      <m:oMath>
        <m:sSub>
          <m:e>
            <m:r>
              <m:t>G</m:t>
            </m:r>
          </m:e>
          <m:sub>
            <m:r>
              <m:t>c</m:t>
            </m:r>
          </m:sub>
        </m:sSub>
        <m:d>
          <m:dPr>
            <m:begChr m:val="("/>
            <m:endChr m:val=")"/>
            <m:sepChr m:val=""/>
            <m:grow/>
          </m:dPr>
          <m:e>
            <m:sSub>
              <m:e>
                <m:r>
                  <m:t>N</m:t>
                </m:r>
              </m:e>
              <m:sub>
                <m:r>
                  <m:t>c</m:t>
                </m:r>
              </m:sub>
            </m:sSub>
            <m:r>
              <m:rPr>
                <m:sty m:val="p"/>
              </m:rPr>
              <m:t>,</m:t>
            </m:r>
            <m:sSub>
              <m:e>
                <m:r>
                  <m:t>ψ</m:t>
                </m:r>
              </m:e>
              <m:sub>
                <m:r>
                  <m:t>c</m:t>
                </m:r>
              </m:sub>
            </m:sSub>
          </m:e>
        </m:d>
      </m:oMath>
      <w:r>
        <w:t xml:space="preserve"> </w:t>
      </w:r>
      <w:r>
        <w:t xml:space="preserve">can be derived from</w:t>
      </w:r>
      <w:r>
        <w:t xml:space="preserve"> </w:t>
      </w:r>
      <m:oMath>
        <m:r>
          <m:t>G</m:t>
        </m:r>
      </m:oMath>
      <w:r>
        <w:t xml:space="preserve"> </w:t>
      </w:r>
      <w:r>
        <w:t xml:space="preserve">by taking the product of the</w:t>
      </w:r>
      <w:r>
        <w:t xml:space="preserve"> </w:t>
      </w:r>
      <m:oMath>
        <m:r>
          <m:t>r</m:t>
        </m:r>
        <m:r>
          <m:rPr>
            <m:sty m:val="p"/>
          </m:rPr>
          <m:t>×</m:t>
        </m:r>
        <m:r>
          <m:t>q</m:t>
        </m:r>
      </m:oMath>
      <w:r>
        <w:t xml:space="preserve"> </w:t>
      </w:r>
      <w:r>
        <w:t xml:space="preserve">matrix</w:t>
      </w:r>
      <w:r>
        <w:t xml:space="preserve"> </w:t>
      </w:r>
      <m:oMath>
        <m:sSup>
          <m:e>
            <m:r>
              <m:t>M</m:t>
            </m:r>
          </m:e>
          <m:sup>
            <m:r>
              <m:t>T</m:t>
            </m:r>
          </m:sup>
        </m:sSup>
      </m:oMath>
      <w:r>
        <w:t xml:space="preserve"> </w:t>
      </w:r>
      <w:r>
        <w:t xml:space="preserve">with its transpose:</w:t>
      </w:r>
    </w:p>
    <w:p>
      <w:pPr>
        <w:pStyle w:val="BodyText"/>
      </w:pPr>
      <m:oMathPara>
        <m:oMathParaPr>
          <m:jc m:val="center"/>
        </m:oMathParaPr>
        <m:oMath>
          <m:sSub>
            <m:e>
              <m:r>
                <m:t>M</m:t>
              </m:r>
            </m:e>
            <m:sub>
              <m:r>
                <m:t>c</m:t>
              </m:r>
            </m:sub>
          </m:sSub>
          <m:r>
            <m:rPr>
              <m:sty m:val="p"/>
            </m:rPr>
            <m:t>=</m:t>
          </m:r>
          <m:sSup>
            <m:e>
              <m:r>
                <m:t>M</m:t>
              </m:r>
            </m:e>
            <m:sup>
              <m:r>
                <m:t>T</m:t>
              </m:r>
            </m:sup>
          </m:sSup>
          <m:r>
            <m:t>M</m:t>
          </m:r>
        </m:oMath>
      </m:oMathPara>
    </w:p>
    <w:p>
      <w:pPr>
        <w:pStyle w:val="FirstParagraph"/>
      </w:pPr>
      <w:r>
        <w:t xml:space="preserve">The result is a</w:t>
      </w:r>
      <w:r>
        <w:t xml:space="preserve"> </w:t>
      </w:r>
      <m:oMath>
        <m:r>
          <m:t>r</m:t>
        </m:r>
        <m:r>
          <m:rPr>
            <m:sty m:val="p"/>
          </m:rPr>
          <m:t>×</m:t>
        </m:r>
        <m:r>
          <m:t>r</m:t>
        </m:r>
      </m:oMath>
      <w:r>
        <w:t xml:space="preserve"> </w:t>
      </w:r>
      <w:r>
        <w:t xml:space="preserve">matrix</w:t>
      </w:r>
      <w:r>
        <w:t xml:space="preserve"> </w:t>
      </w:r>
      <m:oMath>
        <m:sSub>
          <m:e>
            <m:r>
              <m:t>M</m:t>
            </m:r>
          </m:e>
          <m:sub>
            <m:r>
              <m:t>c</m:t>
            </m:r>
          </m:sub>
        </m:sSub>
      </m:oMath>
      <w:r>
        <w:t xml:space="preserve">, whose entries</w:t>
      </w:r>
      <w:r>
        <w:t xml:space="preserve"> </w:t>
      </w:r>
      <m:oMath>
        <m:sSubSup>
          <m:e>
            <m:r>
              <m:t>m</m:t>
            </m:r>
          </m:e>
          <m:sub>
            <m:r>
              <m:t>c</m:t>
            </m:r>
          </m:sub>
          <m:sup>
            <m:r>
              <m:t>i</m:t>
            </m:r>
            <m:r>
              <m:t>j</m:t>
            </m:r>
          </m:sup>
        </m:sSubSup>
      </m:oMath>
      <w:r>
        <w:t xml:space="preserve"> </w:t>
      </w:r>
      <w:r>
        <w:t xml:space="preserve">are used to define</w:t>
      </w:r>
      <w:r>
        <w:t xml:space="preserve"> </w:t>
      </w:r>
      <m:oMath>
        <m:sSub>
          <m:e>
            <m:r>
              <m:t>ψ</m:t>
            </m:r>
          </m:e>
          <m:sub>
            <m:r>
              <m:t>c</m:t>
            </m:r>
          </m:sub>
        </m:sSub>
      </m:oMath>
      <w:r>
        <w:t xml:space="preserve">:</w:t>
      </w:r>
    </w:p>
    <w:p>
      <w:pPr>
        <w:pStyle w:val="BodyText"/>
      </w:pPr>
      <m:oMathPara>
        <m:oMathParaPr>
          <m:jc m:val="center"/>
        </m:oMathParaPr>
        <m:oMath>
          <m:sSub>
            <m:e>
              <m:r>
                <m:t>ψ</m:t>
              </m:r>
            </m:e>
            <m:sub>
              <m:r>
                <m:t>c</m:t>
              </m:r>
            </m:sub>
          </m:sSub>
          <m:d>
            <m:dPr>
              <m:begChr m:val="("/>
              <m:endChr m:val=")"/>
              <m:sepChr m:val=""/>
              <m:grow/>
            </m:dPr>
            <m:e>
              <m:r>
                <m:t>i</m:t>
              </m:r>
              <m:r>
                <m:rPr>
                  <m:sty m:val="p"/>
                </m:rPr>
                <m:t>,</m:t>
              </m:r>
              <m:r>
                <m:t>j</m:t>
              </m:r>
            </m:e>
          </m:d>
          <m:r>
            <m:rPr>
              <m:sty m:val="p"/>
            </m:rPr>
            <m:t>=</m:t>
          </m:r>
          <m:sSubSup>
            <m:e>
              <m:r>
                <m:t>m</m:t>
              </m:r>
            </m:e>
            <m:sub>
              <m:r>
                <m:t>c</m:t>
              </m:r>
            </m:sub>
            <m:sup>
              <m:r>
                <m:t>i</m:t>
              </m:r>
              <m:r>
                <m:t>j</m:t>
              </m:r>
            </m:sup>
          </m:sSubSup>
        </m:oMath>
      </m:oMathPara>
    </w:p>
    <w:bookmarkEnd w:id="112"/>
    <w:bookmarkEnd w:id="113"/>
    <w:bookmarkEnd w:id="114"/>
    <w:bookmarkStart w:id="122" w:name="useful-network-measures"/>
    <w:p>
      <w:pPr>
        <w:pStyle w:val="Heading2"/>
      </w:pPr>
      <w:r>
        <w:t xml:space="preserve">Useful Network Measures</w:t>
      </w:r>
    </w:p>
    <w:p>
      <w:pPr>
        <w:pStyle w:val="FirstParagraph"/>
      </w:pPr>
      <w:r>
        <w:t xml:space="preserve">In this section, we describe network measures that are both useful statistics to interpret in describing MPX NYC data and useful intermediate steps in other measures we constructed. We divide the measures into those that are related to egocentric networks, and those related to the overall structure of the network.</w:t>
      </w:r>
    </w:p>
    <w:bookmarkStart w:id="119" w:name="egocentric-measures"/>
    <w:p>
      <w:pPr>
        <w:pStyle w:val="Heading3"/>
      </w:pPr>
      <w:r>
        <w:t xml:space="preserve">Egocentric measures</w:t>
      </w:r>
    </w:p>
    <w:p>
      <w:pPr>
        <w:pStyle w:val="FirstParagraph"/>
      </w:pPr>
      <w:r>
        <w:t xml:space="preserve">We define measures related to the egocentric network-related attributes of nodes in MPX NYC spatial participant network, the MPX NYC participant network, and the MPX NYC community district network. For each of these networks, node attributes have a slightly different interpretation. In addition, since there are two types of nodes in the MPX NYC spatial participant network, attributes have differing meaning depending on the type of node under consideration.</w:t>
      </w:r>
    </w:p>
    <w:p>
      <w:pPr>
        <w:pStyle w:val="BodyText"/>
      </w:pPr>
      <w:r>
        <w:t xml:space="preserve">We defined four measures related to node degree which offer a useful interpretation of MPX NYC data: participant social reach (</w:t>
      </w:r>
      <m:oMath>
        <m:sSub>
          <m:e>
            <m:r>
              <m:t>R</m:t>
            </m:r>
          </m:e>
          <m:sub>
            <m:r>
              <m:t>i</m:t>
            </m:r>
          </m:sub>
        </m:sSub>
      </m:oMath>
      <w:r>
        <w:t xml:space="preserve">), participant spacial reach (</w:t>
      </w:r>
      <m:oMath>
        <m:sSub>
          <m:e>
            <m:r>
              <m:t>S</m:t>
            </m:r>
          </m:e>
          <m:sub>
            <m:r>
              <m:t>i</m:t>
            </m:r>
          </m:sub>
        </m:sSub>
      </m:oMath>
      <w:r>
        <w:t xml:space="preserve">), community district social reach (</w:t>
      </w:r>
      <m:oMath>
        <m:sSub>
          <m:e>
            <m:r>
              <m:t>r</m:t>
            </m:r>
          </m:e>
          <m:sub>
            <m:r>
              <m:t>j</m:t>
            </m:r>
          </m:sub>
        </m:sSub>
      </m:oMath>
      <w:r>
        <w:t xml:space="preserve">), and community district spacial reach (</w:t>
      </w:r>
      <m:oMath>
        <m:sSub>
          <m:e>
            <m:r>
              <m:t>s</m:t>
            </m:r>
          </m:e>
          <m:sub>
            <m:r>
              <m:t>j</m:t>
            </m:r>
          </m:sub>
        </m:sSub>
      </m:oMath>
      <w:r>
        <w:t xml:space="preserve">).</w:t>
      </w:r>
    </w:p>
    <w:p>
      <w:pPr>
        <w:pStyle w:val="BodyText"/>
      </w:pPr>
      <w:r>
        <w:t xml:space="preserve">We further defined for each of these measures, a measure in which we count only the connections to nodes which are included in some defined subset</w:t>
      </w:r>
      <w:r>
        <w:t xml:space="preserve"> </w:t>
      </w:r>
      <m:oMath>
        <m:r>
          <m:t>A</m:t>
        </m:r>
        <m:r>
          <m:rPr>
            <m:sty m:val="p"/>
          </m:rPr>
          <m:t>⊂</m:t>
        </m:r>
        <m:r>
          <m:t>N</m:t>
        </m:r>
      </m:oMath>
      <w:r>
        <w:t xml:space="preserve"> </w:t>
      </w:r>
      <w:r>
        <w:t xml:space="preserve">of nodes. We thus define conditional participant social reach (</w:t>
      </w:r>
      <m:oMath>
        <m:sSub>
          <m:e>
            <m:r>
              <m:t>R</m:t>
            </m:r>
          </m:e>
          <m:sub>
            <m:r>
              <m:t>i</m:t>
            </m:r>
          </m:sub>
        </m:sSub>
        <m:r>
          <m:rPr>
            <m:sty m:val="p"/>
          </m:rPr>
          <m:t>|</m:t>
        </m:r>
        <m:r>
          <m:t>A</m:t>
        </m:r>
      </m:oMath>
      <w:r>
        <w:t xml:space="preserve">), conditional participant spacial reach (</w:t>
      </w:r>
      <m:oMath>
        <m:sSub>
          <m:e>
            <m:r>
              <m:t>S</m:t>
            </m:r>
          </m:e>
          <m:sub>
            <m:r>
              <m:t>i</m:t>
            </m:r>
          </m:sub>
        </m:sSub>
        <m:r>
          <m:rPr>
            <m:sty m:val="p"/>
          </m:rPr>
          <m:t>|</m:t>
        </m:r>
        <m:r>
          <m:t>A</m:t>
        </m:r>
      </m:oMath>
      <w:r>
        <w:t xml:space="preserve">), conditional community district social reach (</w:t>
      </w:r>
      <m:oMath>
        <m:sSub>
          <m:e>
            <m:r>
              <m:t>r</m:t>
            </m:r>
          </m:e>
          <m:sub>
            <m:r>
              <m:t>j</m:t>
            </m:r>
          </m:sub>
        </m:sSub>
        <m:r>
          <m:rPr>
            <m:sty m:val="p"/>
          </m:rPr>
          <m:t>|</m:t>
        </m:r>
        <m:r>
          <m:t>A</m:t>
        </m:r>
      </m:oMath>
      <w:r>
        <w:t xml:space="preserve">), and conditional community district spacial reach (</w:t>
      </w:r>
      <m:oMath>
        <m:sSub>
          <m:e>
            <m:r>
              <m:t>s</m:t>
            </m:r>
          </m:e>
          <m:sub>
            <m:r>
              <m:t>j</m:t>
            </m:r>
          </m:sub>
        </m:sSub>
        <m:r>
          <m:rPr>
            <m:sty m:val="p"/>
          </m:rPr>
          <m:t>|</m:t>
        </m:r>
        <m:r>
          <m:t>A</m:t>
        </m:r>
      </m:oMath>
      <w:r>
        <w:t xml:space="preserve">).</w:t>
      </w:r>
    </w:p>
    <w:bookmarkStart w:id="115" w:name="participant-social-reach"/>
    <w:p>
      <w:pPr>
        <w:pStyle w:val="Heading4"/>
      </w:pPr>
      <w:r>
        <w:t xml:space="preserve">Participant social reach</w:t>
      </w:r>
    </w:p>
    <w:p>
      <w:pPr>
        <w:pStyle w:val="FirstParagraph"/>
      </w:pPr>
      <w:r>
        <w:t xml:space="preserve">Participant social reach is defined as the number of connections the focal participant has with other participants through shared community districts. For participants</w:t>
      </w:r>
      <w:r>
        <w:t xml:space="preserve"> </w:t>
      </w:r>
      <m:oMath>
        <m:r>
          <m:t>i</m:t>
        </m:r>
      </m:oMath>
      <w:r>
        <w:t xml:space="preserve"> </w:t>
      </w:r>
      <w:r>
        <w:t xml:space="preserve">and</w:t>
      </w:r>
      <w:r>
        <w:t xml:space="preserve"> </w:t>
      </w:r>
      <m:oMath>
        <m:r>
          <m:t>j</m:t>
        </m:r>
      </m:oMath>
      <w:r>
        <w:t xml:space="preserve">, by</w:t>
      </w:r>
      <w:r>
        <w:t xml:space="preserve"> </w:t>
      </w:r>
      <w:r>
        <w:t xml:space="preserve">“</w:t>
      </w:r>
      <w:r>
        <w:t xml:space="preserve">shared community districts</w:t>
      </w:r>
      <w:r>
        <w:t xml:space="preserve">”</w:t>
      </w:r>
      <w:r>
        <w:t xml:space="preserve">, we mean the set</w:t>
      </w:r>
    </w:p>
    <w:p>
      <w:pPr>
        <w:pStyle w:val="BodyText"/>
      </w:pPr>
      <m:oMathPara>
        <m:oMathParaPr>
          <m:jc m:val="center"/>
        </m:oMathParaPr>
        <m:oMath>
          <m:r>
            <m:rPr>
              <m:sty m:val="p"/>
            </m:rPr>
            <m:t>{</m:t>
          </m:r>
          <m:r>
            <m:t>c</m:t>
          </m:r>
          <m:r>
            <m:rPr>
              <m:sty m:val="p"/>
            </m:rPr>
            <m:t>:</m:t>
          </m:r>
          <m:r>
            <m:t>ψ</m:t>
          </m:r>
          <m:d>
            <m:dPr>
              <m:begChr m:val="("/>
              <m:endChr m:val=")"/>
              <m:sepChr m:val=""/>
              <m:grow/>
            </m:dPr>
            <m:e>
              <m:r>
                <m:t>i</m:t>
              </m:r>
              <m:r>
                <m:rPr>
                  <m:sty m:val="p"/>
                </m:rPr>
                <m:t>,</m:t>
              </m:r>
              <m:r>
                <m:t>c</m:t>
              </m:r>
            </m:e>
          </m:d>
          <m:r>
            <m:rPr>
              <m:sty m:val="p"/>
            </m:rPr>
            <m:t>&gt;</m:t>
          </m:r>
          <m:r>
            <m:t>0</m:t>
          </m:r>
          <m:r>
            <m:rPr>
              <m:nor/>
              <m:sty m:val="p"/>
            </m:rPr>
            <m:t> and </m:t>
          </m:r>
          <m:r>
            <m:t>ψ</m:t>
          </m:r>
          <m:d>
            <m:dPr>
              <m:begChr m:val="("/>
              <m:endChr m:val=")"/>
              <m:sepChr m:val=""/>
              <m:grow/>
            </m:dPr>
            <m:e>
              <m:r>
                <m:t>j</m:t>
              </m:r>
              <m:r>
                <m:rPr>
                  <m:sty m:val="p"/>
                </m:rPr>
                <m:t>,</m:t>
              </m:r>
              <m:r>
                <m:t>c</m:t>
              </m:r>
            </m:e>
          </m:d>
          <m:r>
            <m:rPr>
              <m:sty m:val="p"/>
            </m:rPr>
            <m:t>&gt;</m:t>
          </m:r>
          <m:r>
            <m:t>0</m:t>
          </m:r>
          <m:r>
            <m:t> </m:t>
          </m:r>
          <m:r>
            <m:rPr>
              <m:nor/>
              <m:sty m:val="p"/>
            </m:rPr>
            <m:t> for </m:t>
          </m:r>
          <m:r>
            <m:t>c</m:t>
          </m:r>
          <m:r>
            <m:rPr>
              <m:sty m:val="p"/>
            </m:rPr>
            <m:t>∈</m:t>
          </m:r>
          <m:sSub>
            <m:e>
              <m:r>
                <m:t>N</m:t>
              </m:r>
            </m:e>
            <m:sub>
              <m:r>
                <m:t>c</m:t>
              </m:r>
            </m:sub>
          </m:sSub>
          <m:r>
            <m:rPr>
              <m:sty m:val="p"/>
            </m:rPr>
            <m:t>}</m:t>
          </m:r>
        </m:oMath>
      </m:oMathPara>
    </w:p>
    <w:p>
      <w:pPr>
        <w:pStyle w:val="FirstParagraph"/>
      </w:pPr>
      <w:r>
        <w:t xml:space="preserve">.</w:t>
      </w:r>
    </w:p>
    <w:p>
      <w:pPr>
        <w:pStyle w:val="BodyText"/>
      </w:pPr>
      <w:r>
        <w:t xml:space="preserve">Participant social reach is defined as weighted node degree in the MPX NYC participant network. For participant</w:t>
      </w:r>
      <w:r>
        <w:t xml:space="preserve"> </w:t>
      </w:r>
      <m:oMath>
        <m:r>
          <m:t>i</m:t>
        </m:r>
        <m:r>
          <m:rPr>
            <m:sty m:val="p"/>
          </m:rPr>
          <m:t>∈</m:t>
        </m:r>
        <m:sSub>
          <m:e>
            <m:r>
              <m:t>N</m:t>
            </m:r>
          </m:e>
          <m:sub>
            <m:r>
              <m:t>p</m:t>
            </m:r>
          </m:sub>
        </m:sSub>
      </m:oMath>
    </w:p>
    <w:p>
      <w:pPr>
        <w:pStyle w:val="BodyText"/>
      </w:pPr>
      <m:oMathPara>
        <m:oMathParaPr>
          <m:jc m:val="center"/>
        </m:oMathParaPr>
        <m:oMath>
          <m:sSub>
            <m:e>
              <m:r>
                <m:t>R</m:t>
              </m:r>
            </m:e>
            <m:sub>
              <m:r>
                <m:t>i</m:t>
              </m:r>
            </m:sub>
          </m:sSub>
          <m:r>
            <m:rPr>
              <m:sty m:val="p"/>
            </m:rPr>
            <m:t>=</m:t>
          </m:r>
          <m:nary>
            <m:naryPr>
              <m:chr m:val="∑"/>
              <m:limLoc m:val="undOvr"/>
              <m:subHide m:val="0"/>
              <m:supHide m:val="1"/>
            </m:naryPr>
            <m:sub>
              <m:r>
                <m:t>j</m:t>
              </m:r>
              <m:r>
                <m:rPr>
                  <m:sty m:val="p"/>
                </m:rPr>
                <m:t>∈</m:t>
              </m:r>
              <m:sSub>
                <m:e>
                  <m:r>
                    <m:t>N</m:t>
                  </m:r>
                </m:e>
                <m:sub>
                  <m:r>
                    <m:t>p</m:t>
                  </m:r>
                </m:sub>
              </m:sSub>
            </m:sub>
            <m:sup>
              <m:r>
                <m:t>​</m:t>
              </m:r>
            </m:sup>
            <m:e>
              <m:sSub>
                <m:e>
                  <m:r>
                    <m:t>ψ</m:t>
                  </m:r>
                </m:e>
                <m:sub>
                  <m:r>
                    <m:t>p</m:t>
                  </m:r>
                </m:sub>
              </m:sSub>
              <m:d>
                <m:dPr>
                  <m:begChr m:val="("/>
                  <m:endChr m:val=")"/>
                  <m:sepChr m:val=""/>
                  <m:grow/>
                </m:dPr>
                <m:e>
                  <m:r>
                    <m:t>i</m:t>
                  </m:r>
                  <m:r>
                    <m:rPr>
                      <m:sty m:val="p"/>
                    </m:rPr>
                    <m:t>,</m:t>
                  </m:r>
                  <m:r>
                    <m:t>j</m:t>
                  </m:r>
                </m:e>
              </m:d>
            </m:e>
          </m:nary>
        </m:oMath>
      </m:oMathPara>
    </w:p>
    <w:p>
      <w:pPr>
        <w:pStyle w:val="FirstParagraph"/>
      </w:pPr>
      <m:oMathPara>
        <m:oMathParaPr>
          <m:jc m:val="center"/>
        </m:oMathParaPr>
        <m:oMath>
          <m:sSub>
            <m:e>
              <m:r>
                <m:t>R</m:t>
              </m:r>
            </m:e>
            <m:sub>
              <m:r>
                <m:t>i</m:t>
              </m:r>
            </m:sub>
          </m:sSub>
          <m:r>
            <m:rPr>
              <m:sty m:val="p"/>
            </m:rPr>
            <m:t>|</m:t>
          </m:r>
          <m:r>
            <m:t>A</m:t>
          </m:r>
          <m:r>
            <m:rPr>
              <m:sty m:val="p"/>
            </m:rPr>
            <m:t>=</m:t>
          </m:r>
          <m:nary>
            <m:naryPr>
              <m:chr m:val="∑"/>
              <m:limLoc m:val="undOvr"/>
              <m:subHide m:val="0"/>
              <m:supHide m:val="1"/>
            </m:naryPr>
            <m:sub>
              <m:r>
                <m:t>j</m:t>
              </m:r>
              <m:r>
                <m:rPr>
                  <m:sty m:val="p"/>
                </m:rPr>
                <m:t>∈</m:t>
              </m:r>
              <m:sSub>
                <m:e>
                  <m:r>
                    <m:t>N</m:t>
                  </m:r>
                </m:e>
                <m:sub>
                  <m:r>
                    <m:t>p</m:t>
                  </m:r>
                </m:sub>
              </m:sSub>
            </m:sub>
            <m:sup>
              <m:r>
                <m:t>​</m:t>
              </m:r>
            </m:sup>
            <m:e>
              <m:sSub>
                <m:e>
                  <m:r>
                    <m:t>ψ</m:t>
                  </m:r>
                </m:e>
                <m:sub>
                  <m:r>
                    <m:t>p</m:t>
                  </m:r>
                </m:sub>
              </m:sSub>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j</m:t>
                  </m:r>
                </m:e>
              </m:d>
            </m:e>
          </m:nary>
        </m:oMath>
      </m:oMathPara>
    </w:p>
    <w:p>
      <w:pPr>
        <w:pStyle w:val="FirstParagraph"/>
      </w:pPr>
      <w:r>
        <w:t xml:space="preserve">where the indicator function</w:t>
      </w:r>
      <w:r>
        <w:t xml:space="preserve"> </w:t>
      </w:r>
      <m:oMath>
        <m:sSub>
          <m:e>
            <m:r>
              <m:t>I</m:t>
            </m:r>
          </m:e>
          <m:sub>
            <m:r>
              <m:t>x</m:t>
            </m:r>
            <m:r>
              <m:rPr>
                <m:sty m:val="p"/>
              </m:rPr>
              <m:t>∈</m:t>
            </m:r>
            <m:r>
              <m:t>A</m:t>
            </m:r>
          </m:sub>
        </m:sSub>
        <m:d>
          <m:dPr>
            <m:begChr m:val="("/>
            <m:endChr m:val=")"/>
            <m:sepChr m:val=""/>
            <m:grow/>
          </m:dPr>
          <m:e>
            <m:r>
              <m:t>x</m:t>
            </m:r>
          </m:e>
        </m:d>
      </m:oMath>
      <w:r>
        <w:t xml:space="preserve"> </w:t>
      </w:r>
      <w:r>
        <w:t xml:space="preserve">equals</w:t>
      </w:r>
      <w:r>
        <w:t xml:space="preserve"> </w:t>
      </w:r>
      <m:oMath>
        <m:r>
          <m:t>1</m:t>
        </m:r>
      </m:oMath>
      <w:r>
        <w:t xml:space="preserve"> </w:t>
      </w:r>
      <w:r>
        <w:t xml:space="preserve">when</w:t>
      </w:r>
      <w:r>
        <w:t xml:space="preserve"> </w:t>
      </w:r>
      <m:oMath>
        <m:r>
          <m:t>x</m:t>
        </m:r>
        <m:r>
          <m:rPr>
            <m:sty m:val="p"/>
          </m:rPr>
          <m:t>∈</m:t>
        </m:r>
        <m:r>
          <m:t>A</m:t>
        </m:r>
      </m:oMath>
      <w:r>
        <w:t xml:space="preserve"> </w:t>
      </w:r>
      <w:r>
        <w:t xml:space="preserve">and</w:t>
      </w:r>
      <w:r>
        <w:t xml:space="preserve"> </w:t>
      </w:r>
      <m:oMath>
        <m:r>
          <m:t>0</m:t>
        </m:r>
      </m:oMath>
      <w:r>
        <w:t xml:space="preserve"> </w:t>
      </w:r>
      <w:r>
        <w:t xml:space="preserve">otherwise.</w:t>
      </w:r>
    </w:p>
    <w:bookmarkEnd w:id="115"/>
    <w:bookmarkStart w:id="116" w:name="participant-spacial-reach"/>
    <w:p>
      <w:pPr>
        <w:pStyle w:val="Heading4"/>
      </w:pPr>
      <w:r>
        <w:t xml:space="preserve">Participant spacial reach</w:t>
      </w:r>
    </w:p>
    <w:p>
      <w:pPr>
        <w:pStyle w:val="FirstParagraph"/>
      </w:pPr>
      <w:r>
        <w:t xml:space="preserve">Participant spacial reach is defined as the number of connections the focal participant has with community districts. It is defined as the weighted node degree in the MPX NYC spacial participant network. For</w:t>
      </w:r>
      <w:r>
        <w:t xml:space="preserve"> </w:t>
      </w:r>
      <m:oMath>
        <m:r>
          <m:t>i</m:t>
        </m:r>
        <m:r>
          <m:rPr>
            <m:sty m:val="p"/>
          </m:rPr>
          <m:t>∈</m:t>
        </m:r>
        <m:sSub>
          <m:e>
            <m:r>
              <m:t>N</m:t>
            </m:r>
          </m:e>
          <m:sub>
            <m:r>
              <m:t>p</m:t>
            </m:r>
          </m:sub>
        </m:sSub>
      </m:oMath>
    </w:p>
    <w:p>
      <w:pPr>
        <w:pStyle w:val="BodyText"/>
      </w:pPr>
      <m:oMathPara>
        <m:oMathParaPr>
          <m:jc m:val="center"/>
        </m:oMathParaPr>
        <m:oMath>
          <m:sSub>
            <m:e>
              <m:r>
                <m:t>S</m:t>
              </m:r>
            </m:e>
            <m:sub>
              <m:r>
                <m:t>i</m:t>
              </m:r>
            </m:sub>
          </m:sSub>
          <m:r>
            <m:rPr>
              <m:sty m:val="p"/>
            </m:rPr>
            <m:t>=</m:t>
          </m:r>
          <m:nary>
            <m:naryPr>
              <m:chr m:val="∑"/>
              <m:limLoc m:val="undOvr"/>
              <m:subHide m:val="0"/>
              <m:supHide m:val="1"/>
            </m:naryPr>
            <m:sub>
              <m:r>
                <m:t>j</m:t>
              </m:r>
              <m:r>
                <m:rPr>
                  <m:sty m:val="p"/>
                </m:rPr>
                <m:t>∈</m:t>
              </m:r>
              <m:sSub>
                <m:e>
                  <m:r>
                    <m:t>N</m:t>
                  </m:r>
                </m:e>
                <m:sub>
                  <m:r>
                    <m:t>c</m:t>
                  </m:r>
                </m:sub>
              </m:sSub>
            </m:sub>
            <m:sup>
              <m:r>
                <m:t>​</m:t>
              </m:r>
            </m:sup>
            <m:e>
              <m:r>
                <m:t>ψ</m:t>
              </m:r>
              <m:d>
                <m:dPr>
                  <m:begChr m:val="("/>
                  <m:endChr m:val=")"/>
                  <m:sepChr m:val=""/>
                  <m:grow/>
                </m:dPr>
                <m:e>
                  <m:r>
                    <m:t>i</m:t>
                  </m:r>
                  <m:r>
                    <m:rPr>
                      <m:sty m:val="p"/>
                    </m:rPr>
                    <m:t>,</m:t>
                  </m:r>
                  <m:r>
                    <m:t>j</m:t>
                  </m:r>
                </m:e>
              </m:d>
            </m:e>
          </m:nary>
        </m:oMath>
      </m:oMathPara>
    </w:p>
    <w:p>
      <w:pPr>
        <w:pStyle w:val="FirstParagraph"/>
      </w:pPr>
      <m:oMathPara>
        <m:oMathParaPr>
          <m:jc m:val="center"/>
        </m:oMathParaPr>
        <m:oMath>
          <m:sSub>
            <m:e>
              <m:r>
                <m:t>S</m:t>
              </m:r>
            </m:e>
            <m:sub>
              <m:r>
                <m:t>i</m:t>
              </m:r>
            </m:sub>
          </m:sSub>
          <m:r>
            <m:rPr>
              <m:sty m:val="p"/>
            </m:rPr>
            <m:t>|</m:t>
          </m:r>
          <m:r>
            <m:t>A</m:t>
          </m:r>
          <m:r>
            <m:rPr>
              <m:sty m:val="p"/>
            </m:rPr>
            <m:t>=</m:t>
          </m:r>
          <m:nary>
            <m:naryPr>
              <m:chr m:val="∑"/>
              <m:limLoc m:val="undOvr"/>
              <m:subHide m:val="0"/>
              <m:supHide m:val="1"/>
            </m:naryPr>
            <m:sub>
              <m:r>
                <m:t>j</m:t>
              </m:r>
              <m:r>
                <m:rPr>
                  <m:sty m:val="p"/>
                </m:rPr>
                <m:t>∈</m:t>
              </m:r>
              <m:sSub>
                <m:e>
                  <m:r>
                    <m:t>N</m:t>
                  </m:r>
                </m:e>
                <m:sub>
                  <m:r>
                    <m:t>c</m:t>
                  </m:r>
                </m:sub>
              </m:sSub>
            </m:sub>
            <m:sup>
              <m:r>
                <m:t>​</m:t>
              </m:r>
            </m:sup>
            <m:e>
              <m:r>
                <m:t>ψ</m:t>
              </m:r>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j</m:t>
                  </m:r>
                </m:e>
              </m:d>
            </m:e>
          </m:nary>
        </m:oMath>
      </m:oMathPara>
    </w:p>
    <w:bookmarkEnd w:id="116"/>
    <w:bookmarkStart w:id="117" w:name="community-district-social-reach"/>
    <w:p>
      <w:pPr>
        <w:pStyle w:val="Heading4"/>
      </w:pPr>
      <w:r>
        <w:t xml:space="preserve">Community district social reach</w:t>
      </w:r>
    </w:p>
    <w:p>
      <w:pPr>
        <w:pStyle w:val="FirstParagraph"/>
      </w:pPr>
      <w:r>
        <w:t xml:space="preserve">Community district social reach is defined as the number of connections the focal community district has with participants. It is defined as the weighted node degree in the MPX NYC spacial participant network. For</w:t>
      </w:r>
      <w:r>
        <w:t xml:space="preserve"> </w:t>
      </w:r>
      <m:oMath>
        <m:r>
          <m:t>j</m:t>
        </m:r>
        <m:r>
          <m:rPr>
            <m:sty m:val="p"/>
          </m:rPr>
          <m:t>∈</m:t>
        </m:r>
        <m:sSub>
          <m:e>
            <m:r>
              <m:t>N</m:t>
            </m:r>
          </m:e>
          <m:sub>
            <m:r>
              <m:t>c</m:t>
            </m:r>
          </m:sub>
        </m:sSub>
      </m:oMath>
      <w:r>
        <w:t xml:space="preserve">:</w:t>
      </w:r>
    </w:p>
    <w:p>
      <w:pPr>
        <w:pStyle w:val="BodyText"/>
      </w:pPr>
      <m:oMathPara>
        <m:oMathParaPr>
          <m:jc m:val="center"/>
        </m:oMathParaPr>
        <m:oMath>
          <m:sSub>
            <m:e>
              <m:r>
                <m:t>r</m:t>
              </m:r>
            </m:e>
            <m:sub>
              <m:r>
                <m:t>j</m:t>
              </m:r>
            </m:sub>
          </m:sSub>
          <m:r>
            <m:rPr>
              <m:sty m:val="p"/>
            </m:rPr>
            <m:t>=</m:t>
          </m:r>
          <m:nary>
            <m:naryPr>
              <m:chr m:val="∑"/>
              <m:limLoc m:val="undOvr"/>
              <m:subHide m:val="0"/>
              <m:supHide m:val="1"/>
            </m:naryPr>
            <m:sub>
              <m:r>
                <m:t>i</m:t>
              </m:r>
              <m:r>
                <m:rPr>
                  <m:sty m:val="p"/>
                </m:rPr>
                <m:t>∈</m:t>
              </m:r>
              <m:sSub>
                <m:e>
                  <m:r>
                    <m:t>N</m:t>
                  </m:r>
                </m:e>
                <m:sub>
                  <m:r>
                    <m:t>p</m:t>
                  </m:r>
                </m:sub>
              </m:sSub>
            </m:sub>
            <m:sup>
              <m:r>
                <m:t>​</m:t>
              </m:r>
            </m:sup>
            <m:e>
              <m:r>
                <m:t>ψ</m:t>
              </m:r>
              <m:d>
                <m:dPr>
                  <m:begChr m:val="("/>
                  <m:endChr m:val=")"/>
                  <m:sepChr m:val=""/>
                  <m:grow/>
                </m:dPr>
                <m:e>
                  <m:r>
                    <m:t>i</m:t>
                  </m:r>
                  <m:r>
                    <m:rPr>
                      <m:sty m:val="p"/>
                    </m:rPr>
                    <m:t>,</m:t>
                  </m:r>
                  <m:r>
                    <m:t>j</m:t>
                  </m:r>
                </m:e>
              </m:d>
            </m:e>
          </m:nary>
        </m:oMath>
      </m:oMathPara>
    </w:p>
    <w:p>
      <w:pPr>
        <w:pStyle w:val="FirstParagraph"/>
      </w:pPr>
      <m:oMathPara>
        <m:oMathParaPr>
          <m:jc m:val="center"/>
        </m:oMathParaPr>
        <m:oMath>
          <m:sSub>
            <m:e>
              <m:r>
                <m:t>r</m:t>
              </m:r>
            </m:e>
            <m:sub>
              <m:r>
                <m:t>j</m:t>
              </m:r>
            </m:sub>
          </m:sSub>
          <m:r>
            <m:rPr>
              <m:sty m:val="p"/>
            </m:rPr>
            <m:t>|</m:t>
          </m:r>
          <m:r>
            <m:t>A</m:t>
          </m:r>
          <m:r>
            <m:rPr>
              <m:sty m:val="p"/>
            </m:rPr>
            <m:t>=</m:t>
          </m:r>
          <m:nary>
            <m:naryPr>
              <m:chr m:val="∑"/>
              <m:limLoc m:val="undOvr"/>
              <m:subHide m:val="0"/>
              <m:supHide m:val="1"/>
            </m:naryPr>
            <m:sub>
              <m:r>
                <m:t>i</m:t>
              </m:r>
              <m:r>
                <m:rPr>
                  <m:sty m:val="p"/>
                </m:rPr>
                <m:t>∈</m:t>
              </m:r>
              <m:sSub>
                <m:e>
                  <m:r>
                    <m:t>N</m:t>
                  </m:r>
                </m:e>
                <m:sub>
                  <m:r>
                    <m:t>p</m:t>
                  </m:r>
                </m:sub>
              </m:sSub>
            </m:sub>
            <m:sup>
              <m:r>
                <m:t>​</m:t>
              </m:r>
            </m:sup>
            <m:e>
              <m:r>
                <m:t>ψ</m:t>
              </m:r>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i</m:t>
                  </m:r>
                </m:e>
              </m:d>
            </m:e>
          </m:nary>
        </m:oMath>
      </m:oMathPara>
    </w:p>
    <w:bookmarkEnd w:id="117"/>
    <w:bookmarkStart w:id="118" w:name="community-district-spacial-reach"/>
    <w:p>
      <w:pPr>
        <w:pStyle w:val="Heading4"/>
      </w:pPr>
      <w:r>
        <w:t xml:space="preserve">Community district spacial reach</w:t>
      </w:r>
    </w:p>
    <w:p>
      <w:pPr>
        <w:pStyle w:val="FirstParagraph"/>
      </w:pPr>
      <w:r>
        <w:t xml:space="preserve">Community district spacial reach is defined as the number of connections the focal community district has with other community districts through shared participants. For community districts</w:t>
      </w:r>
      <w:r>
        <w:t xml:space="preserve"> </w:t>
      </w:r>
      <m:oMath>
        <m:r>
          <m:t>c</m:t>
        </m:r>
      </m:oMath>
      <w:r>
        <w:t xml:space="preserve"> </w:t>
      </w:r>
      <w:r>
        <w:t xml:space="preserve">and</w:t>
      </w:r>
      <w:r>
        <w:t xml:space="preserve"> </w:t>
      </w:r>
      <m:oMath>
        <m:r>
          <m:t>d</m:t>
        </m:r>
      </m:oMath>
      <w:r>
        <w:t xml:space="preserve">, by</w:t>
      </w:r>
      <w:r>
        <w:t xml:space="preserve"> </w:t>
      </w:r>
      <w:r>
        <w:t xml:space="preserve">“</w:t>
      </w:r>
      <w:r>
        <w:t xml:space="preserve">shared participants</w:t>
      </w:r>
      <w:r>
        <w:t xml:space="preserve">”</w:t>
      </w:r>
      <w:r>
        <w:t xml:space="preserve">, we mean the set</w:t>
      </w:r>
    </w:p>
    <w:p>
      <w:pPr>
        <w:pStyle w:val="BodyText"/>
      </w:pPr>
      <m:oMathPara>
        <m:oMathParaPr>
          <m:jc m:val="center"/>
        </m:oMathParaPr>
        <m:oMath>
          <m:r>
            <m:rPr>
              <m:sty m:val="p"/>
            </m:rPr>
            <m:t>{</m:t>
          </m:r>
          <m:r>
            <m:t>p</m:t>
          </m:r>
          <m:r>
            <m:rPr>
              <m:sty m:val="p"/>
            </m:rPr>
            <m:t>:</m:t>
          </m:r>
          <m:r>
            <m:t>ψ</m:t>
          </m:r>
          <m:d>
            <m:dPr>
              <m:begChr m:val="("/>
              <m:endChr m:val=")"/>
              <m:sepChr m:val=""/>
              <m:grow/>
            </m:dPr>
            <m:e>
              <m:r>
                <m:t>p</m:t>
              </m:r>
              <m:r>
                <m:rPr>
                  <m:sty m:val="p"/>
                </m:rPr>
                <m:t>,</m:t>
              </m:r>
              <m:r>
                <m:t>c</m:t>
              </m:r>
            </m:e>
          </m:d>
          <m:r>
            <m:rPr>
              <m:sty m:val="p"/>
            </m:rPr>
            <m:t>&gt;</m:t>
          </m:r>
          <m:r>
            <m:t>0</m:t>
          </m:r>
          <m:r>
            <m:rPr>
              <m:nor/>
              <m:sty m:val="p"/>
            </m:rPr>
            <m:t> and </m:t>
          </m:r>
          <m:r>
            <m:t>ψ</m:t>
          </m:r>
          <m:d>
            <m:dPr>
              <m:begChr m:val="("/>
              <m:endChr m:val=")"/>
              <m:sepChr m:val=""/>
              <m:grow/>
            </m:dPr>
            <m:e>
              <m:r>
                <m:t>p</m:t>
              </m:r>
              <m:r>
                <m:rPr>
                  <m:sty m:val="p"/>
                </m:rPr>
                <m:t>,</m:t>
              </m:r>
              <m:r>
                <m:t>d</m:t>
              </m:r>
            </m:e>
          </m:d>
          <m:r>
            <m:rPr>
              <m:sty m:val="p"/>
            </m:rPr>
            <m:t>&gt;</m:t>
          </m:r>
          <m:r>
            <m:t>0</m:t>
          </m:r>
          <m:r>
            <m:t> </m:t>
          </m:r>
          <m:r>
            <m:rPr>
              <m:nor/>
              <m:sty m:val="p"/>
            </m:rPr>
            <m:t> for </m:t>
          </m:r>
          <m:r>
            <m:t>p</m:t>
          </m:r>
          <m:r>
            <m:rPr>
              <m:sty m:val="p"/>
            </m:rPr>
            <m:t>∈</m:t>
          </m:r>
          <m:sSub>
            <m:e>
              <m:r>
                <m:t>N</m:t>
              </m:r>
            </m:e>
            <m:sub>
              <m:r>
                <m:t>p</m:t>
              </m:r>
            </m:sub>
          </m:sSub>
          <m:r>
            <m:rPr>
              <m:sty m:val="p"/>
            </m:rPr>
            <m:t>}</m:t>
          </m:r>
        </m:oMath>
      </m:oMathPara>
    </w:p>
    <w:p>
      <w:pPr>
        <w:pStyle w:val="FirstParagraph"/>
      </w:pPr>
      <w:r>
        <w:t xml:space="preserve">Community district spacial reach is defined as the weighted node degree in the MPX NYC community district network. For</w:t>
      </w:r>
      <w:r>
        <w:t xml:space="preserve"> </w:t>
      </w:r>
      <m:oMath>
        <m:r>
          <m:t>j</m:t>
        </m:r>
        <m:r>
          <m:rPr>
            <m:sty m:val="p"/>
          </m:rPr>
          <m:t>∈</m:t>
        </m:r>
        <m:sSub>
          <m:e>
            <m:r>
              <m:t>N</m:t>
            </m:r>
          </m:e>
          <m:sub>
            <m:r>
              <m:t>c</m:t>
            </m:r>
          </m:sub>
        </m:sSub>
      </m:oMath>
    </w:p>
    <w:p>
      <w:pPr>
        <w:pStyle w:val="BodyText"/>
      </w:pPr>
      <m:oMathPara>
        <m:oMathParaPr>
          <m:jc m:val="center"/>
        </m:oMathParaPr>
        <m:oMath>
          <m:sSub>
            <m:e>
              <m:r>
                <m:t>s</m:t>
              </m:r>
            </m:e>
            <m:sub>
              <m:r>
                <m:t>j</m:t>
              </m:r>
            </m:sub>
          </m:sSub>
          <m:r>
            <m:rPr>
              <m:sty m:val="p"/>
            </m:rPr>
            <m:t>=</m:t>
          </m:r>
          <m:nary>
            <m:naryPr>
              <m:chr m:val="∑"/>
              <m:limLoc m:val="undOvr"/>
              <m:subHide m:val="0"/>
              <m:supHide m:val="1"/>
            </m:naryPr>
            <m:sub>
              <m:r>
                <m:t>i</m:t>
              </m:r>
              <m:r>
                <m:rPr>
                  <m:sty m:val="p"/>
                </m:rPr>
                <m:t>∈</m:t>
              </m:r>
              <m:sSub>
                <m:e>
                  <m:r>
                    <m:t>N</m:t>
                  </m:r>
                </m:e>
                <m:sub>
                  <m:r>
                    <m:t>c</m:t>
                  </m:r>
                </m:sub>
              </m:sSub>
            </m:sub>
            <m:sup>
              <m:r>
                <m:t>​</m:t>
              </m:r>
            </m:sup>
            <m:e>
              <m:sSub>
                <m:e>
                  <m:r>
                    <m:t>ψ</m:t>
                  </m:r>
                </m:e>
                <m:sub>
                  <m:r>
                    <m:t>c</m:t>
                  </m:r>
                </m:sub>
              </m:sSub>
              <m:d>
                <m:dPr>
                  <m:begChr m:val="("/>
                  <m:endChr m:val=")"/>
                  <m:sepChr m:val=""/>
                  <m:grow/>
                </m:dPr>
                <m:e>
                  <m:r>
                    <m:t>i</m:t>
                  </m:r>
                  <m:r>
                    <m:rPr>
                      <m:sty m:val="p"/>
                    </m:rPr>
                    <m:t>,</m:t>
                  </m:r>
                  <m:r>
                    <m:t>j</m:t>
                  </m:r>
                </m:e>
              </m:d>
            </m:e>
          </m:nary>
        </m:oMath>
      </m:oMathPara>
    </w:p>
    <w:p>
      <w:pPr>
        <w:pStyle w:val="FirstParagraph"/>
      </w:pPr>
      <m:oMathPara>
        <m:oMathParaPr>
          <m:jc m:val="center"/>
        </m:oMathParaPr>
        <m:oMath>
          <m:sSub>
            <m:e>
              <m:r>
                <m:t>s</m:t>
              </m:r>
            </m:e>
            <m:sub>
              <m:r>
                <m:t>j</m:t>
              </m:r>
            </m:sub>
          </m:sSub>
          <m:r>
            <m:rPr>
              <m:sty m:val="p"/>
            </m:rPr>
            <m:t>|</m:t>
          </m:r>
          <m:r>
            <m:t>A</m:t>
          </m:r>
          <m:r>
            <m:rPr>
              <m:sty m:val="p"/>
            </m:rPr>
            <m:t>=</m:t>
          </m:r>
          <m:nary>
            <m:naryPr>
              <m:chr m:val="∑"/>
              <m:limLoc m:val="undOvr"/>
              <m:subHide m:val="0"/>
              <m:supHide m:val="1"/>
            </m:naryPr>
            <m:sub>
              <m:r>
                <m:t>i</m:t>
              </m:r>
              <m:r>
                <m:rPr>
                  <m:sty m:val="p"/>
                </m:rPr>
                <m:t>∈</m:t>
              </m:r>
              <m:sSub>
                <m:e>
                  <m:r>
                    <m:t>N</m:t>
                  </m:r>
                </m:e>
                <m:sub>
                  <m:r>
                    <m:t>c</m:t>
                  </m:r>
                </m:sub>
              </m:sSub>
            </m:sub>
            <m:sup>
              <m:r>
                <m:t>​</m:t>
              </m:r>
            </m:sup>
            <m:e>
              <m:sSub>
                <m:e>
                  <m:r>
                    <m:t>ψ</m:t>
                  </m:r>
                </m:e>
                <m:sub>
                  <m:r>
                    <m:t>c</m:t>
                  </m:r>
                </m:sub>
              </m:sSub>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i</m:t>
                  </m:r>
                </m:e>
              </m:d>
            </m:e>
          </m:nary>
        </m:oMath>
      </m:oMathPara>
    </w:p>
    <w:bookmarkEnd w:id="118"/>
    <w:bookmarkEnd w:id="119"/>
    <w:bookmarkStart w:id="121" w:name="connected-components"/>
    <w:p>
      <w:pPr>
        <w:pStyle w:val="Heading3"/>
      </w:pPr>
      <w:r>
        <w:t xml:space="preserve">Connected components</w:t>
      </w:r>
    </w:p>
    <w:p>
      <w:pPr>
        <w:pStyle w:val="FirstParagraph"/>
      </w:pPr>
      <w:r>
        <w:t xml:space="preserve">In a given network, a connected component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w:t>
      </w:r>
    </w:p>
    <w:p>
      <w:pPr>
        <w:pStyle w:val="BodyText"/>
      </w:pPr>
      <w:r>
        <w:t xml:space="preserve">A connected component of</w:t>
      </w:r>
      <w:r>
        <w:t xml:space="preserve"> </w:t>
      </w:r>
      <m:oMath>
        <m:r>
          <m:t>G</m:t>
        </m:r>
        <m:d>
          <m:dPr>
            <m:begChr m:val="("/>
            <m:endChr m:val=")"/>
            <m:sepChr m:val=""/>
            <m:grow/>
          </m:dPr>
          <m:e>
            <m:r>
              <m:t>N</m:t>
            </m:r>
            <m:r>
              <m:rPr>
                <m:sty m:val="p"/>
              </m:rPr>
              <m:t>,</m:t>
            </m:r>
            <m:r>
              <m:t>ψ</m:t>
            </m:r>
          </m:e>
        </m:d>
      </m:oMath>
      <w:r>
        <w:t xml:space="preserve"> </w:t>
      </w:r>
      <w:r>
        <w:t xml:space="preserve">is a subset</w:t>
      </w:r>
      <w:r>
        <w:t xml:space="preserve"> </w:t>
      </w:r>
      <m:oMath>
        <m:r>
          <m:t>C</m:t>
        </m:r>
        <m:r>
          <m:rPr>
            <m:sty m:val="p"/>
          </m:rPr>
          <m:t>⊂</m:t>
        </m:r>
        <m:r>
          <m:t>N</m:t>
        </m:r>
      </m:oMath>
      <w:r>
        <w:t xml:space="preserve"> </w:t>
      </w:r>
      <w:r>
        <w:t xml:space="preserve">such that for</w:t>
      </w:r>
      <w:r>
        <w:t xml:space="preserve"> </w:t>
      </w:r>
      <m:oMath>
        <m:r>
          <m:t>i</m:t>
        </m:r>
        <m:r>
          <m:rPr>
            <m:sty m:val="p"/>
          </m:rPr>
          <m:t>,</m:t>
        </m:r>
        <m:r>
          <m:t>j</m:t>
        </m:r>
        <m:r>
          <m:rPr>
            <m:sty m:val="p"/>
          </m:rPr>
          <m:t>∈</m:t>
        </m:r>
        <m:r>
          <m:t>C</m:t>
        </m:r>
      </m:oMath>
      <w:r>
        <w:t xml:space="preserve">,</w:t>
      </w:r>
      <w:r>
        <w:t xml:space="preserve"> </w:t>
      </w:r>
      <m:oMath>
        <m:r>
          <m:t>i</m:t>
        </m:r>
        <m:r>
          <m:rPr>
            <m:sty m:val="p"/>
          </m:rPr>
          <m:t>≠</m:t>
        </m:r>
        <m:r>
          <m:t>j</m:t>
        </m:r>
      </m:oMath>
    </w:p>
    <w:p>
      <w:pPr>
        <w:pStyle w:val="BodyText"/>
      </w:pPr>
      <m:oMathPara>
        <m:oMathParaPr>
          <m:jc m:val="center"/>
        </m:oMathParaPr>
        <m:oMath>
          <m:r>
            <m:t>ψ</m:t>
          </m:r>
          <m:d>
            <m:dPr>
              <m:begChr m:val="("/>
              <m:endChr m:val=")"/>
              <m:sepChr m:val=""/>
              <m:grow/>
            </m:dPr>
            <m:e>
              <m:r>
                <m:t>i</m:t>
              </m:r>
              <m:r>
                <m:rPr>
                  <m:sty m:val="p"/>
                </m:rPr>
                <m:t>,</m:t>
              </m:r>
              <m:r>
                <m:t>j</m:t>
              </m:r>
            </m:e>
          </m:d>
          <m:r>
            <m:rPr>
              <m:sty m:val="p"/>
            </m:rPr>
            <m:t>&gt;</m:t>
          </m:r>
          <m:r>
            <m:t>0</m:t>
          </m:r>
        </m:oMath>
      </m:oMathPara>
    </w:p>
    <w:p>
      <w:pPr>
        <w:pStyle w:val="FirstParagraph"/>
      </w:pPr>
      <w:r>
        <w:t xml:space="preserve">and for</w:t>
      </w:r>
      <w:r>
        <w:t xml:space="preserve"> </w:t>
      </w:r>
      <m:oMath>
        <m:r>
          <m:t>i</m:t>
        </m:r>
        <m:r>
          <m:rPr>
            <m:sty m:val="p"/>
          </m:rPr>
          <m:t>∈</m:t>
        </m:r>
        <m:r>
          <m:t>C</m:t>
        </m:r>
      </m:oMath>
      <w:r>
        <w:t xml:space="preserve">,</w:t>
      </w:r>
      <w:r>
        <w:t xml:space="preserve"> </w:t>
      </w:r>
      <m:oMath>
        <m:r>
          <m:t>j</m:t>
        </m:r>
        <m:r>
          <m:rPr>
            <m:sty m:val="p"/>
          </m:rPr>
          <m:t>∉</m:t>
        </m:r>
        <m:r>
          <m:t>C</m:t>
        </m:r>
      </m:oMath>
      <w:r>
        <w:t xml:space="preserve">:</w:t>
      </w:r>
    </w:p>
    <w:p>
      <w:pPr>
        <w:pStyle w:val="BodyText"/>
      </w:pPr>
      <m:oMathPara>
        <m:oMathParaPr>
          <m:jc m:val="center"/>
        </m:oMathParaPr>
        <m:oMath>
          <m:r>
            <m:t>ψ</m:t>
          </m:r>
          <m:d>
            <m:dPr>
              <m:begChr m:val="("/>
              <m:endChr m:val=")"/>
              <m:sepChr m:val=""/>
              <m:grow/>
            </m:dPr>
            <m:e>
              <m:r>
                <m:t>i</m:t>
              </m:r>
              <m:r>
                <m:rPr>
                  <m:sty m:val="p"/>
                </m:rPr>
                <m:t>,</m:t>
              </m:r>
              <m:r>
                <m:t>j</m:t>
              </m:r>
            </m:e>
          </m:d>
          <m:r>
            <m:rPr>
              <m:sty m:val="p"/>
            </m:rPr>
            <m:t>=</m:t>
          </m:r>
          <m:r>
            <m:t>0</m:t>
          </m:r>
        </m:oMath>
      </m:oMathPara>
    </w:p>
    <w:p>
      <w:pPr>
        <w:pStyle w:val="FirstParagraph"/>
      </w:pPr>
      <w:r>
        <w:t xml:space="preserve">Singletons are trivially connected components.</w:t>
      </w:r>
    </w:p>
    <w:p>
      <w:pPr>
        <w:pStyle w:val="BodyText"/>
      </w:pPr>
      <w:r>
        <w:t xml:space="preserve">It is possible to partition the node set</w:t>
      </w:r>
      <w:r>
        <w:t xml:space="preserve"> </w:t>
      </w:r>
      <m:oMath>
        <m:r>
          <m:t>N</m:t>
        </m:r>
      </m:oMath>
      <w:r>
        <w:t xml:space="preserve"> </w:t>
      </w:r>
      <w:r>
        <w:t xml:space="preserve">into connected components. This follows from the facts that connected components form non-overalapping subsets of</w:t>
      </w:r>
      <w:r>
        <w:t xml:space="preserve"> </w:t>
      </w:r>
      <m:oMath>
        <m:r>
          <m:t>N</m:t>
        </m:r>
      </m:oMath>
      <w:r>
        <w:t xml:space="preserve"> </w:t>
      </w:r>
      <w:r>
        <w:t xml:space="preserve">and that it is possible to write</w:t>
      </w:r>
      <w:r>
        <w:t xml:space="preserve"> </w:t>
      </w:r>
      <m:oMath>
        <m:r>
          <m:t>N</m:t>
        </m:r>
      </m:oMath>
      <w:r>
        <w:t xml:space="preserve"> </w:t>
      </w:r>
      <w:r>
        <w:t xml:space="preserve">as a union of subsets which are each connected components. This partitioning is unique, we can therefore uniquely express the node set</w:t>
      </w:r>
      <w:r>
        <w:t xml:space="preserve"> </w:t>
      </w:r>
      <m:oMath>
        <m:r>
          <m:t>N</m:t>
        </m:r>
      </m:oMath>
      <w:r>
        <w:t xml:space="preserve"> </w:t>
      </w:r>
      <w:r>
        <w:t xml:space="preserve">as a union of connected components:</w:t>
      </w:r>
    </w:p>
    <w:p>
      <w:pPr>
        <w:pStyle w:val="BodyText"/>
      </w:pPr>
      <m:oMathPara>
        <m:oMathParaPr>
          <m:jc m:val="center"/>
        </m:oMathParaPr>
        <m:oMath>
          <m:r>
            <m:t>N</m:t>
          </m:r>
          <m:r>
            <m:rPr>
              <m:sty m:val="p"/>
            </m:rPr>
            <m:t>=</m:t>
          </m:r>
          <m:limLow>
            <m:e>
              <m:limUpp>
                <m:e>
                  <m:r>
                    <m:rPr>
                      <m:sty m:val="p"/>
                    </m:rPr>
                    <m:t>⋃</m:t>
                  </m:r>
                </m:e>
                <m:lim>
                  <m:r>
                    <m:t>K</m:t>
                  </m:r>
                </m:lim>
              </m:limUpp>
            </m:e>
            <m:lim>
              <m:r>
                <m:t>k</m:t>
              </m:r>
              <m:r>
                <m:rPr>
                  <m:sty m:val="p"/>
                </m:rPr>
                <m:t>=</m:t>
              </m:r>
              <m:r>
                <m:t>1</m:t>
              </m:r>
            </m:lim>
          </m:limLow>
          <m:sSub>
            <m:e>
              <m:r>
                <m:t>C</m:t>
              </m:r>
            </m:e>
            <m:sub>
              <m:r>
                <m:t>k</m:t>
              </m:r>
            </m:sub>
          </m:sSub>
        </m:oMath>
      </m:oMathPara>
    </w:p>
    <w:bookmarkStart w:id="120" w:name="Xde2ba7ab08ea9fa7f4d39d57abb39e0b9600f88"/>
    <w:p>
      <w:pPr>
        <w:pStyle w:val="Heading4"/>
      </w:pPr>
      <w:r>
        <w:t xml:space="preserve">Participant connected component size sequence</w:t>
      </w:r>
    </w:p>
    <w:p>
      <w:pPr>
        <w:pStyle w:val="FirstParagraph"/>
      </w:pPr>
      <w:r>
        <w:t xml:space="preserve">For the MPX NYC participant network</w:t>
      </w:r>
      <w:r>
        <w:t xml:space="preserve"> </w:t>
      </w:r>
      <m:oMath>
        <m:sSub>
          <m:e>
            <m:r>
              <m:t>G</m:t>
            </m:r>
          </m:e>
          <m:sub>
            <m:r>
              <m:t>p</m:t>
            </m:r>
          </m:sub>
        </m:sSub>
      </m:oMath>
      <w:r>
        <w:t xml:space="preserve">, we define the connected component size sequence</w:t>
      </w:r>
      <w:r>
        <w:t xml:space="preserve"> </w:t>
      </w:r>
      <m:oMath>
        <m:sSub>
          <m:e>
            <m:r>
              <m:t>c</m:t>
            </m:r>
          </m:e>
          <m:sub>
            <m:r>
              <m:t>p</m:t>
            </m:r>
            <m:r>
              <m:rPr>
                <m:sty m:val="p"/>
              </m:rPr>
              <m:t>,</m:t>
            </m:r>
            <m:r>
              <m:t>k</m:t>
            </m:r>
          </m:sub>
        </m:sSub>
        <m:r>
          <m:rPr>
            <m:sty m:val="p"/>
          </m:rPr>
          <m:t>∈</m:t>
        </m:r>
        <m:r>
          <m:rPr>
            <m:sty m:val="p"/>
            <m:scr m:val="double-struck"/>
          </m:rPr>
          <m:t>N</m:t>
        </m:r>
      </m:oMath>
      <w:r>
        <w:t xml:space="preserve">,</w:t>
      </w:r>
      <w:r>
        <w:t xml:space="preserve"> </w:t>
      </w:r>
      <m:oMath>
        <m:r>
          <m:t>k</m:t>
        </m:r>
        <m:r>
          <m:rPr>
            <m:sty m:val="p"/>
          </m:rPr>
          <m:t>∈</m:t>
        </m:r>
        <m:d>
          <m:dPr>
            <m:begChr m:val="["/>
            <m:endChr m:val="]"/>
            <m:sepChr m:val=""/>
            <m:grow/>
          </m:dPr>
          <m:e>
            <m:r>
              <m:t>1</m:t>
            </m:r>
            <m:r>
              <m:rPr>
                <m:sty m:val="p"/>
              </m:rPr>
              <m:t>,</m:t>
            </m:r>
            <m:r>
              <m:rPr>
                <m:sty m:val="p"/>
              </m:rPr>
              <m:t>.</m:t>
            </m:r>
            <m:r>
              <m:rPr>
                <m:sty m:val="p"/>
              </m:rPr>
              <m:t>.</m:t>
            </m:r>
            <m:r>
              <m:rPr>
                <m:sty m:val="p"/>
              </m:rPr>
              <m:t>.</m:t>
            </m:r>
            <m:r>
              <m:rPr>
                <m:sty m:val="p"/>
              </m:rPr>
              <m:t>,</m:t>
            </m:r>
            <m:r>
              <m:t>K</m:t>
            </m:r>
          </m:e>
        </m:d>
      </m:oMath>
      <w:r>
        <w:t xml:space="preserve"> </w:t>
      </w:r>
      <w:r>
        <w:t xml:space="preserve">with elements</w:t>
      </w:r>
    </w:p>
    <w:p>
      <w:pPr>
        <w:pStyle w:val="BodyText"/>
      </w:pPr>
      <m:oMathPara>
        <m:oMathParaPr>
          <m:jc m:val="center"/>
        </m:oMathParaPr>
        <m:oMath>
          <m:sSub>
            <m:e>
              <m:r>
                <m:t>c</m:t>
              </m:r>
            </m:e>
            <m:sub>
              <m:r>
                <m:t>p</m:t>
              </m:r>
              <m:r>
                <m:rPr>
                  <m:sty m:val="p"/>
                </m:rPr>
                <m:t>,</m:t>
              </m:r>
              <m:r>
                <m:t>k</m:t>
              </m:r>
            </m:sub>
          </m:sSub>
          <m:r>
            <m:rPr>
              <m:sty m:val="p"/>
            </m:rPr>
            <m:t>=</m:t>
          </m:r>
          <m:d>
            <m:dPr>
              <m:begChr m:val="|"/>
              <m:endChr m:val="|"/>
              <m:sepChr m:val=""/>
              <m:grow/>
            </m:dPr>
            <m:e>
              <m:sSub>
                <m:e>
                  <m:r>
                    <m:t>C</m:t>
                  </m:r>
                </m:e>
                <m:sub>
                  <m:r>
                    <m:t>p</m:t>
                  </m:r>
                  <m:r>
                    <m:rPr>
                      <m:sty m:val="p"/>
                    </m:rPr>
                    <m:t>,</m:t>
                  </m:r>
                  <m:r>
                    <m:t>k</m:t>
                  </m:r>
                </m:sub>
              </m:sSub>
            </m:e>
          </m:d>
        </m:oMath>
      </m:oMathPara>
    </w:p>
    <w:p>
      <w:pPr>
        <w:pStyle w:val="FirstParagraph"/>
      </w:pPr>
      <w:r>
        <w:t xml:space="preserve">Where</w:t>
      </w:r>
      <w:r>
        <w:t xml:space="preserve"> </w:t>
      </w:r>
      <m:oMath>
        <m:sSub>
          <m:e>
            <m:r>
              <m:t>C</m:t>
            </m:r>
          </m:e>
          <m:sub>
            <m:r>
              <m:t>p</m:t>
            </m:r>
            <m:r>
              <m:rPr>
                <m:sty m:val="p"/>
              </m:rPr>
              <m:t>,</m:t>
            </m:r>
            <m:r>
              <m:t>k</m:t>
            </m:r>
          </m:sub>
        </m:sSub>
      </m:oMath>
      <w:r>
        <w:t xml:space="preserve"> </w:t>
      </w:r>
      <w:r>
        <w:t xml:space="preserve">is a sequency of connected components of</w:t>
      </w:r>
      <w:r>
        <w:t xml:space="preserve"> </w:t>
      </w:r>
      <m:oMath>
        <m:sSub>
          <m:e>
            <m:r>
              <m:t>G</m:t>
            </m:r>
          </m:e>
          <m:sub>
            <m:r>
              <m:t>p</m:t>
            </m:r>
          </m:sub>
        </m:sSub>
        <m:d>
          <m:dPr>
            <m:begChr m:val="("/>
            <m:endChr m:val=")"/>
            <m:sepChr m:val=""/>
            <m:grow/>
          </m:dPr>
          <m:e>
            <m:sSub>
              <m:e>
                <m:r>
                  <m:t>N</m:t>
                </m:r>
              </m:e>
              <m:sub>
                <m:r>
                  <m:t>p</m:t>
                </m:r>
              </m:sub>
            </m:sSub>
            <m:r>
              <m:rPr>
                <m:sty m:val="p"/>
              </m:rPr>
              <m:t>,</m:t>
            </m:r>
            <m:sSub>
              <m:e>
                <m:r>
                  <m:t>ψ</m:t>
                </m:r>
              </m:e>
              <m:sub>
                <m:r>
                  <m:t>p</m:t>
                </m:r>
              </m:sub>
            </m:sSub>
          </m:e>
        </m:d>
      </m:oMath>
    </w:p>
    <w:p>
      <w:pPr>
        <w:pStyle w:val="BodyText"/>
      </w:pPr>
      <w:r>
        <w:t xml:space="preserve">This sequence has the property that:</w:t>
      </w:r>
    </w:p>
    <w:p>
      <w:pPr>
        <w:pStyle w:val="BodyText"/>
      </w:pPr>
      <m:oMathPara>
        <m:oMathParaPr>
          <m:jc m:val="center"/>
        </m:oMathParaPr>
        <m:oMath>
          <m:d>
            <m:dPr>
              <m:begChr m:val="|"/>
              <m:endChr m:val="|"/>
              <m:sepChr m:val=""/>
              <m:grow/>
            </m:dPr>
            <m:e>
              <m:sSub>
                <m:e>
                  <m:r>
                    <m:t>N</m:t>
                  </m:r>
                </m:e>
                <m:sub>
                  <m:r>
                    <m:t>p</m:t>
                  </m:r>
                </m:sub>
              </m:sSub>
            </m:e>
          </m:d>
          <m:r>
            <m:rPr>
              <m:sty m:val="p"/>
            </m:rPr>
            <m:t>=</m:t>
          </m:r>
          <m:nary>
            <m:naryPr>
              <m:chr m:val="∑"/>
              <m:limLoc m:val="undOvr"/>
              <m:subHide m:val="0"/>
              <m:supHide m:val="0"/>
            </m:naryPr>
            <m:sub>
              <m:r>
                <m:t>k</m:t>
              </m:r>
              <m:r>
                <m:rPr>
                  <m:sty m:val="p"/>
                </m:rPr>
                <m:t>=</m:t>
              </m:r>
              <m:r>
                <m:t>1</m:t>
              </m:r>
            </m:sub>
            <m:sup>
              <m:r>
                <m:t>K</m:t>
              </m:r>
            </m:sup>
            <m:e>
              <m:sSub>
                <m:e>
                  <m:r>
                    <m:t>c</m:t>
                  </m:r>
                </m:e>
                <m:sub>
                  <m:r>
                    <m:t>p</m:t>
                  </m:r>
                  <m:r>
                    <m:rPr>
                      <m:sty m:val="p"/>
                    </m:rPr>
                    <m:t>,</m:t>
                  </m:r>
                  <m:r>
                    <m:t>k</m:t>
                  </m:r>
                </m:sub>
              </m:sSub>
            </m:e>
          </m:nary>
        </m:oMath>
      </m:oMathPara>
    </w:p>
    <w:bookmarkEnd w:id="120"/>
    <w:bookmarkEnd w:id="121"/>
    <w:bookmarkEnd w:id="122"/>
    <w:bookmarkStart w:id="125" w:name="mpx-nyc-descriptive-statistics"/>
    <w:p>
      <w:pPr>
        <w:pStyle w:val="Heading2"/>
      </w:pPr>
      <w:r>
        <w:t xml:space="preserve">MPX NYC descriptive statistics</w:t>
      </w:r>
    </w:p>
    <w:bookmarkStart w:id="123" w:name="spatial-mixing-coefficient"/>
    <w:p>
      <w:pPr>
        <w:pStyle w:val="Heading4"/>
      </w:pPr>
      <w:r>
        <w:t xml:space="preserve">Spatial mixing coefficient</w:t>
      </w:r>
    </w:p>
    <w:p>
      <w:pPr>
        <w:pStyle w:val="FirstParagraph"/>
      </w:pPr>
      <w:r>
        <w:t xml:space="preserve">We define preference of group A for group B (</w:t>
      </w:r>
      <m:oMath>
        <m:r>
          <m:t>Φ</m:t>
        </m:r>
        <m:d>
          <m:dPr>
            <m:begChr m:val="("/>
            <m:endChr m:val=")"/>
            <m:sepChr m:val=""/>
            <m:grow/>
          </m:dPr>
          <m:e>
            <m:r>
              <m:t>A</m:t>
            </m:r>
            <m:r>
              <m:rPr>
                <m:sty m:val="p"/>
              </m:rPr>
              <m:t>,</m:t>
            </m:r>
            <m:r>
              <m:t>B</m:t>
            </m:r>
          </m:e>
        </m:d>
      </m:oMath>
      <w:r>
        <w:t xml:space="preserve">) as the average proportion of alters from group B among egos from group A.</w:t>
      </w:r>
    </w:p>
    <w:p>
      <w:pPr>
        <w:pStyle w:val="BodyText"/>
      </w:pPr>
      <m:oMathPara>
        <m:oMathParaPr>
          <m:jc m:val="center"/>
        </m:oMathParaPr>
        <m:oMath>
          <m:r>
            <m:t>Φ</m:t>
          </m:r>
          <m:d>
            <m:dPr>
              <m:begChr m:val="("/>
              <m:endChr m:val=")"/>
              <m:sepChr m:val=""/>
              <m:grow/>
            </m:dPr>
            <m:e>
              <m:r>
                <m:t>A</m:t>
              </m:r>
              <m:r>
                <m:rPr>
                  <m:sty m:val="p"/>
                </m:rPr>
                <m:t>,</m:t>
              </m:r>
              <m:r>
                <m:t>B</m:t>
              </m:r>
            </m:e>
          </m:d>
          <m:r>
            <m:rPr>
              <m:sty m:val="p"/>
            </m:rPr>
            <m:t>=</m:t>
          </m:r>
          <m:f>
            <m:fPr>
              <m:type m:val="bar"/>
            </m:fPr>
            <m:num>
              <m:r>
                <m:t>1</m:t>
              </m:r>
            </m:num>
            <m:den>
              <m:d>
                <m:dPr>
                  <m:begChr m:val="|"/>
                  <m:endChr m:val="|"/>
                  <m:sepChr m:val=""/>
                  <m:grow/>
                </m:dPr>
                <m:e>
                  <m:r>
                    <m:t>A</m:t>
                  </m:r>
                </m:e>
              </m:d>
            </m:den>
          </m:f>
          <m:nary>
            <m:naryPr>
              <m:chr m:val="∑"/>
              <m:limLoc m:val="undOvr"/>
              <m:subHide m:val="0"/>
              <m:supHide m:val="1"/>
            </m:naryPr>
            <m:sub>
              <m:r>
                <m:t>i</m:t>
              </m:r>
              <m:r>
                <m:rPr>
                  <m:sty m:val="p"/>
                </m:rPr>
                <m:t>∈</m:t>
              </m:r>
              <m:r>
                <m:t>A</m:t>
              </m:r>
            </m:sub>
            <m:sup>
              <m:r>
                <m:t>​</m:t>
              </m:r>
            </m:sup>
            <m:e>
              <m:f>
                <m:fPr>
                  <m:type m:val="bar"/>
                </m:fPr>
                <m:num>
                  <m:sSub>
                    <m:e>
                      <m:r>
                        <m:t>R</m:t>
                      </m:r>
                    </m:e>
                    <m:sub>
                      <m:r>
                        <m:t>i</m:t>
                      </m:r>
                    </m:sub>
                  </m:sSub>
                  <m:r>
                    <m:rPr>
                      <m:sty m:val="p"/>
                    </m:rPr>
                    <m:t>|</m:t>
                  </m:r>
                  <m:r>
                    <m:t>B</m:t>
                  </m:r>
                </m:num>
                <m:den>
                  <m:sSub>
                    <m:e>
                      <m:r>
                        <m:t>R</m:t>
                      </m:r>
                    </m:e>
                    <m:sub>
                      <m:r>
                        <m:t>i</m:t>
                      </m:r>
                    </m:sub>
                  </m:sSub>
                </m:den>
              </m:f>
            </m:e>
          </m:nary>
        </m:oMath>
      </m:oMathPara>
    </w:p>
    <w:p>
      <w:pPr>
        <w:pStyle w:val="FirstParagraph"/>
      </w:pPr>
      <w:r>
        <w:t xml:space="preserve">To understand whether preference of a specific group by another group is higher or lower than we would expect if ego’s chose alters randomly, we compare preference for B to the prevalence of group B:</w:t>
      </w:r>
    </w:p>
    <w:p>
      <w:pPr>
        <w:pStyle w:val="BodyText"/>
      </w:pPr>
      <m:oMathPara>
        <m:oMathParaPr>
          <m:jc m:val="center"/>
        </m:oMathParaPr>
        <m:oMath>
          <m:f>
            <m:fPr>
              <m:type m:val="bar"/>
            </m:fPr>
            <m:num>
              <m:d>
                <m:dPr>
                  <m:begChr m:val="|"/>
                  <m:endChr m:val="|"/>
                  <m:sepChr m:val=""/>
                  <m:grow/>
                </m:dPr>
                <m:e>
                  <m:r>
                    <m:t>B</m:t>
                  </m:r>
                </m:e>
              </m:d>
            </m:num>
            <m:den>
              <m:d>
                <m:dPr>
                  <m:begChr m:val="|"/>
                  <m:endChr m:val="|"/>
                  <m:sepChr m:val=""/>
                  <m:grow/>
                </m:dPr>
                <m:e>
                  <m:sSub>
                    <m:e>
                      <m:r>
                        <m:t>N</m:t>
                      </m:r>
                    </m:e>
                    <m:sub>
                      <m:r>
                        <m:t>p</m:t>
                      </m:r>
                    </m:sub>
                  </m:sSub>
                </m:e>
              </m:d>
            </m:den>
          </m:f>
        </m:oMath>
      </m:oMathPara>
    </w:p>
    <w:p>
      <w:pPr>
        <w:pStyle w:val="FirstParagraph"/>
      </w:pPr>
      <w:r>
        <w:t xml:space="preserve">The spacial mixing coefficient is the ratio of preference to prevalence minus one:</w:t>
      </w:r>
    </w:p>
    <w:p>
      <w:pPr>
        <w:pStyle w:val="BodyText"/>
      </w:pPr>
      <m:oMathPara>
        <m:oMathParaPr>
          <m:jc m:val="center"/>
        </m:oMathParaPr>
        <m:oMath>
          <m:r>
            <m:t>ϕ</m:t>
          </m:r>
          <m:d>
            <m:dPr>
              <m:begChr m:val="("/>
              <m:endChr m:val=")"/>
              <m:sepChr m:val=""/>
              <m:grow/>
            </m:dPr>
            <m:e>
              <m:r>
                <m:t>A</m:t>
              </m:r>
              <m:r>
                <m:rPr>
                  <m:sty m:val="p"/>
                </m:rPr>
                <m:t>,</m:t>
              </m:r>
              <m:r>
                <m:t>B</m:t>
              </m:r>
            </m:e>
          </m:d>
          <m:r>
            <m:rPr>
              <m:sty m:val="p"/>
            </m:rPr>
            <m:t>=</m:t>
          </m:r>
          <m:f>
            <m:fPr>
              <m:type m:val="bar"/>
            </m:fPr>
            <m:num>
              <m:d>
                <m:dPr>
                  <m:begChr m:val="|"/>
                  <m:endChr m:val="|"/>
                  <m:sepChr m:val=""/>
                  <m:grow/>
                </m:dPr>
                <m:e>
                  <m:sSub>
                    <m:e>
                      <m:r>
                        <m:t>N</m:t>
                      </m:r>
                    </m:e>
                    <m:sub>
                      <m:r>
                        <m:t>p</m:t>
                      </m:r>
                    </m:sub>
                  </m:sSub>
                </m:e>
              </m:d>
            </m:num>
            <m:den>
              <m:d>
                <m:dPr>
                  <m:begChr m:val="|"/>
                  <m:endChr m:val="|"/>
                  <m:sepChr m:val=""/>
                  <m:grow/>
                </m:dPr>
                <m:e>
                  <m:r>
                    <m:t>B</m:t>
                  </m:r>
                </m:e>
              </m:d>
            </m:den>
          </m:f>
          <m:r>
            <m:t>Φ</m:t>
          </m:r>
          <m:d>
            <m:dPr>
              <m:begChr m:val="("/>
              <m:endChr m:val=")"/>
              <m:sepChr m:val=""/>
              <m:grow/>
            </m:dPr>
            <m:e>
              <m:r>
                <m:t>A</m:t>
              </m:r>
              <m:r>
                <m:rPr>
                  <m:sty m:val="p"/>
                </m:rPr>
                <m:t>,</m:t>
              </m:r>
              <m:r>
                <m:t>B</m:t>
              </m:r>
            </m:e>
          </m:d>
          <m:r>
            <m:rPr>
              <m:sty m:val="p"/>
            </m:rPr>
            <m:t>−</m:t>
          </m:r>
          <m:r>
            <m:t>1</m:t>
          </m:r>
        </m:oMath>
      </m:oMathPara>
    </w:p>
    <w:bookmarkEnd w:id="123"/>
    <w:bookmarkStart w:id="124" w:name="Xdbf21b136895e8fa03c746e86718f9af79a2ece"/>
    <w:p>
      <w:pPr>
        <w:pStyle w:val="Heading4"/>
      </w:pPr>
      <w:r>
        <w:t xml:space="preserve">Proportion in largest connected component</w:t>
      </w:r>
    </w:p>
    <w:p>
      <w:pPr>
        <w:pStyle w:val="FirstParagraph"/>
      </w:pPr>
      <w:r>
        <w:t xml:space="preserve">Given a graph</w:t>
      </w:r>
      <w:r>
        <w:t xml:space="preserve"> </w:t>
      </w:r>
      <m:oMath>
        <m:sSub>
          <m:e>
            <m:r>
              <m:t>G</m:t>
            </m:r>
          </m:e>
          <m:sub>
            <m:r>
              <m:t>p</m:t>
            </m:r>
          </m:sub>
        </m:sSub>
      </m:oMath>
      <w:r>
        <w:t xml:space="preserve">, we define the proportion in the largest connected component as:</w:t>
      </w:r>
    </w:p>
    <w:p>
      <w:pPr>
        <w:pStyle w:val="BodyText"/>
      </w:pPr>
      <m:oMathPara>
        <m:oMathParaPr>
          <m:jc m:val="center"/>
        </m:oMathParaPr>
        <m:oMath>
          <m:f>
            <m:fPr>
              <m:type m:val="bar"/>
            </m:fPr>
            <m:num>
              <m:limLow>
                <m:e>
                  <m:r>
                    <m:rPr>
                      <m:sty m:val="p"/>
                    </m:rPr>
                    <m:t>max</m:t>
                  </m:r>
                </m:e>
                <m:lim>
                  <m:r>
                    <m:t>k</m:t>
                  </m:r>
                </m:lim>
              </m:limLow>
              <m:sSub>
                <m:e>
                  <m:r>
                    <m:t>c</m:t>
                  </m:r>
                </m:e>
                <m:sub>
                  <m:r>
                    <m:t>p</m:t>
                  </m:r>
                  <m:r>
                    <m:rPr>
                      <m:sty m:val="p"/>
                    </m:rPr>
                    <m:t>,</m:t>
                  </m:r>
                  <m:r>
                    <m:t>k</m:t>
                  </m:r>
                </m:sub>
              </m:sSub>
            </m:num>
            <m:den>
              <m:d>
                <m:dPr>
                  <m:begChr m:val="|"/>
                  <m:endChr m:val="|"/>
                  <m:sepChr m:val=""/>
                  <m:grow/>
                </m:dPr>
                <m:e>
                  <m:sSub>
                    <m:e>
                      <m:r>
                        <m:t>N</m:t>
                      </m:r>
                    </m:e>
                    <m:sub>
                      <m:r>
                        <m:t>p</m:t>
                      </m:r>
                    </m:sub>
                  </m:sSub>
                </m:e>
              </m:d>
            </m:den>
          </m:f>
        </m:oMath>
      </m:oMathPara>
    </w:p>
    <w:bookmarkEnd w:id="124"/>
    <w:bookmarkEnd w:id="125"/>
    <w:bookmarkStart w:id="131" w:name="mpx-nyc-intervention-analysis"/>
    <w:p>
      <w:pPr>
        <w:pStyle w:val="Heading2"/>
      </w:pPr>
      <w:r>
        <w:t xml:space="preserve">MPX NYC Intervention Analysis</w:t>
      </w:r>
    </w:p>
    <w:bookmarkStart w:id="126" w:name="immunization-intervention"/>
    <w:p>
      <w:pPr>
        <w:pStyle w:val="Heading4"/>
      </w:pPr>
      <w:r>
        <w:t xml:space="preserve">Immunization Intervention</w:t>
      </w:r>
    </w:p>
    <w:p>
      <w:pPr>
        <w:pStyle w:val="FirstParagraph"/>
      </w:pPr>
      <w:r>
        <w:t xml:space="preserve">Consider a sequence of graphs with elements</w:t>
      </w:r>
      <w:r>
        <w:t xml:space="preserve"> </w:t>
      </w:r>
      <m:oMath>
        <m:sSup>
          <m:e>
            <m:r>
              <m:t>G</m:t>
            </m:r>
          </m:e>
          <m:sup>
            <m:d>
              <m:dPr>
                <m:begChr m:val="("/>
                <m:endChr m:val=")"/>
                <m:sepChr m:val=""/>
                <m:grow/>
              </m:dPr>
              <m:e>
                <m:r>
                  <m:t>k</m:t>
                </m:r>
              </m:e>
            </m:d>
          </m:sup>
        </m:sSup>
      </m:oMath>
      <w:r>
        <w:t xml:space="preserve"> </w:t>
      </w:r>
      <w:r>
        <w:t xml:space="preserve">for</w:t>
      </w:r>
      <w:r>
        <w:t xml:space="preserve"> </w:t>
      </w:r>
      <m:oMath>
        <m:r>
          <m:t>k</m:t>
        </m:r>
        <m:r>
          <m:rPr>
            <m:sty m:val="p"/>
          </m:rPr>
          <m:t>∈</m:t>
        </m:r>
        <m:sSub>
          <m:e>
            <m:r>
              <m:rPr>
                <m:sty m:val="p"/>
                <m:scr m:val="double-struck"/>
              </m:rPr>
              <m:t>N</m:t>
            </m:r>
          </m:e>
          <m:sub>
            <m:r>
              <m:t>0</m:t>
            </m:r>
          </m:sub>
        </m:sSub>
      </m:oMath>
      <w:r>
        <w:t xml:space="preserve"> </w:t>
      </w:r>
      <w:r>
        <w:t xml:space="preserve">constructed so that</w:t>
      </w:r>
    </w:p>
    <w:p>
      <w:pPr>
        <w:pStyle w:val="BodyText"/>
      </w:pPr>
      <m:oMathPara>
        <m:oMathParaPr>
          <m:jc m:val="center"/>
        </m:oMathParaPr>
        <m:oMath>
          <m:sSup>
            <m:e>
              <m:r>
                <m:t>G</m:t>
              </m:r>
            </m:e>
            <m:sup>
              <m:d>
                <m:dPr>
                  <m:begChr m:val="("/>
                  <m:endChr m:val=")"/>
                  <m:sepChr m:val=""/>
                  <m:grow/>
                </m:dPr>
                <m:e>
                  <m:r>
                    <m:t>0</m:t>
                  </m:r>
                </m:e>
              </m:d>
            </m:sup>
          </m:sSup>
          <m:d>
            <m:dPr>
              <m:begChr m:val="("/>
              <m:endChr m:val=")"/>
              <m:sepChr m:val=""/>
              <m:grow/>
            </m:dPr>
            <m:e>
              <m:sSup>
                <m:e>
                  <m:r>
                    <m:t>N</m:t>
                  </m:r>
                </m:e>
                <m:sup>
                  <m:d>
                    <m:dPr>
                      <m:begChr m:val="("/>
                      <m:endChr m:val=")"/>
                      <m:sepChr m:val=""/>
                      <m:grow/>
                    </m:dPr>
                    <m:e>
                      <m:r>
                        <m:t>0</m:t>
                      </m:r>
                    </m:e>
                  </m:d>
                </m:sup>
              </m:sSup>
              <m:r>
                <m:rPr>
                  <m:sty m:val="p"/>
                </m:rPr>
                <m:t>,</m:t>
              </m:r>
              <m:sSup>
                <m:e>
                  <m:r>
                    <m:t>ψ</m:t>
                  </m:r>
                </m:e>
                <m:sup>
                  <m:d>
                    <m:dPr>
                      <m:begChr m:val="("/>
                      <m:endChr m:val=")"/>
                      <m:sepChr m:val=""/>
                      <m:grow/>
                    </m:dPr>
                    <m:e>
                      <m:r>
                        <m:t>0</m:t>
                      </m:r>
                    </m:e>
                  </m:d>
                </m:sup>
              </m:sSup>
            </m:e>
          </m:d>
          <m:r>
            <m:rPr>
              <m:sty m:val="p"/>
            </m:rPr>
            <m:t>=</m:t>
          </m:r>
          <m:r>
            <m:t>G</m:t>
          </m:r>
          <m:d>
            <m:dPr>
              <m:begChr m:val="("/>
              <m:endChr m:val=")"/>
              <m:sepChr m:val=""/>
              <m:grow/>
            </m:dPr>
            <m:e>
              <m:r>
                <m:t>N</m:t>
              </m:r>
              <m:r>
                <m:rPr>
                  <m:sty m:val="p"/>
                </m:rPr>
                <m:t>,</m:t>
              </m:r>
              <m:r>
                <m:t>ψ</m:t>
              </m:r>
            </m:e>
          </m:d>
          <m:r>
            <m:rPr>
              <m:sty m:val="p"/>
            </m:rPr>
            <m:t>.</m:t>
          </m:r>
        </m:oMath>
      </m:oMathPara>
    </w:p>
    <w:p>
      <w:pPr>
        <w:pStyle w:val="FirstParagraph"/>
      </w:pPr>
      <w:r>
        <w:t xml:space="preserve">Given</w:t>
      </w:r>
      <w:r>
        <w:t xml:space="preserve"> </w:t>
      </w:r>
      <m:oMath>
        <m:sSup>
          <m:e>
            <m:r>
              <m:t>G</m:t>
            </m:r>
          </m:e>
          <m:sup>
            <m:d>
              <m:dPr>
                <m:begChr m:val="("/>
                <m:endChr m:val=")"/>
                <m:sepChr m:val=""/>
                <m:grow/>
              </m:dPr>
              <m:e>
                <m:r>
                  <m:t>k</m:t>
                </m:r>
              </m:e>
            </m:d>
          </m:sup>
        </m:sSup>
      </m:oMath>
      <w:r>
        <w:t xml:space="preserve">, we calculate</w:t>
      </w:r>
      <w:r>
        <w:t xml:space="preserve"> </w:t>
      </w:r>
      <m:oMath>
        <m:sSup>
          <m:e>
            <m:r>
              <m:t>G</m:t>
            </m:r>
          </m:e>
          <m:sup>
            <m:d>
              <m:dPr>
                <m:begChr m:val="("/>
                <m:endChr m:val=")"/>
                <m:sepChr m:val=""/>
                <m:grow/>
              </m:dPr>
              <m:e>
                <m:r>
                  <m:t>k</m:t>
                </m:r>
                <m:r>
                  <m:rPr>
                    <m:sty m:val="p"/>
                  </m:rPr>
                  <m:t>+</m:t>
                </m:r>
                <m:r>
                  <m:t>1</m:t>
                </m:r>
              </m:e>
            </m:d>
          </m:sup>
        </m:sSup>
      </m:oMath>
      <w:r>
        <w:t xml:space="preserve"> </w:t>
      </w:r>
      <w:r>
        <w:t xml:space="preserve">by selecting a community district</w:t>
      </w:r>
      <w:r>
        <w:t xml:space="preserve"> </w:t>
      </w:r>
      <m:oMath>
        <m:sSup>
          <m:e>
            <m:r>
              <m:t>n</m:t>
            </m:r>
          </m:e>
          <m:sup>
            <m:d>
              <m:dPr>
                <m:begChr m:val="("/>
                <m:endChr m:val=")"/>
                <m:sepChr m:val=""/>
                <m:grow/>
              </m:dPr>
              <m:e>
                <m:r>
                  <m:t>k</m:t>
                </m:r>
                <m:r>
                  <m:rPr>
                    <m:sty m:val="p"/>
                  </m:rPr>
                  <m:t>+</m:t>
                </m:r>
                <m:r>
                  <m:t>1</m:t>
                </m:r>
              </m:e>
            </m:d>
          </m:sup>
        </m:sSup>
      </m:oMath>
      <w:r>
        <w:t xml:space="preserve"> </w:t>
      </w:r>
      <w:r>
        <w:t xml:space="preserve">along with all participants connected with it (</w:t>
      </w:r>
      <m:oMath>
        <m:r>
          <m:rPr>
            <m:sty m:val="p"/>
          </m:rPr>
          <m:t>{</m:t>
        </m:r>
        <m:r>
          <m:t>s</m:t>
        </m:r>
        <m:r>
          <m:rPr>
            <m:sty m:val="p"/>
          </m:rPr>
          <m:t>∈</m:t>
        </m:r>
        <m:sSubSup>
          <m:e>
            <m:r>
              <m:t>N</m:t>
            </m:r>
          </m:e>
          <m:sub>
            <m:r>
              <m:t>p</m:t>
            </m:r>
          </m:sub>
          <m:sup>
            <m:d>
              <m:dPr>
                <m:begChr m:val="("/>
                <m:endChr m:val=")"/>
                <m:sepChr m:val=""/>
                <m:grow/>
              </m:dPr>
              <m:e>
                <m:r>
                  <m:t>k</m:t>
                </m:r>
              </m:e>
            </m:d>
          </m:sup>
        </m:sSubSup>
        <m:r>
          <m:rPr>
            <m:sty m:val="p"/>
          </m:rPr>
          <m:t>:</m:t>
        </m:r>
        <m:sSup>
          <m:e>
            <m:r>
              <m:t>ψ</m:t>
            </m:r>
          </m:e>
          <m:sup>
            <m:d>
              <m:dPr>
                <m:begChr m:val="("/>
                <m:endChr m:val=")"/>
                <m:sepChr m:val=""/>
                <m:grow/>
              </m:dPr>
              <m:e>
                <m:r>
                  <m:t>k</m:t>
                </m:r>
              </m:e>
            </m:d>
          </m:sup>
        </m:sSup>
        <m:d>
          <m:dPr>
            <m:begChr m:val="("/>
            <m:endChr m:val=")"/>
            <m:sepChr m:val=""/>
            <m:grow/>
          </m:dPr>
          <m:e>
            <m:r>
              <m:t>s</m:t>
            </m:r>
            <m:r>
              <m:rPr>
                <m:sty m:val="p"/>
              </m:rPr>
              <m:t>,</m:t>
            </m:r>
            <m:sSup>
              <m:e>
                <m:r>
                  <m:t>n</m:t>
                </m:r>
              </m:e>
              <m:sup>
                <m:d>
                  <m:dPr>
                    <m:begChr m:val="("/>
                    <m:endChr m:val=")"/>
                    <m:sepChr m:val=""/>
                    <m:grow/>
                  </m:dPr>
                  <m:e>
                    <m:r>
                      <m:t>k</m:t>
                    </m:r>
                  </m:e>
                </m:d>
              </m:sup>
            </m:sSup>
          </m:e>
        </m:d>
        <m:r>
          <m:rPr>
            <m:sty m:val="p"/>
          </m:rPr>
          <m:t>&gt;</m:t>
        </m:r>
        <m:r>
          <m:t>0</m:t>
        </m:r>
        <m:r>
          <m:rPr>
            <m:sty m:val="p"/>
          </m:rPr>
          <m:t>}</m:t>
        </m:r>
      </m:oMath>
      <w:r>
        <w:t xml:space="preserve">) and removing them from the graph. If a pair of nodes in</w:t>
      </w:r>
      <w:r>
        <w:t xml:space="preserve"> </w:t>
      </w:r>
      <m:oMath>
        <m:sSup>
          <m:e>
            <m:r>
              <m:t>G</m:t>
            </m:r>
          </m:e>
          <m:sup>
            <m:d>
              <m:dPr>
                <m:begChr m:val="("/>
                <m:endChr m:val=")"/>
                <m:sepChr m:val=""/>
                <m:grow/>
              </m:dPr>
              <m:e>
                <m:r>
                  <m:t>k</m:t>
                </m:r>
                <m:r>
                  <m:rPr>
                    <m:sty m:val="p"/>
                  </m:rPr>
                  <m:t>+</m:t>
                </m:r>
                <m:r>
                  <m:t>1</m:t>
                </m:r>
              </m:e>
            </m:d>
          </m:sup>
        </m:sSup>
      </m:oMath>
      <w:r>
        <w:t xml:space="preserve"> </w:t>
      </w:r>
      <w:r>
        <w:t xml:space="preserve">was connected in</w:t>
      </w:r>
      <w:r>
        <w:t xml:space="preserve"> </w:t>
      </w:r>
      <m:oMath>
        <m:sSup>
          <m:e>
            <m:r>
              <m:t>G</m:t>
            </m:r>
          </m:e>
          <m:sup>
            <m:d>
              <m:dPr>
                <m:begChr m:val="("/>
                <m:endChr m:val=")"/>
                <m:sepChr m:val=""/>
                <m:grow/>
              </m:dPr>
              <m:e>
                <m:r>
                  <m:t>k</m:t>
                </m:r>
              </m:e>
            </m:d>
          </m:sup>
        </m:sSup>
      </m:oMath>
      <w:r>
        <w:t xml:space="preserve"> </w:t>
      </w:r>
      <w:r>
        <w:t xml:space="preserve">they become connected in</w:t>
      </w:r>
      <w:r>
        <w:t xml:space="preserve"> </w:t>
      </w:r>
      <m:oMath>
        <m:sSup>
          <m:e>
            <m:r>
              <m:t>G</m:t>
            </m:r>
          </m:e>
          <m:sup>
            <m:d>
              <m:dPr>
                <m:begChr m:val="("/>
                <m:endChr m:val=")"/>
                <m:sepChr m:val=""/>
                <m:grow/>
              </m:dPr>
              <m:e>
                <m:r>
                  <m:t>k</m:t>
                </m:r>
                <m:r>
                  <m:rPr>
                    <m:sty m:val="p"/>
                  </m:rPr>
                  <m:t>+</m:t>
                </m:r>
                <m:r>
                  <m:t>1</m:t>
                </m:r>
              </m:e>
            </m:d>
          </m:sup>
        </m:sSup>
      </m:oMath>
      <w:r>
        <w:t xml:space="preserve"> </w:t>
      </w:r>
      <w:r>
        <w:t xml:space="preserve">as well.</w:t>
      </w:r>
    </w:p>
    <w:p>
      <w:pPr>
        <w:pStyle w:val="BodyText"/>
      </w:pPr>
      <w:r>
        <w:t xml:space="preserve">i.e. Given</w:t>
      </w:r>
      <w:r>
        <w:t xml:space="preserve"> </w:t>
      </w:r>
      <m:oMath>
        <m:sSup>
          <m:e>
            <m:r>
              <m:t>G</m:t>
            </m:r>
          </m:e>
          <m:sup>
            <m:d>
              <m:dPr>
                <m:begChr m:val="("/>
                <m:endChr m:val=")"/>
                <m:sepChr m:val=""/>
                <m:grow/>
              </m:dPr>
              <m:e>
                <m:r>
                  <m:t>k</m:t>
                </m:r>
              </m:e>
            </m:d>
          </m:sup>
        </m:sSup>
      </m:oMath>
      <w:r>
        <w:t xml:space="preserve">, we find the node set of</w:t>
      </w:r>
      <w:r>
        <w:t xml:space="preserve"> </w:t>
      </w:r>
      <m:oMath>
        <m:sSup>
          <m:e>
            <m:r>
              <m:t>N</m:t>
            </m:r>
          </m:e>
          <m:sup>
            <m:d>
              <m:dPr>
                <m:begChr m:val="("/>
                <m:endChr m:val=")"/>
                <m:sepChr m:val=""/>
                <m:grow/>
              </m:dPr>
              <m:e>
                <m:r>
                  <m:t>k</m:t>
                </m:r>
                <m:r>
                  <m:rPr>
                    <m:sty m:val="p"/>
                  </m:rPr>
                  <m:t>+</m:t>
                </m:r>
                <m:r>
                  <m:t>1</m:t>
                </m:r>
              </m:e>
            </m:d>
          </m:sup>
        </m:sSup>
      </m:oMath>
      <w:r>
        <w:t xml:space="preserve"> </w:t>
      </w:r>
      <w:r>
        <w:t xml:space="preserve">as follows:</w:t>
      </w:r>
    </w:p>
    <w:p>
      <w:pPr>
        <w:pStyle w:val="BodyText"/>
      </w:pPr>
    </w:p>
    <w:p>
      <w:pPr>
        <w:pStyle w:val="BodyText"/>
      </w:pPr>
      <w:r>
        <w:t xml:space="preserve">The adjacency function</w:t>
      </w:r>
      <w:r>
        <w:t xml:space="preserve"> </w:t>
      </w:r>
      <m:oMath>
        <m:sSup>
          <m:e>
            <m:r>
              <m:t>ψ</m:t>
            </m:r>
          </m:e>
          <m:sup>
            <m:d>
              <m:dPr>
                <m:begChr m:val="("/>
                <m:endChr m:val=")"/>
                <m:sepChr m:val=""/>
                <m:grow/>
              </m:dPr>
              <m:e>
                <m:r>
                  <m:t>k</m:t>
                </m:r>
                <m:r>
                  <m:rPr>
                    <m:sty m:val="p"/>
                  </m:rPr>
                  <m:t>+</m:t>
                </m:r>
                <m:r>
                  <m:t>1</m:t>
                </m:r>
              </m:e>
            </m:d>
          </m:sup>
        </m:sSup>
      </m:oMath>
      <w:r>
        <w:t xml:space="preserve"> </w:t>
      </w:r>
      <w:r>
        <w:t xml:space="preserve">is given by:</w:t>
      </w:r>
    </w:p>
    <w:p>
      <w:pPr>
        <w:pStyle w:val="BodyText"/>
      </w:pPr>
      <m:oMathPara>
        <m:oMathParaPr>
          <m:jc m:val="center"/>
        </m:oMathParaPr>
        <m:oMath>
          <m:sSup>
            <m:e>
              <m:r>
                <m:t>ψ</m:t>
              </m:r>
            </m:e>
            <m:sup>
              <m:d>
                <m:dPr>
                  <m:begChr m:val="("/>
                  <m:endChr m:val=")"/>
                  <m:sepChr m:val=""/>
                  <m:grow/>
                </m:dPr>
                <m:e>
                  <m:r>
                    <m:t>k</m:t>
                  </m:r>
                  <m:r>
                    <m:rPr>
                      <m:sty m:val="p"/>
                    </m:rPr>
                    <m:t>+</m:t>
                  </m:r>
                  <m:r>
                    <m:t>1</m:t>
                  </m:r>
                </m:e>
              </m:d>
            </m:sup>
          </m:sSup>
          <m:d>
            <m:dPr>
              <m:begChr m:val="("/>
              <m:endChr m:val=")"/>
              <m:sepChr m:val=""/>
              <m:grow/>
            </m:dPr>
            <m:e>
              <m:r>
                <m:t>a</m:t>
              </m:r>
              <m:r>
                <m:rPr>
                  <m:sty m:val="p"/>
                </m:rPr>
                <m:t>,</m:t>
              </m:r>
              <m:r>
                <m:t>b</m:t>
              </m:r>
            </m:e>
          </m:d>
          <m:r>
            <m:rPr>
              <m:sty m:val="p"/>
            </m:rPr>
            <m:t>=</m:t>
          </m:r>
          <m:sSup>
            <m:e>
              <m:r>
                <m:t>ψ</m:t>
              </m:r>
            </m:e>
            <m:sup>
              <m:d>
                <m:dPr>
                  <m:begChr m:val="("/>
                  <m:endChr m:val=")"/>
                  <m:sepChr m:val=""/>
                  <m:grow/>
                </m:dPr>
                <m:e>
                  <m:r>
                    <m:t>k</m:t>
                  </m:r>
                </m:e>
              </m:d>
            </m:sup>
          </m:sSup>
          <m:d>
            <m:dPr>
              <m:begChr m:val="("/>
              <m:endChr m:val=")"/>
              <m:sepChr m:val=""/>
              <m:grow/>
            </m:dPr>
            <m:e>
              <m:r>
                <m:t>a</m:t>
              </m:r>
              <m:r>
                <m:rPr>
                  <m:sty m:val="p"/>
                </m:rPr>
                <m:t>,</m:t>
              </m:r>
              <m:r>
                <m:t>b</m:t>
              </m:r>
            </m:e>
          </m:d>
          <m:r>
            <m:rPr>
              <m:sty m:val="p"/>
            </m:rPr>
            <m:t>,</m:t>
          </m:r>
          <m:r>
            <m:rPr>
              <m:sty m:val="p"/>
            </m:rPr>
            <m:t>∀</m:t>
          </m:r>
          <m:r>
            <m:t>a</m:t>
          </m:r>
          <m:r>
            <m:rPr>
              <m:sty m:val="p"/>
            </m:rPr>
            <m:t>,</m:t>
          </m:r>
          <m:r>
            <m:t>b</m:t>
          </m:r>
          <m:r>
            <m:rPr>
              <m:sty m:val="p"/>
            </m:rPr>
            <m:t>∈</m:t>
          </m:r>
          <m:sSup>
            <m:e>
              <m:r>
                <m:t>N</m:t>
              </m:r>
            </m:e>
            <m:sup>
              <m:d>
                <m:dPr>
                  <m:begChr m:val="("/>
                  <m:endChr m:val=")"/>
                  <m:sepChr m:val=""/>
                  <m:grow/>
                </m:dPr>
                <m:e>
                  <m:r>
                    <m:t>k</m:t>
                  </m:r>
                  <m:r>
                    <m:rPr>
                      <m:sty m:val="p"/>
                    </m:rPr>
                    <m:t>+</m:t>
                  </m:r>
                  <m:r>
                    <m:t>1</m:t>
                  </m:r>
                </m:e>
              </m:d>
            </m:sup>
          </m:sSup>
        </m:oMath>
      </m:oMathPara>
    </w:p>
    <w:p>
      <w:pPr>
        <w:pStyle w:val="FirstParagraph"/>
      </w:pPr>
      <w:r>
        <w:t xml:space="preserve">Given</w:t>
      </w:r>
      <w:r>
        <w:t xml:space="preserve"> </w:t>
      </w:r>
      <m:oMath>
        <m:sSup>
          <m:e>
            <m:r>
              <m:t>G</m:t>
            </m:r>
          </m:e>
          <m:sup>
            <m:d>
              <m:dPr>
                <m:begChr m:val="("/>
                <m:endChr m:val=")"/>
                <m:sepChr m:val=""/>
                <m:grow/>
              </m:dPr>
              <m:e>
                <m:r>
                  <m:t>k</m:t>
                </m:r>
              </m:e>
            </m:d>
          </m:sup>
        </m:sSup>
      </m:oMath>
      <w:r>
        <w:t xml:space="preserve">,</w:t>
      </w:r>
      <w:r>
        <w:t xml:space="preserve"> </w:t>
      </w:r>
      <m:oMath>
        <m:sSup>
          <m:e>
            <m:r>
              <m:t>G</m:t>
            </m:r>
          </m:e>
          <m:sup>
            <m:d>
              <m:dPr>
                <m:begChr m:val="("/>
                <m:endChr m:val=")"/>
                <m:sepChr m:val=""/>
                <m:grow/>
              </m:dPr>
              <m:e>
                <m:r>
                  <m:t>k</m:t>
                </m:r>
                <m:r>
                  <m:rPr>
                    <m:sty m:val="p"/>
                  </m:rPr>
                  <m:t>+</m:t>
                </m:r>
                <m:r>
                  <m:t>1</m:t>
                </m:r>
              </m:e>
            </m:d>
          </m:sup>
        </m:sSup>
      </m:oMath>
      <w:r>
        <w:t xml:space="preserve"> </w:t>
      </w:r>
      <w:r>
        <w:t xml:space="preserve">is defined:</w:t>
      </w:r>
    </w:p>
    <w:p>
      <w:pPr>
        <w:pStyle w:val="BodyText"/>
      </w:pPr>
      <m:oMathPara>
        <m:oMathParaPr>
          <m:jc m:val="center"/>
        </m:oMathParaPr>
        <m:oMath>
          <m:sSup>
            <m:e>
              <m:r>
                <m:t>G</m:t>
              </m:r>
            </m:e>
            <m:sup>
              <m:d>
                <m:dPr>
                  <m:begChr m:val="("/>
                  <m:endChr m:val=")"/>
                  <m:sepChr m:val=""/>
                  <m:grow/>
                </m:dPr>
                <m:e>
                  <m:r>
                    <m:t>k</m:t>
                  </m:r>
                  <m:r>
                    <m:rPr>
                      <m:sty m:val="p"/>
                    </m:rPr>
                    <m:t>+</m:t>
                  </m:r>
                  <m:r>
                    <m:t>1</m:t>
                  </m:r>
                </m:e>
              </m:d>
            </m:sup>
          </m:sSup>
          <m:d>
            <m:dPr>
              <m:begChr m:val="("/>
              <m:endChr m:val=")"/>
              <m:sepChr m:val=""/>
              <m:grow/>
            </m:dPr>
            <m:e>
              <m:sSup>
                <m:e>
                  <m:r>
                    <m:t>N</m:t>
                  </m:r>
                </m:e>
                <m:sup>
                  <m:d>
                    <m:dPr>
                      <m:begChr m:val="("/>
                      <m:endChr m:val=")"/>
                      <m:sepChr m:val=""/>
                      <m:grow/>
                    </m:dPr>
                    <m:e>
                      <m:r>
                        <m:t>k</m:t>
                      </m:r>
                      <m:r>
                        <m:rPr>
                          <m:sty m:val="p"/>
                        </m:rPr>
                        <m:t>+</m:t>
                      </m:r>
                      <m:r>
                        <m:t>1</m:t>
                      </m:r>
                    </m:e>
                  </m:d>
                </m:sup>
              </m:sSup>
              <m:r>
                <m:rPr>
                  <m:sty m:val="p"/>
                </m:rPr>
                <m:t>,</m:t>
              </m:r>
              <m:sSup>
                <m:e>
                  <m:r>
                    <m:t>ψ</m:t>
                  </m:r>
                </m:e>
                <m:sup>
                  <m:d>
                    <m:dPr>
                      <m:begChr m:val="("/>
                      <m:endChr m:val=")"/>
                      <m:sepChr m:val=""/>
                      <m:grow/>
                    </m:dPr>
                    <m:e>
                      <m:r>
                        <m:t>k</m:t>
                      </m:r>
                      <m:r>
                        <m:rPr>
                          <m:sty m:val="p"/>
                        </m:rPr>
                        <m:t>+</m:t>
                      </m:r>
                      <m:r>
                        <m:t>1</m:t>
                      </m:r>
                    </m:e>
                  </m:d>
                </m:sup>
              </m:sSup>
            </m:e>
          </m:d>
        </m:oMath>
      </m:oMathPara>
    </w:p>
    <w:bookmarkEnd w:id="126"/>
    <w:bookmarkStart w:id="127" w:name="intervention-approaches"/>
    <w:p>
      <w:pPr>
        <w:pStyle w:val="Heading4"/>
      </w:pPr>
      <w:r>
        <w:t xml:space="preserve">Intervention Approaches</w:t>
      </w:r>
    </w:p>
    <w:p>
      <w:pPr>
        <w:pStyle w:val="FirstParagraph"/>
      </w:pPr>
      <w:r>
        <w:t xml:space="preserve">We examined two approaches for selecting a community district to immunize, corresponding to different intervention priorities. In the first, we select the next community district to immunize to maximize the number of people to be immunized. In the second, we select the next community district with the goal of minimizing the likelihood of contagion between community districts.</w:t>
      </w:r>
    </w:p>
    <w:p>
      <w:pPr>
        <w:pStyle w:val="BodyText"/>
      </w:pPr>
      <w:r>
        <w:t xml:space="preserve">i.e. in the</w:t>
      </w:r>
      <w:r>
        <w:t xml:space="preserve"> </w:t>
      </w:r>
      <w:r>
        <w:rPr>
          <w:u w:val="single"/>
        </w:rPr>
        <w:t xml:space="preserve">contact-neutralizing approach</w:t>
      </w:r>
      <w:r>
        <w:t xml:space="preserve"> </w:t>
      </w:r>
      <m:oMath>
        <m:sSup>
          <m:e>
            <m:r>
              <m:t>n</m:t>
            </m:r>
          </m:e>
          <m:sup>
            <m:d>
              <m:dPr>
                <m:begChr m:val="("/>
                <m:endChr m:val=")"/>
                <m:sepChr m:val=""/>
                <m:grow/>
              </m:dPr>
              <m:e>
                <m:r>
                  <m:t>k</m:t>
                </m:r>
                <m:r>
                  <m:rPr>
                    <m:sty m:val="p"/>
                  </m:rPr>
                  <m:t>+</m:t>
                </m:r>
                <m:r>
                  <m:t>1</m:t>
                </m:r>
              </m:e>
            </m:d>
          </m:sup>
        </m:sSup>
      </m:oMath>
      <w:r>
        <w:t xml:space="preserve"> </w:t>
      </w:r>
      <w:r>
        <w:t xml:space="preserve">satisfies:</w:t>
      </w:r>
    </w:p>
    <w:p>
      <w:pPr>
        <w:pStyle w:val="BodyText"/>
      </w:pPr>
      <m:oMathPara>
        <m:oMathParaPr>
          <m:jc m:val="center"/>
        </m:oMathParaPr>
        <m:oMath>
          <m:sSub>
            <m:e>
              <m:r>
                <m:t>r</m:t>
              </m:r>
            </m:e>
            <m:sub>
              <m:sSubSup>
                <m:e>
                  <m:r>
                    <m:t>n</m:t>
                  </m:r>
                </m:e>
                <m:sub>
                  <m:r>
                    <m:rPr>
                      <m:nor/>
                      <m:sty m:val="p"/>
                    </m:rPr>
                    <m:t>contact</m:t>
                  </m:r>
                </m:sub>
                <m:sup>
                  <m:d>
                    <m:dPr>
                      <m:begChr m:val="("/>
                      <m:endChr m:val=")"/>
                      <m:sepChr m:val=""/>
                      <m:grow/>
                    </m:dPr>
                    <m:e>
                      <m:r>
                        <m:t>k</m:t>
                      </m:r>
                      <m:r>
                        <m:rPr>
                          <m:sty m:val="p"/>
                        </m:rPr>
                        <m:t>+</m:t>
                      </m:r>
                      <m:r>
                        <m:t>1</m:t>
                      </m:r>
                    </m:e>
                  </m:d>
                </m:sup>
              </m:sSubSup>
            </m:sub>
          </m:sSub>
          <m:r>
            <m:rPr>
              <m:sty m:val="p"/>
            </m:rPr>
            <m:t>=</m:t>
          </m:r>
          <m:limLow>
            <m:e>
              <m:r>
                <m:rPr>
                  <m:sty m:val="p"/>
                </m:rPr>
                <m:t>max</m:t>
              </m:r>
            </m:e>
            <m:lim>
              <m:r>
                <m:t>j</m:t>
              </m:r>
              <m:r>
                <m:rPr>
                  <m:sty m:val="p"/>
                </m:rPr>
                <m:t>∈</m:t>
              </m:r>
              <m:sSubSup>
                <m:e>
                  <m:r>
                    <m:t>N</m:t>
                  </m:r>
                </m:e>
                <m:sub>
                  <m:r>
                    <m:t>c</m:t>
                  </m:r>
                </m:sub>
                <m:sup>
                  <m:d>
                    <m:dPr>
                      <m:begChr m:val="("/>
                      <m:endChr m:val=")"/>
                      <m:sepChr m:val=""/>
                      <m:grow/>
                    </m:dPr>
                    <m:e>
                      <m:r>
                        <m:t>k</m:t>
                      </m:r>
                    </m:e>
                  </m:d>
                </m:sup>
              </m:sSubSup>
            </m:lim>
          </m:limLow>
          <m:sSub>
            <m:e>
              <m:r>
                <m:t>r</m:t>
              </m:r>
            </m:e>
            <m:sub>
              <m:r>
                <m:t>j</m:t>
              </m:r>
            </m:sub>
          </m:sSub>
        </m:oMath>
      </m:oMathPara>
    </w:p>
    <w:p>
      <w:pPr>
        <w:pStyle w:val="FirstParagraph"/>
      </w:pPr>
      <w:r>
        <w:t xml:space="preserve">and in the</w:t>
      </w:r>
      <w:r>
        <w:t xml:space="preserve"> </w:t>
      </w:r>
      <w:r>
        <w:rPr>
          <w:u w:val="single"/>
        </w:rPr>
        <w:t xml:space="preserve">movement-neutralizing approach</w:t>
      </w:r>
      <w:r>
        <w:t xml:space="preserve"> </w:t>
      </w:r>
      <m:oMath>
        <m:sSup>
          <m:e>
            <m:r>
              <m:t>n</m:t>
            </m:r>
          </m:e>
          <m:sup>
            <m:d>
              <m:dPr>
                <m:begChr m:val="("/>
                <m:endChr m:val=")"/>
                <m:sepChr m:val=""/>
                <m:grow/>
              </m:dPr>
              <m:e>
                <m:r>
                  <m:t>k</m:t>
                </m:r>
                <m:r>
                  <m:rPr>
                    <m:sty m:val="p"/>
                  </m:rPr>
                  <m:t>+</m:t>
                </m:r>
                <m:r>
                  <m:t>1</m:t>
                </m:r>
              </m:e>
            </m:d>
          </m:sup>
        </m:sSup>
      </m:oMath>
      <w:r>
        <w:t xml:space="preserve"> </w:t>
      </w:r>
      <w:r>
        <w:t xml:space="preserve">satisfies:</w:t>
      </w:r>
    </w:p>
    <w:p>
      <w:pPr>
        <w:pStyle w:val="BodyText"/>
      </w:pPr>
      <m:oMathPara>
        <m:oMathParaPr>
          <m:jc m:val="center"/>
        </m:oMathParaPr>
        <m:oMath>
          <m:sSub>
            <m:e>
              <m:r>
                <m:t>s</m:t>
              </m:r>
            </m:e>
            <m:sub>
              <m:sSubSup>
                <m:e>
                  <m:r>
                    <m:t>n</m:t>
                  </m:r>
                </m:e>
                <m:sub>
                  <m:r>
                    <m:rPr>
                      <m:nor/>
                      <m:sty m:val="p"/>
                    </m:rPr>
                    <m:t>movement</m:t>
                  </m:r>
                </m:sub>
                <m:sup>
                  <m:d>
                    <m:dPr>
                      <m:begChr m:val="("/>
                      <m:endChr m:val=")"/>
                      <m:sepChr m:val=""/>
                      <m:grow/>
                    </m:dPr>
                    <m:e>
                      <m:r>
                        <m:t>k</m:t>
                      </m:r>
                      <m:r>
                        <m:rPr>
                          <m:sty m:val="p"/>
                        </m:rPr>
                        <m:t>+</m:t>
                      </m:r>
                      <m:r>
                        <m:t>1</m:t>
                      </m:r>
                    </m:e>
                  </m:d>
                </m:sup>
              </m:sSubSup>
            </m:sub>
          </m:sSub>
          <m:r>
            <m:rPr>
              <m:sty m:val="p"/>
            </m:rPr>
            <m:t>=</m:t>
          </m:r>
          <m:limLow>
            <m:e>
              <m:r>
                <m:rPr>
                  <m:sty m:val="p"/>
                </m:rPr>
                <m:t>max</m:t>
              </m:r>
            </m:e>
            <m:lim>
              <m:r>
                <m:t>j</m:t>
              </m:r>
              <m:r>
                <m:rPr>
                  <m:sty m:val="p"/>
                </m:rPr>
                <m:t>∈</m:t>
              </m:r>
              <m:sSubSup>
                <m:e>
                  <m:r>
                    <m:t>N</m:t>
                  </m:r>
                </m:e>
                <m:sub>
                  <m:r>
                    <m:t>c</m:t>
                  </m:r>
                </m:sub>
                <m:sup>
                  <m:d>
                    <m:dPr>
                      <m:begChr m:val="("/>
                      <m:endChr m:val=")"/>
                      <m:sepChr m:val=""/>
                      <m:grow/>
                    </m:dPr>
                    <m:e>
                      <m:r>
                        <m:t>k</m:t>
                      </m:r>
                    </m:e>
                  </m:d>
                </m:sup>
              </m:sSubSup>
            </m:lim>
          </m:limLow>
          <m:sSub>
            <m:e>
              <m:r>
                <m:t>s</m:t>
              </m:r>
            </m:e>
            <m:sub>
              <m:r>
                <m:t>j</m:t>
              </m:r>
            </m:sub>
          </m:sSub>
        </m:oMath>
      </m:oMathPara>
    </w:p>
    <w:bookmarkEnd w:id="127"/>
    <w:bookmarkStart w:id="130" w:name="intervention-outcomes-1"/>
    <w:p>
      <w:pPr>
        <w:pStyle w:val="Heading4"/>
      </w:pPr>
      <w:r>
        <w:t xml:space="preserve">Intervention outcomes</w:t>
      </w:r>
    </w:p>
    <w:bookmarkStart w:id="128" w:name="spacial-efficiency"/>
    <w:p>
      <w:pPr>
        <w:pStyle w:val="Heading5"/>
      </w:pPr>
      <w:r>
        <w:t xml:space="preserve">Spacial efficiency</w:t>
      </w:r>
    </w:p>
    <w:p>
      <w:pPr>
        <w:pStyle w:val="FirstParagraph"/>
      </w:pPr>
      <w:r>
        <w:t xml:space="preserve">Intervention coverage for community district</w:t>
      </w:r>
      <w:r>
        <w:t xml:space="preserve"> </w:t>
      </w:r>
      <m:oMath>
        <m:sSup>
          <m:e>
            <m:r>
              <m:t>n</m:t>
            </m:r>
          </m:e>
          <m:sup>
            <m:d>
              <m:dPr>
                <m:begChr m:val="("/>
                <m:endChr m:val=")"/>
                <m:sepChr m:val=""/>
                <m:grow/>
              </m:dPr>
              <m:e>
                <m:r>
                  <m:t>k</m:t>
                </m:r>
              </m:e>
            </m:d>
          </m:sup>
        </m:sSup>
      </m:oMath>
      <w:r>
        <w:t xml:space="preserve">, the</w:t>
      </w:r>
      <w:r>
        <w:t xml:space="preserve"> </w:t>
      </w:r>
      <m:oMath>
        <m:sSup>
          <m:e>
            <m:r>
              <m:t>k</m:t>
            </m:r>
          </m:e>
          <m:sup>
            <m:r>
              <m:t>t</m:t>
            </m:r>
            <m:r>
              <m:t>h</m:t>
            </m:r>
          </m:sup>
        </m:sSup>
      </m:oMath>
      <w:r>
        <w:t xml:space="preserve"> </w:t>
      </w:r>
      <w:r>
        <w:t xml:space="preserve">community district to be immunized, is defined as:</w:t>
      </w:r>
    </w:p>
    <w:p>
      <w:pPr>
        <w:pStyle w:val="BodyText"/>
      </w:pPr>
      <m:oMathPara>
        <m:oMathParaPr>
          <m:jc m:val="center"/>
        </m:oMathParaPr>
        <m:oMath>
          <m:f>
            <m:fPr>
              <m:type m:val="bar"/>
            </m:fPr>
            <m:num>
              <m:sSubSup>
                <m:e>
                  <m:r>
                    <m:t>r</m:t>
                  </m:r>
                </m:e>
                <m:sub>
                  <m:sSup>
                    <m:e>
                      <m:r>
                        <m:t>n</m:t>
                      </m:r>
                    </m:e>
                    <m:sup>
                      <m:d>
                        <m:dPr>
                          <m:begChr m:val="("/>
                          <m:endChr m:val=")"/>
                          <m:sepChr m:val=""/>
                          <m:grow/>
                        </m:dPr>
                        <m:e>
                          <m:r>
                            <m:t>k</m:t>
                          </m:r>
                        </m:e>
                      </m:d>
                    </m:sup>
                  </m:sSup>
                </m:sub>
                <m:sup>
                  <m:d>
                    <m:dPr>
                      <m:begChr m:val="("/>
                      <m:endChr m:val=")"/>
                      <m:sepChr m:val=""/>
                      <m:grow/>
                    </m:dPr>
                    <m:e>
                      <m:r>
                        <m:t>k</m:t>
                      </m:r>
                      <m:r>
                        <m:rPr>
                          <m:sty m:val="p"/>
                        </m:rPr>
                        <m:t>−</m:t>
                      </m:r>
                      <m:r>
                        <m:t>1</m:t>
                      </m:r>
                    </m:e>
                  </m:d>
                </m:sup>
              </m:sSubSup>
            </m:num>
            <m:den>
              <m:d>
                <m:dPr>
                  <m:begChr m:val="|"/>
                  <m:endChr m:val="|"/>
                  <m:sepChr m:val=""/>
                  <m:grow/>
                </m:dPr>
                <m:e>
                  <m:sSub>
                    <m:e>
                      <m:r>
                        <m:t>N</m:t>
                      </m:r>
                    </m:e>
                    <m:sub>
                      <m:r>
                        <m:t>p</m:t>
                      </m:r>
                    </m:sub>
                  </m:sSub>
                </m:e>
              </m:d>
            </m:den>
          </m:f>
        </m:oMath>
      </m:oMathPara>
    </w:p>
    <w:bookmarkEnd w:id="128"/>
    <w:bookmarkStart w:id="129" w:name="social-network-impact"/>
    <w:p>
      <w:pPr>
        <w:pStyle w:val="Heading5"/>
      </w:pPr>
      <w:r>
        <w:t xml:space="preserve">Social network impact</w:t>
      </w:r>
    </w:p>
    <w:p>
      <w:pPr>
        <w:pStyle w:val="FirstParagraph"/>
      </w:pPr>
      <w:r>
        <w:t xml:space="preserve">The cumulative social network impact of immunizing</w:t>
      </w:r>
      <w:r>
        <w:t xml:space="preserve"> </w:t>
      </w:r>
      <m:oMath>
        <m:r>
          <m:t>k</m:t>
        </m:r>
      </m:oMath>
      <w:r>
        <w:t xml:space="preserve"> </w:t>
      </w:r>
      <w:r>
        <w:t xml:space="preserve">community districts is measured in terms of the size of the largest connected component of the</w:t>
      </w:r>
      <w:r>
        <w:t xml:space="preserve"> </w:t>
      </w:r>
      <m:oMath>
        <m:sSub>
          <m:e>
            <m:r>
              <m:t>G</m:t>
            </m:r>
          </m:e>
          <m:sub>
            <m:r>
              <m:t>p</m:t>
            </m:r>
          </m:sub>
        </m:sSub>
      </m:oMath>
      <w:r>
        <w:t xml:space="preserve"> </w:t>
      </w:r>
      <w:r>
        <w:t xml:space="preserve">network as a proportion of the total number of participants</w:t>
      </w:r>
    </w:p>
    <w:p>
      <w:pPr>
        <w:pStyle w:val="BodyText"/>
      </w:pPr>
      <m:oMathPara>
        <m:oMathParaPr>
          <m:jc m:val="center"/>
        </m:oMathParaPr>
        <m:oMath>
          <m:f>
            <m:fPr>
              <m:type m:val="bar"/>
            </m:fPr>
            <m:num>
              <m:limLow>
                <m:e>
                  <m:r>
                    <m:rPr>
                      <m:sty m:val="p"/>
                    </m:rPr>
                    <m:t>max</m:t>
                  </m:r>
                </m:e>
                <m:lim>
                  <m:r>
                    <m:t>l</m:t>
                  </m:r>
                </m:lim>
              </m:limLow>
              <m:sSubSup>
                <m:e>
                  <m:r>
                    <m:t>c</m:t>
                  </m:r>
                </m:e>
                <m:sub>
                  <m:r>
                    <m:t>p</m:t>
                  </m:r>
                  <m:r>
                    <m:rPr>
                      <m:sty m:val="p"/>
                    </m:rPr>
                    <m:t>,</m:t>
                  </m:r>
                  <m:r>
                    <m:t>l</m:t>
                  </m:r>
                </m:sub>
                <m:sup>
                  <m:d>
                    <m:dPr>
                      <m:begChr m:val="("/>
                      <m:endChr m:val=")"/>
                      <m:sepChr m:val=""/>
                      <m:grow/>
                    </m:dPr>
                    <m:e>
                      <m:r>
                        <m:t>k</m:t>
                      </m:r>
                    </m:e>
                  </m:d>
                </m:sup>
              </m:sSubSup>
            </m:num>
            <m:den>
              <m:d>
                <m:dPr>
                  <m:begChr m:val="|"/>
                  <m:endChr m:val="|"/>
                  <m:sepChr m:val=""/>
                  <m:grow/>
                </m:dPr>
                <m:e>
                  <m:sSub>
                    <m:e>
                      <m:r>
                        <m:t>N</m:t>
                      </m:r>
                    </m:e>
                    <m:sub>
                      <m:r>
                        <m:t>p</m:t>
                      </m:r>
                    </m:sub>
                  </m:sSub>
                </m:e>
              </m:d>
            </m:den>
          </m:f>
        </m:oMath>
      </m:oMathPara>
    </w:p>
    <w:bookmarkEnd w:id="129"/>
    <w:bookmarkEnd w:id="130"/>
    <w:bookmarkEnd w:id="131"/>
    <w:bookmarkEnd w:id="132"/>
    <w:bookmarkStart w:id="147" w:name="references"/>
    <w:p>
      <w:pPr>
        <w:pStyle w:val="Heading1"/>
      </w:pPr>
      <w:r>
        <w:t xml:space="preserve">References</w:t>
      </w:r>
    </w:p>
    <w:bookmarkStart w:id="146" w:name="refs"/>
    <w:bookmarkStart w:id="134" w:name="ref-federal"/>
    <w:p>
      <w:pPr>
        <w:pStyle w:val="Bibliography"/>
      </w:pPr>
      <w:r>
        <w:t xml:space="preserve">“Federal Communications Commission API.”</w:t>
      </w:r>
      <w:r>
        <w:t xml:space="preserve"> </w:t>
      </w:r>
      <w:r>
        <w:t xml:space="preserve">n.d.</w:t>
      </w:r>
      <w:r>
        <w:t xml:space="preserve"> </w:t>
      </w:r>
      <w:hyperlink r:id="rId133">
        <w:r>
          <w:rPr>
            <w:rStyle w:val="Hyperlink"/>
          </w:rPr>
          <w:t xml:space="preserve">https://www.fcc.gov/reports-research/developers/api-terms-service</w:t>
        </w:r>
      </w:hyperlink>
      <w:r>
        <w:t xml:space="preserve">.</w:t>
      </w:r>
    </w:p>
    <w:bookmarkEnd w:id="134"/>
    <w:bookmarkStart w:id="136" w:name="ref-google2024"/>
    <w:p>
      <w:pPr>
        <w:pStyle w:val="Bibliography"/>
      </w:pPr>
      <w:r>
        <w:t xml:space="preserve">Google. 2024.</w:t>
      </w:r>
      <w:r>
        <w:t xml:space="preserve"> </w:t>
      </w:r>
      <w:r>
        <w:t xml:space="preserve">“Maps JavaScript API.”</w:t>
      </w:r>
      <w:r>
        <w:t xml:space="preserve"> </w:t>
      </w:r>
      <w:hyperlink r:id="rId135">
        <w:r>
          <w:rPr>
            <w:rStyle w:val="Hyperlink"/>
          </w:rPr>
          <w:t xml:space="preserve">https://developers.google.com/maps/documentation/javascript</w:t>
        </w:r>
      </w:hyperlink>
      <w:r>
        <w:t xml:space="preserve">.</w:t>
      </w:r>
    </w:p>
    <w:bookmarkEnd w:id="136"/>
    <w:bookmarkStart w:id="138" w:name="ref-neo4j2024"/>
    <w:p>
      <w:pPr>
        <w:pStyle w:val="Bibliography"/>
      </w:pPr>
      <w:r>
        <w:t xml:space="preserve">Neo4j. 2024.</w:t>
      </w:r>
      <w:r>
        <w:t xml:space="preserve"> </w:t>
      </w:r>
      <w:r>
        <w:t xml:space="preserve">“Neo4j Documentation.”</w:t>
      </w:r>
      <w:r>
        <w:t xml:space="preserve"> </w:t>
      </w:r>
      <w:hyperlink r:id="rId13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138"/>
    <w:bookmarkStart w:id="140" w:name="ref-nextjsd2024"/>
    <w:p>
      <w:pPr>
        <w:pStyle w:val="Bibliography"/>
      </w:pPr>
      <w:r>
        <w:t xml:space="preserve">“NextJS Documentation.”</w:t>
      </w:r>
      <w:r>
        <w:t xml:space="preserve"> </w:t>
      </w:r>
      <w:r>
        <w:t xml:space="preserve">2024.</w:t>
      </w:r>
      <w:r>
        <w:t xml:space="preserve"> </w:t>
      </w:r>
      <w:hyperlink r:id="rId139">
        <w:r>
          <w:rPr>
            <w:rStyle w:val="Hyperlink"/>
          </w:rPr>
          <w:t xml:space="preserve">https://nextjs.org/docs</w:t>
        </w:r>
      </w:hyperlink>
      <w:r>
        <w:t xml:space="preserve">.</w:t>
      </w:r>
    </w:p>
    <w:bookmarkEnd w:id="140"/>
    <w:bookmarkStart w:id="142" w:name="ref-nycopendata2022"/>
    <w:p>
      <w:pPr>
        <w:pStyle w:val="Bibliography"/>
      </w:pPr>
      <w:r>
        <w:t xml:space="preserve">NYC OpenData. 2022.</w:t>
      </w:r>
      <w:r>
        <w:t xml:space="preserve"> </w:t>
      </w:r>
      <w:r>
        <w:t xml:space="preserve">“New York City Community Districts.”</w:t>
      </w:r>
      <w:r>
        <w:t xml:space="preserve"> </w:t>
      </w:r>
      <w:hyperlink r:id="rId141">
        <w:r>
          <w:rPr>
            <w:rStyle w:val="Hyperlink"/>
          </w:rPr>
          <w:t xml:space="preserve">https://data.cityofnewyork.us/City-Government/Community-Districts/yfnk-k7r4</w:t>
        </w:r>
      </w:hyperlink>
      <w:r>
        <w:t xml:space="preserve">.</w:t>
      </w:r>
    </w:p>
    <w:bookmarkEnd w:id="142"/>
    <w:bookmarkStart w:id="14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43"/>
    <w:bookmarkStart w:id="145" w:name="ref-uscensus2022"/>
    <w:p>
      <w:pPr>
        <w:pStyle w:val="Bibliography"/>
      </w:pPr>
      <w:r>
        <w:t xml:space="preserve">US Census. 2022.</w:t>
      </w:r>
      <w:r>
        <w:t xml:space="preserve"> </w:t>
      </w:r>
      <w:r>
        <w:t xml:space="preserve">“Census Tracts.”</w:t>
      </w:r>
      <w:r>
        <w:t xml:space="preserve"> </w:t>
      </w:r>
      <w:hyperlink r:id="rId144">
        <w:r>
          <w:rPr>
            <w:rStyle w:val="Hyperlink"/>
          </w:rPr>
          <w:t xml:space="preserve">https://www2.census.gov/geo/pdfs/education/CensusTracts.pdf</w:t>
        </w:r>
      </w:hyperlink>
      <w:r>
        <w:t xml:space="preserve">.</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71" Target="media/rId71.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hyperlink" Id="rId141" Target="https://data.cityofnewyork.us/City-Government/Community-Districts/yfnk-k7r4" TargetMode="External" /><Relationship Type="http://schemas.openxmlformats.org/officeDocument/2006/relationships/hyperlink" Id="rId135" Target="https://developers.google.com/maps/documentation/javascript" TargetMode="External" /><Relationship Type="http://schemas.openxmlformats.org/officeDocument/2006/relationships/hyperlink" Id="rId13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39" Target="https://nextjs.org/docs" TargetMode="External" /><Relationship Type="http://schemas.openxmlformats.org/officeDocument/2006/relationships/hyperlink" Id="rId133" Target="https://www.fcc.gov/reports-research/developers/api-terms-service" TargetMode="External" /><Relationship Type="http://schemas.openxmlformats.org/officeDocument/2006/relationships/hyperlink" Id="rId14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41" Target="https://data.cityofnewyork.us/City-Government/Community-Districts/yfnk-k7r4" TargetMode="External" /><Relationship Type="http://schemas.openxmlformats.org/officeDocument/2006/relationships/hyperlink" Id="rId135" Target="https://developers.google.com/maps/documentation/javascript" TargetMode="External" /><Relationship Type="http://schemas.openxmlformats.org/officeDocument/2006/relationships/hyperlink" Id="rId13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39" Target="https://nextjs.org/docs" TargetMode="External" /><Relationship Type="http://schemas.openxmlformats.org/officeDocument/2006/relationships/hyperlink" Id="rId133" Target="https://www.fcc.gov/reports-research/developers/api-terms-service" TargetMode="External" /><Relationship Type="http://schemas.openxmlformats.org/officeDocument/2006/relationships/hyperlink" Id="rId14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2024-11-14T00:05:02Z</dcterms:created>
  <dcterms:modified xsi:type="dcterms:W3CDTF">2024-11-14T00:05:02Z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2024-10-30</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Methods and Results</vt:lpwstr>
  </property>
  <property fmtid="{D5CDD505-2E9C-101B-9397-08002B2CF9AE}" pid="13" name="toc-title">
    <vt:lpwstr>Table of contents</vt:lpwstr>
  </property>
</Properties>
</file>