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2.png" ContentType="image/png"/>
  <Override PartName="/word/media/rId81.png" ContentType="image/png"/>
  <Override PartName="/word/media/rId63.png" ContentType="image/png"/>
  <Override PartName="/word/media/rId58.png" ContentType="image/png"/>
  <Override PartName="/word/media/rId54.png" ContentType="image/png"/>
  <Override PartName="/word/media/rId76.png" ContentType="image/png"/>
  <Override PartName="/word/media/rId32.png" ContentType="image/png"/>
  <Override PartName="/word/media/rId2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MPX</w:t>
      </w:r>
      <w:r>
        <w:t xml:space="preserve"> </w:t>
      </w:r>
      <w:r>
        <w:t xml:space="preserve">NYC</w:t>
      </w:r>
    </w:p>
    <w:p>
      <w:pPr>
        <w:pStyle w:val="Subtitle"/>
      </w:pPr>
      <w:r>
        <w:t xml:space="preserve">Key</w:t>
      </w:r>
      <w:r>
        <w:t xml:space="preserve"> </w:t>
      </w:r>
      <w:r>
        <w:t xml:space="preserve">findings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recommendations</w:t>
      </w:r>
    </w:p>
    <w:p>
      <w:pPr>
        <w:pStyle w:val="Author"/>
      </w:pPr>
      <w:r>
        <w:t xml:space="preserve">Keletso</w:t>
      </w:r>
      <w:r>
        <w:t xml:space="preserve"> </w:t>
      </w:r>
      <w:r>
        <w:t xml:space="preserve">Lehola</w:t>
      </w:r>
      <w:r>
        <w:t xml:space="preserve"> </w:t>
      </w:r>
      <w:r>
        <w:t xml:space="preserve">Lekoatsa</w:t>
      </w:r>
    </w:p>
    <w:p>
      <w:pPr>
        <w:pStyle w:val="Date"/>
      </w:pPr>
      <w:r>
        <w:t xml:space="preserve">2024-05-23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o-do"/>
    <w:p>
      <w:pPr>
        <w:pStyle w:val="Heading1"/>
      </w:pPr>
      <w:r>
        <w:t xml:space="preserve">To Do</w:t>
      </w:r>
    </w:p>
    <w:p>
      <w:pPr>
        <w:numPr>
          <w:ilvl w:val="0"/>
          <w:numId w:val="1001"/>
        </w:numPr>
        <w:pStyle w:val="Compact"/>
      </w:pPr>
      <w:r>
        <w:t xml:space="preserve">Measures of centrality and density</w:t>
      </w:r>
    </w:p>
    <w:p>
      <w:pPr>
        <w:numPr>
          <w:ilvl w:val="0"/>
          <w:numId w:val="1001"/>
        </w:numPr>
        <w:pStyle w:val="Compact"/>
      </w:pPr>
      <w:r>
        <w:t xml:space="preserve">Results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Discussion</w:t>
      </w:r>
    </w:p>
    <w:p>
      <w:pPr>
        <w:numPr>
          <w:ilvl w:val="0"/>
          <w:numId w:val="1001"/>
        </w:numPr>
        <w:pStyle w:val="Compact"/>
      </w:pPr>
      <w:r>
        <w:t xml:space="preserve">Appendices</w:t>
      </w:r>
    </w:p>
    <w:bookmarkEnd w:id="20"/>
    <w:bookmarkStart w:id="52" w:name="methods"/>
    <w:p>
      <w:pPr>
        <w:pStyle w:val="Heading1"/>
      </w:pPr>
      <w:r>
        <w:t xml:space="preserve">Methods</w:t>
      </w:r>
    </w:p>
    <w:bookmarkStart w:id="40" w:name="data-collection"/>
    <w:p>
      <w:pPr>
        <w:pStyle w:val="Heading2"/>
      </w:pPr>
      <w:r>
        <w:t xml:space="preserve">Data Collection</w:t>
      </w:r>
    </w:p>
    <w:p>
      <w:pPr>
        <w:pStyle w:val="FirstParagraph"/>
      </w:pPr>
      <w:r>
        <w:t xml:space="preserve">Under the Rapid Epidemiologic Study of Prevalence, Networks, and</w:t>
      </w:r>
      <w:r>
        <w:t xml:space="preserve"> </w:t>
      </w:r>
      <w:r>
        <w:t xml:space="preserve">Demographics of Monkeypox Infection (RESPND-MI), we implemented MPX</w:t>
      </w:r>
      <w:r>
        <w:t xml:space="preserve"> </w:t>
      </w:r>
      <w:r>
        <w:t xml:space="preserve">NYC - a brief, anonymous, online survey among transgender people and</w:t>
      </w:r>
      <w:r>
        <w:t xml:space="preserve"> </w:t>
      </w:r>
      <w:r>
        <w:t xml:space="preserve">gay, bisexual, and other men who have sex with men. Data were collected</w:t>
      </w:r>
      <w:r>
        <w:t xml:space="preserve"> </w:t>
      </w:r>
      <w:r>
        <w:t xml:space="preserve">from 20 August 2022 to 15 November 2022 in New York City.</w:t>
      </w:r>
    </w:p>
    <w:bookmarkStart w:id="21" w:name="respnd-mi-community-forum"/>
    <w:p>
      <w:pPr>
        <w:pStyle w:val="Heading3"/>
      </w:pPr>
      <w:r>
        <w:t xml:space="preserve">RESPND-MI Community Forum</w:t>
      </w:r>
    </w:p>
    <w:p>
      <w:pPr>
        <w:pStyle w:val="FirstParagraph"/>
      </w:pPr>
      <w:r>
        <w:t xml:space="preserve">To elicit input about study design and recruitment from queer and trans</w:t>
      </w:r>
      <w:r>
        <w:t xml:space="preserve"> </w:t>
      </w:r>
      <w:r>
        <w:t xml:space="preserve">individuals and organizations in health-related fields, we held a rapid</w:t>
      </w:r>
      <w:r>
        <w:t xml:space="preserve"> </w:t>
      </w:r>
      <w:r>
        <w:t xml:space="preserve">consultation meeting at the outset. Investigators compiled a list of 53</w:t>
      </w:r>
      <w:r>
        <w:t xml:space="preserve"> </w:t>
      </w:r>
      <w:r>
        <w:t xml:space="preserve">invitees. To maximize uptake, invitations were sent via the email</w:t>
      </w:r>
      <w:r>
        <w:t xml:space="preserve"> </w:t>
      </w:r>
      <w:r>
        <w:t xml:space="preserve">accounts of investigators who had prior relationships with invitees</w:t>
      </w:r>
      <w:r>
        <w:t xml:space="preserve"> </w:t>
      </w:r>
      <w:r>
        <w:t xml:space="preserve">where possible.</w:t>
      </w:r>
    </w:p>
    <w:p>
      <w:pPr>
        <w:pStyle w:val="BodyText"/>
      </w:pPr>
      <w:r>
        <w:t xml:space="preserve">At the initial consultation meeting on 27 June 2022, participants</w:t>
      </w:r>
      <w:r>
        <w:t xml:space="preserve"> </w:t>
      </w:r>
      <w:r>
        <w:t xml:space="preserve">requested that the RESPND-MI team host a weekly meeting since they had</w:t>
      </w:r>
      <w:r>
        <w:t xml:space="preserve"> </w:t>
      </w:r>
      <w:r>
        <w:t xml:space="preserve">no other venues for discussing the outbreak from the perspectives of</w:t>
      </w:r>
      <w:r>
        <w:t xml:space="preserve"> </w:t>
      </w:r>
      <w:r>
        <w:t xml:space="preserve">service organizations and individuals who had experienced mpox</w:t>
      </w:r>
      <w:r>
        <w:t xml:space="preserve"> </w:t>
      </w:r>
      <w:r>
        <w:t xml:space="preserve">infection. We named the space the RESPND-MI LGBTQ+ Community Forum and</w:t>
      </w:r>
      <w:r>
        <w:t xml:space="preserve"> </w:t>
      </w:r>
      <w:r>
        <w:t xml:space="preserve">held it weekly until August 2022. Though the main purpose of the</w:t>
      </w:r>
      <w:r>
        <w:t xml:space="preserve"> </w:t>
      </w:r>
      <w:r>
        <w:t xml:space="preserve">Community Forum was to share information and allow organizations and</w:t>
      </w:r>
      <w:r>
        <w:t xml:space="preserve"> </w:t>
      </w:r>
      <w:r>
        <w:t xml:space="preserve">individuals to coordinate political action, it was also used to consult</w:t>
      </w:r>
      <w:r>
        <w:t xml:space="preserve"> </w:t>
      </w:r>
      <w:r>
        <w:t xml:space="preserve">on study-related decisions. About 80 individuals participated in the</w:t>
      </w:r>
      <w:r>
        <w:t xml:space="preserve"> </w:t>
      </w:r>
      <w:r>
        <w:t xml:space="preserve">Community Forum over the 2-month period we held it. Further details can</w:t>
      </w:r>
      <w:r>
        <w:t xml:space="preserve"> </w:t>
      </w:r>
      <w:r>
        <w:t xml:space="preserve">be found in a previous publication</w:t>
      </w:r>
      <w:r>
        <w:t xml:space="preserve"> </w:t>
      </w:r>
      <w:r>
        <w:t xml:space="preserve">(Roth et al. 2023)</w:t>
      </w:r>
      <w:r>
        <w:t xml:space="preserve">.</w:t>
      </w:r>
    </w:p>
    <w:bookmarkEnd w:id="21"/>
    <w:bookmarkStart w:id="31" w:name="recruitment"/>
    <w:p>
      <w:pPr>
        <w:pStyle w:val="Heading3"/>
      </w:pPr>
      <w:r>
        <w:t xml:space="preserve">Recruitment</w:t>
      </w:r>
    </w:p>
    <w:p>
      <w:pPr>
        <w:pStyle w:val="FirstParagraph"/>
      </w:pPr>
      <w:r>
        <w:t xml:space="preserve">We collaborated with a marketing agency to design and implement a study</w:t>
      </w:r>
      <w:r>
        <w:t xml:space="preserve"> </w:t>
      </w:r>
      <w:r>
        <w:t xml:space="preserve">recruitment campaign in English and Spanish. The initial brief was to</w:t>
      </w:r>
      <w:r>
        <w:t xml:space="preserve"> </w:t>
      </w:r>
      <w:r>
        <w:t xml:space="preserve">create a name and visual identity that convey scientific rigor, build</w:t>
      </w:r>
      <w:r>
        <w:t xml:space="preserve"> </w:t>
      </w:r>
      <w:r>
        <w:t xml:space="preserve">trust with the community, and stand out in a crowded online marketplace</w:t>
      </w:r>
      <w:r>
        <w:t xml:space="preserve"> </w:t>
      </w:r>
      <w:r>
        <w:t xml:space="preserve">(see</w:t>
      </w:r>
      <w:r>
        <w:t xml:space="preserve"> </w:t>
      </w:r>
      <w:hyperlink w:anchor="fig-requirements">
        <w:r>
          <w:rPr>
            <w:rStyle w:val="Hyperlink"/>
          </w:rPr>
          <w:t xml:space="preserve">Figure 1</w:t>
        </w:r>
      </w:hyperlink>
      <w:r>
        <w:t xml:space="preserve">). As a starting point, we suggested a campaign</w:t>
      </w:r>
      <w:r>
        <w:t xml:space="preserve"> </w:t>
      </w:r>
      <w:r>
        <w:t xml:space="preserve">that playfully communicates using emojis that have sexual connotations.</w:t>
      </w:r>
      <w:r>
        <w:t xml:space="preserve"> </w:t>
      </w:r>
      <w:r>
        <w:t xml:space="preserve">Two campaign names and four marketing concepts (see</w:t>
      </w:r>
      <w:r>
        <w:t xml:space="preserve"> </w:t>
      </w:r>
      <w:hyperlink w:anchor="fig-options">
        <w:r>
          <w:rPr>
            <w:rStyle w:val="Hyperlink"/>
          </w:rPr>
          <w:t xml:space="preserve">Figure 2</w:t>
        </w:r>
      </w:hyperlink>
      <w:r>
        <w:t xml:space="preserve">) were</w:t>
      </w:r>
      <w:r>
        <w:t xml:space="preserve"> </w:t>
      </w:r>
      <w:r>
        <w:t xml:space="preserve">developed by the marketing agency and presented to the RESPND-MI</w:t>
      </w:r>
      <w:r>
        <w:t xml:space="preserve"> </w:t>
      </w:r>
      <w:r>
        <w:t xml:space="preserve">Community Forum. The final concept (which used emojis) and name were</w:t>
      </w:r>
      <w:r>
        <w:t xml:space="preserve"> </w:t>
      </w:r>
      <w:r>
        <w:t xml:space="preserve">decided by consensus during that meeting.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6" w:name="fig-requirements"/>
          <w:p>
            <w:pPr>
              <w:jc w:val="center"/>
            </w:pPr>
            <w:hyperlink r:id="rId25">
              <w:r>
                <w:drawing>
                  <wp:inline>
                    <wp:extent cx="5334000" cy="2764335"/>
                    <wp:effectExtent b="0" l="0" r="0" t="0"/>
                    <wp:docPr descr="" title="" id="23" name="Picture"/>
                    <a:graphic>
                      <a:graphicData uri="http://schemas.openxmlformats.org/drawingml/2006/picture">
                        <pic:pic>
                          <pic:nvPicPr>
                            <pic:cNvPr descr="images/clipboard-2397454480.png" id="24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2764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Requirements for MPX NYC</w:t>
            </w:r>
            <w:r>
              <w:t xml:space="preserve"> </w:t>
            </w:r>
            <w:r>
              <w:t xml:space="preserve">Study</w:t>
            </w:r>
          </w:p>
          <w:bookmarkEnd w:id="26"/>
        </w:tc>
      </w:tr>
    </w:tbl>
    <w:p>
      <w:pPr>
        <w:pStyle w:val="BodyText"/>
      </w:pPr>
      <w:r>
        <w:t xml:space="preserve">Marketing materials included graphics, videos by queer influencers, and</w:t>
      </w:r>
      <w:r>
        <w:t xml:space="preserve"> </w:t>
      </w:r>
      <w:r>
        <w:t xml:space="preserve">a style guide (including colors, icons, and fonts) for all public-facing</w:t>
      </w:r>
      <w:r>
        <w:t xml:space="preserve"> </w:t>
      </w:r>
      <w:r>
        <w:t xml:space="preserve">materials of the MPX NYC study. We organized these materials into a</w:t>
      </w:r>
      <w:r>
        <w:t xml:space="preserve"> </w:t>
      </w:r>
      <w:r>
        <w:t xml:space="preserve">“</w:t>
      </w:r>
      <w:r>
        <w:t xml:space="preserve">social media toolkit</w:t>
      </w:r>
      <w:r>
        <w:t xml:space="preserve">”</w:t>
      </w:r>
      <w:r>
        <w:t xml:space="preserve"> </w:t>
      </w:r>
      <w:r>
        <w:t xml:space="preserve">so that they would be easy for individuals and</w:t>
      </w:r>
      <w:r>
        <w:t xml:space="preserve"> </w:t>
      </w:r>
      <w:r>
        <w:t xml:space="preserve">organizations to share through their own social media accounts.</w:t>
      </w:r>
      <w:r>
        <w:t xml:space="preserve"> </w:t>
      </w:r>
      <w:r>
        <w:t xml:space="preserve">Advertisements were placed through Grindr, Twitter, Instagram, and</w:t>
      </w:r>
      <w:r>
        <w:t xml:space="preserve"> </w:t>
      </w:r>
      <w:r>
        <w:t xml:space="preserve">outdoor electronic billboards.</w:t>
      </w:r>
    </w:p>
    <w:p>
      <w:pPr>
        <w:pStyle w:val="BodyText"/>
      </w:pPr>
      <w:r>
        <w:t xml:space="preserve">The marketing campaign for MPX NYC won the XXXX award in 20XX, and the</w:t>
      </w:r>
      <w:r>
        <w:t xml:space="preserve"> </w:t>
      </w:r>
      <w:r>
        <w:t xml:space="preserve">RESPND-MI project was recognized thorugh the inclusion of the principal</w:t>
      </w:r>
      <w:r>
        <w:t xml:space="preserve"> </w:t>
      </w:r>
      <w:r>
        <w:t xml:space="preserve">investigator in the OUT100 list for 2022.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0" w:name="fig-options"/>
          <w:p>
            <w:pPr>
              <w:jc w:val="center"/>
            </w:pPr>
            <w:r>
              <w:drawing>
                <wp:inline>
                  <wp:extent cx="5334000" cy="314464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clipboard-22126019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44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Options for visual identity of MPX</w:t>
            </w:r>
            <w:r>
              <w:t xml:space="preserve"> </w:t>
            </w:r>
            <w:r>
              <w:t xml:space="preserve">NYC</w:t>
            </w:r>
          </w:p>
          <w:bookmarkEnd w:id="30"/>
        </w:tc>
      </w:tr>
    </w:tbl>
    <w:bookmarkEnd w:id="31"/>
    <w:bookmarkStart w:id="36" w:name="data-collection-instrument"/>
    <w:p>
      <w:pPr>
        <w:pStyle w:val="Heading3"/>
      </w:pPr>
      <w:r>
        <w:t xml:space="preserve">Data collection instrument</w:t>
      </w:r>
    </w:p>
    <w:p>
      <w:pPr>
        <w:pStyle w:val="FirstParagraph"/>
      </w:pPr>
      <w:r>
        <w:t xml:space="preserve">We rapidly designed, tested, and implemented a novel online survey</w:t>
      </w:r>
      <w:r>
        <w:t xml:space="preserve"> </w:t>
      </w:r>
      <w:r>
        <w:t xml:space="preserve">instrument which captures rich spatial information while protecting</w:t>
      </w:r>
      <w:r>
        <w:t xml:space="preserve"> </w:t>
      </w:r>
      <w:r>
        <w:t xml:space="preserve">participant anonymity. Along with standard question formats (multiple</w:t>
      </w:r>
      <w:r>
        <w:t xml:space="preserve"> </w:t>
      </w:r>
      <w:r>
        <w:t xml:space="preserve">choice, single choice, text field etc.) we developed the map-input</w:t>
      </w:r>
      <w:r>
        <w:t xml:space="preserve"> </w:t>
      </w:r>
      <w:r>
        <w:t xml:space="preserve">question format to elicit spatial data.</w:t>
      </w:r>
    </w:p>
    <w:p>
      <w:pPr>
        <w:pStyle w:val="BodyText"/>
      </w:pPr>
      <w:r>
        <w:t xml:space="preserve">In the map-input question format, participants are prompted to indicate</w:t>
      </w:r>
      <w:r>
        <w:t xml:space="preserve"> </w:t>
      </w:r>
      <w:r>
        <w:t xml:space="preserve">all places of a particular type by tapping on a displayed map (see</w:t>
      </w:r>
      <w:r>
        <w:t xml:space="preserve"> </w:t>
      </w:r>
      <w:hyperlink w:anchor="fig-mapinputformat">
        <w:r>
          <w:rPr>
            <w:rStyle w:val="Hyperlink"/>
          </w:rPr>
          <w:t xml:space="preserve">Figure 3</w:t>
        </w:r>
      </w:hyperlink>
      <w:r>
        <w:t xml:space="preserve">). Each time the user taps, a marker appears and a</w:t>
      </w:r>
      <w:r>
        <w:t xml:space="preserve"> </w:t>
      </w:r>
      <w:r>
        <w:t xml:space="preserve">pop-up window prompts them to answer a series of questions related to</w:t>
      </w:r>
      <w:r>
        <w:t xml:space="preserve"> </w:t>
      </w:r>
      <w:r>
        <w:t xml:space="preserve">that location. To protect participant anonymity, spatial data are</w:t>
      </w:r>
      <w:r>
        <w:t xml:space="preserve"> </w:t>
      </w:r>
      <w:r>
        <w:t xml:space="preserve">coarsened by transforming longitude-latitude coordinates into</w:t>
      </w:r>
      <w:r>
        <w:t xml:space="preserve"> </w:t>
      </w:r>
      <w:r>
        <w:t xml:space="preserve">identifiers for the census tracts that contain them. Census tracts are a</w:t>
      </w:r>
      <w:r>
        <w:t xml:space="preserve"> </w:t>
      </w:r>
      <w:r>
        <w:t xml:space="preserve">spatial unit that exhaustively divides the United States into areas</w:t>
      </w:r>
      <w:r>
        <w:t xml:space="preserve"> </w:t>
      </w:r>
      <w:r>
        <w:t xml:space="preserve">ranging from</w:t>
      </w:r>
      <w:r>
        <w:t xml:space="preserve"> </w:t>
      </w:r>
      <m:oMath>
        <m:r>
          <m:t>2500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8000</m:t>
        </m:r>
      </m:oMath>
      <w:r>
        <w:t xml:space="preserve"> </w:t>
      </w:r>
      <w:r>
        <w:t xml:space="preserve">in population size</w:t>
      </w:r>
      <w:r>
        <w:t xml:space="preserve"> </w:t>
      </w:r>
      <w:r>
        <w:t xml:space="preserve">(US Census 2022)</w:t>
      </w:r>
      <w:r>
        <w:t xml:space="preserve">.</w:t>
      </w:r>
    </w:p>
    <w:p>
      <w:pPr>
        <w:pStyle w:val="BodyText"/>
      </w:pPr>
      <w:r>
        <w:t xml:space="preserve">The look and feel of the data collection instrument was based on the MPX</w:t>
      </w:r>
      <w:r>
        <w:t xml:space="preserve"> </w:t>
      </w:r>
      <w:r>
        <w:t xml:space="preserve">NYC style guide. The front end was developed as a single-page web</w:t>
      </w:r>
      <w:r>
        <w:t xml:space="preserve"> </w:t>
      </w:r>
      <w:r>
        <w:t xml:space="preserve">application using the React/NextJS framework</w:t>
      </w:r>
      <w:r>
        <w:t xml:space="preserve"> </w:t>
      </w:r>
      <w:r>
        <w:t xml:space="preserve">(</w:t>
      </w:r>
      <w:r>
        <w:t xml:space="preserve">“NextJS Documentation”</w:t>
      </w:r>
      <w:r>
        <w:t xml:space="preserve"> </w:t>
      </w:r>
      <w:r>
        <w:t xml:space="preserve">2024)</w:t>
      </w:r>
      <w:r>
        <w:t xml:space="preserve">. It uses the</w:t>
      </w:r>
      <w:r>
        <w:t xml:space="preserve"> </w:t>
      </w:r>
      <w:r>
        <w:t xml:space="preserve">Google Maps</w:t>
      </w:r>
      <w:r>
        <w:t xml:space="preserve"> </w:t>
      </w:r>
      <w:r>
        <w:t xml:space="preserve">(Google 2024)</w:t>
      </w:r>
      <w:r>
        <w:t xml:space="preserve"> </w:t>
      </w:r>
      <w:r>
        <w:t xml:space="preserve">API to elicit spatial coordinates, and the</w:t>
      </w:r>
      <w:r>
        <w:t xml:space="preserve"> </w:t>
      </w:r>
      <w:r>
        <w:t xml:space="preserve">Federal Communications Commission</w:t>
      </w:r>
      <w:r>
        <w:t xml:space="preserve"> </w:t>
      </w:r>
      <w:r>
        <w:t xml:space="preserve">(</w:t>
      </w:r>
      <w:r>
        <w:t xml:space="preserve">“Federal Communications Commission API,”</w:t>
      </w:r>
      <w:r>
        <w:t xml:space="preserve"> </w:t>
      </w:r>
      <w:r>
        <w:t xml:space="preserve">n.d.)</w:t>
      </w:r>
      <w:r>
        <w:t xml:space="preserve"> </w:t>
      </w:r>
      <w:r>
        <w:t xml:space="preserve">API to transform them into</w:t>
      </w:r>
      <w:r>
        <w:t xml:space="preserve"> </w:t>
      </w:r>
      <w:r>
        <w:t xml:space="preserve">census tract identifiers before data are transmitted to the back end.</w:t>
      </w:r>
      <w:r>
        <w:t xml:space="preserve"> </w:t>
      </w:r>
      <w:r>
        <w:t xml:space="preserve">The back end was hosted on a commercial cloud server platform. It</w:t>
      </w:r>
      <w:r>
        <w:t xml:space="preserve"> </w:t>
      </w:r>
      <w:r>
        <w:t xml:space="preserve">consisted of a Express.js server linked to custom-built neo4j graph</w:t>
      </w:r>
      <w:r>
        <w:t xml:space="preserve"> </w:t>
      </w:r>
      <w:r>
        <w:t xml:space="preserve">database</w:t>
      </w:r>
      <w:r>
        <w:t xml:space="preserve"> </w:t>
      </w:r>
      <w:r>
        <w:t xml:space="preserve">(Neo4j 2024)</w:t>
      </w:r>
      <w:r>
        <w:t xml:space="preserve">. The instrument underwent two rounds of user</w:t>
      </w:r>
      <w:r>
        <w:t xml:space="preserve"> </w:t>
      </w:r>
      <w:r>
        <w:t xml:space="preserve">testing before data collection started.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5" w:name="fig-mapinputformat"/>
          <w:p>
            <w:pPr>
              <w:jc w:val="center"/>
            </w:pPr>
            <w:r>
              <w:drawing>
                <wp:inline>
                  <wp:extent cx="5334000" cy="297835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clipboard-190847436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8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Map input question format developed for MPX</w:t>
            </w:r>
            <w:r>
              <w:t xml:space="preserve"> </w:t>
            </w:r>
            <w:r>
              <w:t xml:space="preserve">NYC</w:t>
            </w:r>
          </w:p>
          <w:bookmarkEnd w:id="35"/>
        </w:tc>
      </w:tr>
    </w:tbl>
    <w:bookmarkEnd w:id="36"/>
    <w:bookmarkStart w:id="37" w:name="inclusion-and-exclusion-criteria"/>
    <w:p>
      <w:pPr>
        <w:pStyle w:val="Heading3"/>
      </w:pPr>
      <w:r>
        <w:t xml:space="preserve">Inclusion and Exclusion Criteria</w:t>
      </w:r>
    </w:p>
    <w:p>
      <w:pPr>
        <w:pStyle w:val="FirstParagraph"/>
      </w:pPr>
      <w:r>
        <w:t xml:space="preserve">Potential participants were included in the study if they consented to</w:t>
      </w:r>
      <w:r>
        <w:t xml:space="preserve"> </w:t>
      </w:r>
      <w:r>
        <w:t xml:space="preserve">participate, were over 18 years of age, identified as transgender, gay,</w:t>
      </w:r>
      <w:r>
        <w:t xml:space="preserve"> </w:t>
      </w:r>
      <w:r>
        <w:t xml:space="preserve">bisexual, or as men who have sex with other men, and were in New York</w:t>
      </w:r>
      <w:r>
        <w:t xml:space="preserve"> </w:t>
      </w:r>
      <w:r>
        <w:t xml:space="preserve">City in the four weeks preceding the survey. Potential participants were</w:t>
      </w:r>
      <w:r>
        <w:t xml:space="preserve"> </w:t>
      </w:r>
      <w:r>
        <w:t xml:space="preserve">excluded if they were younger than 18 years of age or they withdrew</w:t>
      </w:r>
      <w:r>
        <w:t xml:space="preserve"> </w:t>
      </w:r>
      <w:r>
        <w:t xml:space="preserve">consent.</w:t>
      </w:r>
    </w:p>
    <w:bookmarkEnd w:id="37"/>
    <w:bookmarkStart w:id="38" w:name="translation"/>
    <w:p>
      <w:pPr>
        <w:pStyle w:val="Heading3"/>
      </w:pPr>
      <w:r>
        <w:t xml:space="preserve">Translation</w:t>
      </w:r>
    </w:p>
    <w:p>
      <w:pPr>
        <w:pStyle w:val="FirstParagraph"/>
      </w:pPr>
      <w:r>
        <w:t xml:space="preserve">All study materials were professionally translated from English to</w:t>
      </w:r>
      <w:r>
        <w:t xml:space="preserve"> </w:t>
      </w:r>
      <w:r>
        <w:t xml:space="preserve">Spanish. The translation was reviewed by six professionals in</w:t>
      </w:r>
      <w:r>
        <w:t xml:space="preserve"> </w:t>
      </w:r>
      <w:r>
        <w:t xml:space="preserve">health-related fields whose primary language is Spanish.</w:t>
      </w:r>
    </w:p>
    <w:bookmarkEnd w:id="38"/>
    <w:bookmarkStart w:id="39" w:name="ethical-review"/>
    <w:p>
      <w:pPr>
        <w:pStyle w:val="Heading3"/>
      </w:pPr>
      <w:r>
        <w:t xml:space="preserve">Ethical Review</w:t>
      </w:r>
    </w:p>
    <w:p>
      <w:pPr>
        <w:pStyle w:val="FirstParagraph"/>
      </w:pPr>
      <w:r>
        <w:t xml:space="preserve">The study was reviewed and approved by the T.H. Chan School of Public</w:t>
      </w:r>
      <w:r>
        <w:t xml:space="preserve"> </w:t>
      </w:r>
      <w:r>
        <w:t xml:space="preserve">Health Institutional Review Board (IRB22-0761).</w:t>
      </w:r>
    </w:p>
    <w:bookmarkEnd w:id="39"/>
    <w:bookmarkEnd w:id="40"/>
    <w:bookmarkStart w:id="43" w:name="measures"/>
    <w:p>
      <w:pPr>
        <w:pStyle w:val="Heading2"/>
      </w:pPr>
      <w:r>
        <w:t xml:space="preserve">Measures</w:t>
      </w:r>
    </w:p>
    <w:bookmarkStart w:id="41" w:name="participants"/>
    <w:p>
      <w:pPr>
        <w:pStyle w:val="Heading3"/>
      </w:pPr>
      <w:r>
        <w:t xml:space="preserve">Participants</w:t>
      </w:r>
    </w:p>
    <w:p>
      <w:pPr>
        <w:pStyle w:val="FirstParagraph"/>
      </w:pPr>
      <w:r>
        <w:t xml:space="preserve">The brief (5 minute) questionnaire was implemented in English and</w:t>
      </w:r>
      <w:r>
        <w:t xml:space="preserve"> </w:t>
      </w:r>
      <w:r>
        <w:t xml:space="preserve">Spanish. It measured participant demographics, utilization of healthcare</w:t>
      </w:r>
      <w:r>
        <w:t xml:space="preserve"> </w:t>
      </w:r>
      <w:r>
        <w:t xml:space="preserve">services; and connection to queer or transgender community.</w:t>
      </w:r>
    </w:p>
    <w:p>
      <w:pPr>
        <w:pStyle w:val="BodyText"/>
      </w:pPr>
      <w:r>
        <w:t xml:space="preserve">Gender identity was measured using a two-step approach: first, we</w:t>
      </w:r>
      <w:r>
        <w:t xml:space="preserve"> </w:t>
      </w:r>
      <w:r>
        <w:t xml:space="preserve">solicited the participant’s current gender (man, woman, trans man, trans</w:t>
      </w:r>
      <w:r>
        <w:t xml:space="preserve"> </w:t>
      </w:r>
      <w:r>
        <w:t xml:space="preserve">woman, non-binary, other), and then sex assigned at birth (male, female,</w:t>
      </w:r>
      <w:r>
        <w:t xml:space="preserve"> </w:t>
      </w:r>
      <w:r>
        <w:t xml:space="preserve">other). Those whose gender identity and sex assigned at birth were not</w:t>
      </w:r>
      <w:r>
        <w:t xml:space="preserve"> </w:t>
      </w:r>
      <w:r>
        <w:t xml:space="preserve">concordant were categorized as transgender. We used current gender to</w:t>
      </w:r>
      <w:r>
        <w:t xml:space="preserve"> </w:t>
      </w:r>
      <w:r>
        <w:t xml:space="preserve">further categorize transgender people into men and women.</w:t>
      </w:r>
    </w:p>
    <w:p>
      <w:pPr>
        <w:pStyle w:val="BodyText"/>
      </w:pPr>
      <w:r>
        <w:t xml:space="preserve">Race was measured using a multiple selection question based on census</w:t>
      </w:r>
      <w:r>
        <w:t xml:space="preserve"> </w:t>
      </w:r>
      <w:r>
        <w:t xml:space="preserve">categories (white, black, latino/a/x, asian, pacific islander, other).</w:t>
      </w:r>
      <w:r>
        <w:t xml:space="preserve"> </w:t>
      </w:r>
      <w:r>
        <w:t xml:space="preserve">We combined gender identity and race to form a gender-race variable,</w:t>
      </w:r>
      <w:r>
        <w:t xml:space="preserve"> </w:t>
      </w:r>
      <w:r>
        <w:t xml:space="preserve">collapsing small cells across racial groups (white cisgender man, latinx</w:t>
      </w:r>
      <w:r>
        <w:t xml:space="preserve"> </w:t>
      </w:r>
      <w:r>
        <w:t xml:space="preserve">cisgender man, black cisgender man, other cisgender man, non-binary</w:t>
      </w:r>
      <w:r>
        <w:t xml:space="preserve"> </w:t>
      </w:r>
      <w:r>
        <w:t xml:space="preserve">person, transgender man, transgender woman, cisgender woman, another</w:t>
      </w:r>
      <w:r>
        <w:t xml:space="preserve"> </w:t>
      </w:r>
      <w:r>
        <w:t xml:space="preserve">demographic).</w:t>
      </w:r>
    </w:p>
    <w:bookmarkEnd w:id="41"/>
    <w:bookmarkStart w:id="42" w:name="residence-and-contact-venues"/>
    <w:p>
      <w:pPr>
        <w:pStyle w:val="Heading3"/>
      </w:pPr>
      <w:r>
        <w:t xml:space="preserve">Residence and Contact venues</w:t>
      </w:r>
    </w:p>
    <w:p>
      <w:pPr>
        <w:pStyle w:val="FirstParagraph"/>
      </w:pPr>
      <w:r>
        <w:t xml:space="preserve">Using the map-input question format, we solicited the census tract of</w:t>
      </w:r>
      <w:r>
        <w:t xml:space="preserve"> </w:t>
      </w:r>
      <w:r>
        <w:t xml:space="preserve">participants’ primary residences. Among those who reported physical or</w:t>
      </w:r>
      <w:r>
        <w:t xml:space="preserve"> </w:t>
      </w:r>
      <w:r>
        <w:t xml:space="preserve">sexual contact in a group setting in the preceding 4 weeks, we solicited</w:t>
      </w:r>
      <w:r>
        <w:t xml:space="preserve"> </w:t>
      </w:r>
      <w:r>
        <w:t xml:space="preserve">the locations of the venues at which the contact happened. We refer to</w:t>
      </w:r>
      <w:r>
        <w:t xml:space="preserve"> </w:t>
      </w:r>
      <w:r>
        <w:t xml:space="preserve">these locations as</w:t>
      </w:r>
      <w:r>
        <w:t xml:space="preserve"> </w:t>
      </w:r>
      <w:r>
        <w:t xml:space="preserve">“</w:t>
      </w:r>
      <w:r>
        <w:t xml:space="preserve">contact venues</w:t>
      </w:r>
      <w:r>
        <w:t xml:space="preserve">”</w:t>
      </w:r>
      <w:r>
        <w:t xml:space="preserve">. For each contact venue (see</w:t>
      </w:r>
      <w:r>
        <w:t xml:space="preserve"> </w:t>
      </w:r>
      <w:hyperlink w:anchor="fig-mapinputformat">
        <w:r>
          <w:rPr>
            <w:rStyle w:val="Hyperlink"/>
          </w:rPr>
          <w:t xml:space="preserve">Figure 3</w:t>
        </w:r>
      </w:hyperlink>
      <w:r>
        <w:t xml:space="preserve">), participants indicated the type of place it was</w:t>
      </w:r>
      <w:r>
        <w:t xml:space="preserve"> </w:t>
      </w:r>
      <w:r>
        <w:t xml:space="preserve">(dance party, sex party, darkroom, sport game, concert, theatre/show,</w:t>
      </w:r>
      <w:r>
        <w:t xml:space="preserve"> </w:t>
      </w:r>
      <w:r>
        <w:t xml:space="preserve">private residence, sex club, bathhouse, park, something else) and</w:t>
      </w:r>
      <w:r>
        <w:t xml:space="preserve"> </w:t>
      </w:r>
      <w:r>
        <w:t xml:space="preserve">whether they had sexual (vs. non-sexual) contact there.</w:t>
      </w:r>
    </w:p>
    <w:bookmarkEnd w:id="42"/>
    <w:bookmarkEnd w:id="43"/>
    <w:bookmarkStart w:id="51" w:name="statistical-analysis"/>
    <w:p>
      <w:pPr>
        <w:pStyle w:val="Heading2"/>
      </w:pPr>
      <w:r>
        <w:t xml:space="preserve">Statistical Analysis</w:t>
      </w:r>
    </w:p>
    <w:bookmarkStart w:id="44" w:name="Xc050e3b2b3ebc6b86d204b5e170e1fb1d90a26c"/>
    <w:p>
      <w:pPr>
        <w:pStyle w:val="Heading3"/>
      </w:pPr>
      <w:r>
        <w:t xml:space="preserve">Participant and contact venue characteristics</w:t>
      </w:r>
    </w:p>
    <w:p>
      <w:pPr>
        <w:pStyle w:val="FirstParagraph"/>
      </w:pPr>
      <w:r>
        <w:t xml:space="preserve">Participant characteristics were tabulated by contact in the preceding 4</w:t>
      </w:r>
      <w:r>
        <w:t xml:space="preserve"> </w:t>
      </w:r>
      <w:r>
        <w:t xml:space="preserve">weeks. We also tabulated contact venue characteristics by distance from</w:t>
      </w:r>
      <w:r>
        <w:t xml:space="preserve"> </w:t>
      </w:r>
      <w:r>
        <w:t xml:space="preserve">home and by sexual contact.</w:t>
      </w:r>
    </w:p>
    <w:p>
      <w:pPr>
        <w:pStyle w:val="BodyText"/>
      </w:pPr>
      <w:r>
        <w:t xml:space="preserve">Census tract identifiers were converted into community district</w:t>
      </w:r>
      <w:r>
        <w:t xml:space="preserve"> </w:t>
      </w:r>
      <w:r>
        <w:t xml:space="preserve">identifiers. Census tracts are nested in community districts. They are</w:t>
      </w:r>
      <w:r>
        <w:t xml:space="preserve"> </w:t>
      </w:r>
      <w:r>
        <w:t xml:space="preserve">defined by the City of New York</w:t>
      </w:r>
      <w:r>
        <w:t xml:space="preserve"> </w:t>
      </w:r>
      <w:r>
        <w:t xml:space="preserve">(NYC OpenData 2022)</w:t>
      </w:r>
      <w:r>
        <w:t xml:space="preserve">. For each contact</w:t>
      </w:r>
      <w:r>
        <w:t xml:space="preserve"> </w:t>
      </w:r>
      <w:r>
        <w:t xml:space="preserve">venue, we approximated the distance from home to that venue using an</w:t>
      </w:r>
      <w:r>
        <w:t xml:space="preserve"> </w:t>
      </w:r>
      <w:r>
        <w:t xml:space="preserve">ordinal variable with three levels: same community district as home;</w:t>
      </w:r>
      <w:r>
        <w:t xml:space="preserve"> </w:t>
      </w:r>
      <w:r>
        <w:t xml:space="preserve">different community district but same borough as home; different borough</w:t>
      </w:r>
      <w:r>
        <w:t xml:space="preserve"> </w:t>
      </w:r>
      <w:r>
        <w:t xml:space="preserve">than home.</w:t>
      </w:r>
    </w:p>
    <w:bookmarkEnd w:id="44"/>
    <w:bookmarkStart w:id="45" w:name="spatial-sorting-and-mixing"/>
    <w:p>
      <w:pPr>
        <w:pStyle w:val="Heading3"/>
      </w:pPr>
      <w:r>
        <w:t xml:space="preserve">Spatial sorting and mixing</w:t>
      </w:r>
    </w:p>
    <w:p>
      <w:pPr>
        <w:pStyle w:val="FirstParagraph"/>
      </w:pPr>
      <w:r>
        <w:t xml:space="preserve">To understand how different demographic groups mix in physical space, we</w:t>
      </w:r>
      <w:r>
        <w:t xml:space="preserve"> </w:t>
      </w:r>
      <w:r>
        <w:t xml:space="preserve">defined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  <m:r>
              <m:rPr>
                <m:sty m:val="p"/>
              </m:rPr>
              <m:t>→</m:t>
            </m:r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as the spatial</w:t>
      </w:r>
      <w:r>
        <w:t xml:space="preserve"> </w:t>
      </w:r>
      <w:r>
        <w:t xml:space="preserve">selection coefficient of subgroup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subgroup</w:t>
      </w:r>
      <w:r>
        <w:t xml:space="preserve"> </w:t>
      </w:r>
      <m:oMath>
        <m:r>
          <m:t>b</m:t>
        </m:r>
      </m:oMath>
      <w:r>
        <w:t xml:space="preserve">. The spacial</w:t>
      </w:r>
      <w:r>
        <w:t xml:space="preserve"> </w:t>
      </w:r>
      <w:r>
        <w:t xml:space="preserve">selection coefficient is defined as the spacial selection ratio less 1.</w:t>
      </w:r>
      <w:r>
        <w:t xml:space="preserve"> </w:t>
      </w:r>
      <w:r>
        <w:t xml:space="preserve">The numerator for this ratio is the conditional probability of someone</w:t>
      </w:r>
      <w:r>
        <w:t xml:space="preserve"> </w:t>
      </w:r>
      <w:r>
        <w:t xml:space="preserve">in subgroup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sharing a community district with someone in subgroup</w:t>
      </w:r>
      <w:r>
        <w:t xml:space="preserve"> </w:t>
      </w:r>
      <m:oMath>
        <m:r>
          <m:t>b</m:t>
        </m:r>
      </m:oMath>
      <w:r>
        <w:t xml:space="preserve">. The denominator is the marginal probability of having</w:t>
      </w:r>
      <w:r>
        <w:t xml:space="preserve"> </w:t>
      </w:r>
      <w:r>
        <w:t xml:space="preserve">characteristic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This measure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contact venues and residences for subgroups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distributed independently of each other in space; positive</w:t>
      </w:r>
      <w:r>
        <w:t xml:space="preserve"> </w:t>
      </w:r>
      <w:r>
        <w:t xml:space="preserve">if contact venues and residences for subgroup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tend to be in the same</w:t>
      </w:r>
      <w:r>
        <w:t xml:space="preserve"> </w:t>
      </w:r>
      <w:r>
        <w:t xml:space="preserve">community districts as those for subgroup</w:t>
      </w:r>
      <w:r>
        <w:t xml:space="preserve"> </w:t>
      </w:r>
      <m:oMath>
        <m:r>
          <m:t>b</m:t>
        </m:r>
      </m:oMath>
      <w:r>
        <w:t xml:space="preserve">; and negative if subgroup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tends to be in community districts that do not have contact venues</w:t>
      </w:r>
      <w:r>
        <w:t xml:space="preserve"> </w:t>
      </w:r>
      <w:r>
        <w:t xml:space="preserve">and residences for subgroup</w:t>
      </w:r>
      <w:r>
        <w:t xml:space="preserve"> </w:t>
      </w:r>
      <m:oMath>
        <m:r>
          <m:t>b</m:t>
        </m:r>
      </m:oMath>
      <w:r>
        <w:t xml:space="preserve">.</w:t>
      </w:r>
    </w:p>
    <w:bookmarkEnd w:id="45"/>
    <w:bookmarkStart w:id="46" w:name="participant-spatial-overlap-network"/>
    <w:p>
      <w:pPr>
        <w:pStyle w:val="Heading3"/>
      </w:pPr>
      <w:r>
        <w:t xml:space="preserve">Participant spatial overlap network</w:t>
      </w:r>
    </w:p>
    <w:p>
      <w:pPr>
        <w:pStyle w:val="FirstParagraph"/>
      </w:pPr>
      <w:r>
        <w:t xml:space="preserve">We constructed a network where nodes are participants and weighted ties</w:t>
      </w:r>
      <w:r>
        <w:t xml:space="preserve"> </w:t>
      </w:r>
      <w:r>
        <w:t xml:space="preserve">indicate the number of community districts shared by those participants.</w:t>
      </w:r>
      <w:r>
        <w:t xml:space="preserve"> </w:t>
      </w:r>
      <w:r>
        <w:t xml:space="preserve">We say two participants share a community district if both have a</w:t>
      </w:r>
      <w:r>
        <w:t xml:space="preserve"> </w:t>
      </w:r>
      <w:r>
        <w:t xml:space="preserve">residence or contact venue in that community district.</w:t>
      </w:r>
    </w:p>
    <w:bookmarkEnd w:id="46"/>
    <w:bookmarkStart w:id="49" w:name="hypothetical-immunization-intervention"/>
    <w:p>
      <w:pPr>
        <w:pStyle w:val="Heading3"/>
      </w:pPr>
      <w:r>
        <w:t xml:space="preserve">Hypothetical immunization intervention</w:t>
      </w:r>
    </w:p>
    <w:p>
      <w:pPr>
        <w:pStyle w:val="FirstParagraph"/>
      </w:pPr>
      <w:r>
        <w:t xml:space="preserve">We examined the coverage efficiency and network impact of a hypothetical</w:t>
      </w:r>
      <w:r>
        <w:t xml:space="preserve"> </w:t>
      </w:r>
      <w:r>
        <w:t xml:space="preserve">intervention to slow down the wide dissemination of a novel pathogen.</w:t>
      </w:r>
      <w:r>
        <w:t xml:space="preserve"> </w:t>
      </w:r>
      <w:r>
        <w:t xml:space="preserve">The intervention a) lists community districts in decreasing order of</w:t>
      </w:r>
      <w:r>
        <w:t xml:space="preserve"> </w:t>
      </w:r>
      <w:r>
        <w:t xml:space="preserve">count of residences and contact venues, b) immunizes all individuals who</w:t>
      </w:r>
      <w:r>
        <w:t xml:space="preserve"> </w:t>
      </w:r>
      <w:r>
        <w:t xml:space="preserve">have a residence or contact venue in the top district, c) removes all</w:t>
      </w:r>
      <w:r>
        <w:t xml:space="preserve"> </w:t>
      </w:r>
      <w:r>
        <w:t xml:space="preserve">contact venues and residences for immunized individuals. We say the</w:t>
      </w:r>
      <w:r>
        <w:t xml:space="preserve"> </w:t>
      </w:r>
      <w:r>
        <w:t xml:space="preserve">hypothetical intervention is of order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if these steps</w:t>
      </w:r>
      <w:r>
        <w:t xml:space="preserve"> </w:t>
      </w:r>
      <w:r>
        <w:t xml:space="preserve">are completed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bookmarkStart w:id="47" w:name="efficiency"/>
    <w:p>
      <w:pPr>
        <w:pStyle w:val="Heading4"/>
      </w:pPr>
      <w:r>
        <w:t xml:space="preserve">Efficiency</w:t>
      </w:r>
    </w:p>
    <w:p>
      <w:pPr>
        <w:pStyle w:val="FirstParagraph"/>
      </w:pPr>
      <w:r>
        <w:t xml:space="preserve">We examined coverage efficiency by plotting the proportion of immunized</w:t>
      </w:r>
      <w:r>
        <w:t xml:space="preserve"> </w:t>
      </w:r>
      <w:r>
        <w:t xml:space="preserve">individuals against the order of the hypothetical intervention (</w:t>
      </w:r>
      <m:oMath>
        <m:r>
          <m:t>k</m:t>
        </m:r>
      </m:oMath>
      <w:r>
        <w:t xml:space="preserve">)</w:t>
      </w:r>
      <w:r>
        <w:t xml:space="preserve"> </w:t>
      </w:r>
      <w:r>
        <w:t xml:space="preserve">carried out in community districts. For low</w:t>
      </w:r>
      <w:r>
        <w:t xml:space="preserve"> </w:t>
      </w:r>
      <m:oMath>
        <m:r>
          <m:t>k</m:t>
        </m:r>
      </m:oMath>
      <w:r>
        <w:t xml:space="preserve">, the proportion of</w:t>
      </w:r>
      <w:r>
        <w:t xml:space="preserve"> </w:t>
      </w:r>
      <w:r>
        <w:t xml:space="preserve">immunized individuals will grow faster than the order of the</w:t>
      </w:r>
      <w:r>
        <w:t xml:space="preserve"> </w:t>
      </w:r>
      <w:r>
        <w:t xml:space="preserve">hypothetical intervention.</w:t>
      </w:r>
    </w:p>
    <w:bookmarkEnd w:id="47"/>
    <w:bookmarkStart w:id="48" w:name="network-impact"/>
    <w:p>
      <w:pPr>
        <w:pStyle w:val="Heading4"/>
      </w:pPr>
      <w:r>
        <w:t xml:space="preserve">Network impact</w:t>
      </w:r>
    </w:p>
    <w:p>
      <w:pPr>
        <w:pStyle w:val="FirstParagraph"/>
      </w:pPr>
      <w:r>
        <w:t xml:space="preserve">We used the community district overlap network to understand how the</w:t>
      </w:r>
      <w:r>
        <w:t xml:space="preserve"> </w:t>
      </w:r>
      <w:r>
        <w:t xml:space="preserve">hypothetical intervention would likely affect transmission dynamics. In</w:t>
      </w:r>
      <w:r>
        <w:t xml:space="preserve"> </w:t>
      </w:r>
      <w:r>
        <w:t xml:space="preserve">that network, immunizing a community district removes all individuals</w:t>
      </w:r>
      <w:r>
        <w:t xml:space="preserve"> </w:t>
      </w:r>
      <w:r>
        <w:t xml:space="preserve">who have a residence or contact place in that that community district</w:t>
      </w:r>
      <w:r>
        <w:t xml:space="preserve"> </w:t>
      </w:r>
      <w:r>
        <w:t xml:space="preserve">from the network. (This is analogous to using a 100% efficacious vaccine</w:t>
      </w:r>
      <w:r>
        <w:t xml:space="preserve"> </w:t>
      </w:r>
      <w:r>
        <w:t xml:space="preserve">and achieving 100% coverage in immunized community districts.) For each</w:t>
      </w:r>
      <w:r>
        <w:t xml:space="preserve"> </w:t>
      </w:r>
      <m:oMath>
        <m:r>
          <m:t>k</m:t>
        </m:r>
      </m:oMath>
      <w:r>
        <w:t xml:space="preserve">, we calculated centrality measures to show how the participant</w:t>
      </w:r>
      <w:r>
        <w:t xml:space="preserve"> </w:t>
      </w:r>
      <w:r>
        <w:t xml:space="preserve">spatial overlap network would evolve as more community districts are</w:t>
      </w:r>
      <w:r>
        <w:t xml:space="preserve"> </w:t>
      </w:r>
      <w:r>
        <w:t xml:space="preserve">immunized.</w:t>
      </w:r>
    </w:p>
    <w:bookmarkEnd w:id="48"/>
    <w:bookmarkEnd w:id="49"/>
    <w:bookmarkStart w:id="50" w:name="statistical-inference"/>
    <w:p>
      <w:pPr>
        <w:pStyle w:val="Heading3"/>
      </w:pPr>
      <w:r>
        <w:t xml:space="preserve">Statistical Inference</w:t>
      </w:r>
    </w:p>
    <w:p>
      <w:pPr>
        <w:pStyle w:val="FirstParagraph"/>
      </w:pPr>
      <w:r>
        <w:t xml:space="preserve">We used the non-parametric bootstrap to calculate point estimates and</w:t>
      </w:r>
      <w:r>
        <w:t xml:space="preserve"> </w:t>
      </w:r>
      <w:r>
        <w:t xml:space="preserve">95% confidence intervals (CI). Participants were re-sampled with</w:t>
      </w:r>
      <w:r>
        <w:t xml:space="preserve"> </w:t>
      </w:r>
      <w:r>
        <w:t xml:space="preserve">replacement 10 times.</w:t>
      </w:r>
      <w:r>
        <w:t xml:space="preserve"> </w:t>
      </w:r>
      <w:r>
        <w:t xml:space="preserve">For each measure, the lower and upper bound of confidence intervals were</w:t>
      </w:r>
      <w:r>
        <w:t xml:space="preserve"> </w:t>
      </w:r>
      <w:r>
        <w:t xml:space="preserve">calculated as the 0.025th and 0.975th quantiles of the empirical</w:t>
      </w:r>
      <w:r>
        <w:t xml:space="preserve"> </w:t>
      </w:r>
      <w:r>
        <w:t xml:space="preserve">distribution produced by re-sampling.</w:t>
      </w:r>
    </w:p>
    <w:bookmarkEnd w:id="50"/>
    <w:bookmarkEnd w:id="51"/>
    <w:bookmarkEnd w:id="52"/>
    <w:bookmarkStart w:id="86" w:name="results"/>
    <w:p>
      <w:pPr>
        <w:pStyle w:val="Heading1"/>
      </w:pPr>
      <w:r>
        <w:t xml:space="preserve">Results</w:t>
      </w:r>
    </w:p>
    <w:bookmarkStart w:id="62" w:name="participants-1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MPX NYC participants were predominantly gay men who reside in Brooklyn</w:t>
      </w:r>
      <w:r>
        <w:t xml:space="preserve"> </w:t>
      </w:r>
      <w:r>
        <w:t xml:space="preserve">and Manhattan and were between the ages of 18 and 34. Over half were</w:t>
      </w:r>
      <w:r>
        <w:t xml:space="preserve"> </w:t>
      </w:r>
      <w:r>
        <w:t xml:space="preserve">white, and over half were recruited through grindr advertisements, and .</w:t>
      </w:r>
      <w:r>
        <w:t xml:space="preserve"> </w:t>
      </w:r>
      <w:r>
        <w:t xml:space="preserve">These were clustered around two adverts on grind on XXXX and XXX. Most</w:t>
      </w:r>
      <w:r>
        <w:t xml:space="preserve"> </w:t>
      </w:r>
      <w:r>
        <w:t xml:space="preserve">had accessed the mpox vaccine by the time they took the survey, but few</w:t>
      </w:r>
      <w:r>
        <w:t xml:space="preserve"> </w:t>
      </w:r>
      <w:r>
        <w:t xml:space="preserve">had accessed mpox testing. A substantial portion were PrEP users at the</w:t>
      </w:r>
      <w:r>
        <w:t xml:space="preserve"> </w:t>
      </w:r>
      <w:r>
        <w:t xml:space="preserve">time of the survey.</w:t>
      </w:r>
    </w:p>
    <w:p>
      <w:pPr>
        <w:pStyle w:val="BodyText"/>
      </w:pPr>
      <w:r>
        <w:t xml:space="preserve">About XXX of participants reported having had (sexual and non-sexual)</w:t>
      </w:r>
      <w:r>
        <w:t xml:space="preserve"> </w:t>
      </w:r>
      <w:r>
        <w:t xml:space="preserve">contact in the preceding four weeks. Those who reported contact tended</w:t>
      </w:r>
      <w:r>
        <w:t xml:space="preserve"> </w:t>
      </w:r>
      <w:r>
        <w:t xml:space="preserve">to be younger, had more friends, more physical contact, and more sexual</w:t>
      </w:r>
      <w:r>
        <w:t xml:space="preserve"> </w:t>
      </w:r>
      <w:r>
        <w:t xml:space="preserve">partners than those who did not. In addition, those who reported contact</w:t>
      </w:r>
      <w:r>
        <w:t xml:space="preserve"> </w:t>
      </w:r>
      <w:r>
        <w:t xml:space="preserve">had higher access to PrEP, mpox testing, and mpox vaccine. Those who had</w:t>
      </w:r>
      <w:r>
        <w:t xml:space="preserve"> </w:t>
      </w:r>
      <w:r>
        <w:t xml:space="preserve">contact were similar to those who did not in age, gender, race, sexual</w:t>
      </w:r>
      <w:r>
        <w:t xml:space="preserve"> </w:t>
      </w:r>
      <w:r>
        <w:t xml:space="preserve">orientation, and residential borough.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Group contact past 4 weeks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cisgender-man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cisgender-woman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transgender-man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transgender-woman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latinx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something-else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channel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grindr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partner_toolkit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instagram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hivPrep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living-with-hiv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monkeypoxVaccine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409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monkeypoxTest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countSex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countFriends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16+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countPhysical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brooklyn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manhattan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staten_island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Data source: MPX NYC 2022</w:t>
            </w:r>
          </w:p>
        </w:tc>
      </w:tr>
    </w:tbl>
    <w:bookmarkStart w:id="53" w:name="tbl-descriptives"/>
    <w:p>
      <w:pPr>
        <w:pStyle w:val="BodyText"/>
      </w:pPr>
      <w:r>
        <w:rPr>
          <w:bCs/>
          <w:b/>
        </w:rPr>
        <w:t xml:space="preserve">?(caption)</w:t>
      </w:r>
    </w:p>
    <w:bookmarkEnd w:id="53"/>
    <w:p>
      <w:pPr>
        <w:pStyle w:val="BodyText"/>
      </w:pPr>
      <w:r>
        <w:t xml:space="preserve">Sexual orientation, however, varied accross sub-groups defined by race</w:t>
      </w:r>
      <w:r>
        <w:t xml:space="preserve"> </w:t>
      </w:r>
      <w:r>
        <w:t xml:space="preserve">and gender. Cisgender men tended to be predominantly gay identified</w:t>
      </w:r>
      <w:r>
        <w:t xml:space="preserve"> </w:t>
      </w:r>
      <w:r>
        <w:t xml:space="preserve">whereas non-binary persons, transgender men were predominantly queer.</w:t>
      </w:r>
      <w:r>
        <w:t xml:space="preserve"> </w:t>
      </w:r>
      <w:r>
        <w:t xml:space="preserve">Transgender and cisgender women straight or bisexual.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7" w:name="fig-sexorientation-racegender"/>
          <w:p>
            <w:pPr>
              <w:jc w:val="center"/>
            </w:pPr>
            <w:r>
              <w:drawing>
                <wp:inline>
                  <wp:extent cx="5334000" cy="45339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sexorientation-racegender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3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Sexual orientation of MPX NYC participants by race and gender</w:t>
            </w:r>
          </w:p>
          <w:bookmarkEnd w:id="57"/>
        </w:tc>
      </w:tr>
    </w:tbl>
    <w:p>
      <w:pPr>
        <w:pStyle w:val="BodyText"/>
      </w:pPr>
      <w:r>
        <w:t xml:space="preserve">There was varying access to services by race and gender. For example,</w:t>
      </w:r>
      <w:r>
        <w:t xml:space="preserve"> </w:t>
      </w:r>
      <w:r>
        <w:t xml:space="preserve">among white cisgender men, more were on PrEP than not whereas among</w:t>
      </w:r>
      <w:r>
        <w:t xml:space="preserve"> </w:t>
      </w:r>
      <w:r>
        <w:t xml:space="preserve">latinx and black men, more were not on PrEP than were. Strikingly,</w:t>
      </w:r>
      <w:r>
        <w:t xml:space="preserve"> </w:t>
      </w:r>
      <w:r>
        <w:t xml:space="preserve">unlike any other group, more black cisgender men were living with HIV</w:t>
      </w:r>
      <w:r>
        <w:t xml:space="preserve"> </w:t>
      </w:r>
      <w:r>
        <w:t xml:space="preserve">than on PrEP.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1" w:name="fig-prephiv-racegender"/>
          <w:p>
            <w:pPr>
              <w:jc w:val="center"/>
            </w:pPr>
            <w:r>
              <w:drawing>
                <wp:inline>
                  <wp:extent cx="5334000" cy="45339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prephiv-racegender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3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PrEP and HIV Status of MPX NYC participants by race and gender</w:t>
            </w:r>
          </w:p>
          <w:bookmarkEnd w:id="61"/>
        </w:tc>
      </w:tr>
    </w:tbl>
    <w:bookmarkEnd w:id="62"/>
    <w:bookmarkStart w:id="67" w:name="contact-venues"/>
    <w:p>
      <w:pPr>
        <w:pStyle w:val="Heading2"/>
      </w:pPr>
      <w:r>
        <w:t xml:space="preserve">Contact venues</w:t>
      </w:r>
    </w:p>
    <w:p>
      <w:pPr>
        <w:pStyle w:val="FirstParagraph"/>
      </w:pPr>
      <w:r>
        <w:t xml:space="preserve">From the XXX participants who reported contact in the 4 weeks preceding</w:t>
      </w:r>
      <w:r>
        <w:t xml:space="preserve"> </w:t>
      </w:r>
      <w:r>
        <w:t xml:space="preserve">the survey, we solicited, XXX contact venues. The most popular venue for</w:t>
      </w:r>
      <w:r>
        <w:t xml:space="preserve"> </w:t>
      </w:r>
      <w:r>
        <w:t xml:space="preserve">contact was private residences. When we separate venues at which sexual</w:t>
      </w:r>
      <w:r>
        <w:t xml:space="preserve"> </w:t>
      </w:r>
      <w:r>
        <w:t xml:space="preserve">contact occured from other venues, we found that sexual contact in</w:t>
      </w:r>
      <w:r>
        <w:t xml:space="preserve"> </w:t>
      </w:r>
      <w:r>
        <w:t xml:space="preserve">congregate settings happened predominantly in private residences. By</w:t>
      </w:r>
      <w:r>
        <w:t xml:space="preserve"> </w:t>
      </w:r>
      <w:r>
        <w:t xml:space="preserve">contrast, among contact venues in which participants did not have sex,</w:t>
      </w:r>
      <w:r>
        <w:t xml:space="preserve"> </w:t>
      </w:r>
      <w:r>
        <w:t xml:space="preserve">dance parties predominated. The proportion of contact venues at which</w:t>
      </w:r>
      <w:r>
        <w:t xml:space="preserve"> </w:t>
      </w:r>
      <w:r>
        <w:t xml:space="preserve">sexual contact happened increased the closer to home the venues were.</w:t>
      </w:r>
      <w:r>
        <w:t xml:space="preserve"> </w:t>
      </w:r>
      <w:r>
        <w:t xml:space="preserve">The further away from home, the more likely contact venues were to be</w:t>
      </w:r>
      <w:r>
        <w:t xml:space="preserve"> </w:t>
      </w:r>
      <w:r>
        <w:t xml:space="preserve">dance paries or sex parties, though the overall proportion was still low</w:t>
      </w:r>
      <w:r>
        <w:t xml:space="preserve"> </w:t>
      </w:r>
      <w:r>
        <w:t xml:space="preserve">compared to private residences.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6" w:name="fig-places-distance-sexcontact"/>
          <w:p>
            <w:pPr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places-distance-sexcontact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MPX NYC contact venue type by distance from home and sexual contact</w:t>
            </w:r>
          </w:p>
          <w:bookmarkEnd w:id="66"/>
        </w:tc>
      </w:tr>
    </w:tbl>
    <w:bookmarkEnd w:id="67"/>
    <w:bookmarkStart w:id="80" w:name="Xdd6a8c978d06b07be7c79feb29bc5729f48b0e1"/>
    <w:p>
      <w:pPr>
        <w:pStyle w:val="Heading2"/>
      </w:pPr>
      <w:r>
        <w:t xml:space="preserve">Participants connecting through contact venues</w:t>
      </w:r>
    </w:p>
    <w:p>
      <w:pPr>
        <w:pStyle w:val="FirstParagraph"/>
      </w:pPr>
      <w:r>
        <w:t xml:space="preserve">Movement between home and contact venues show that there is a strong</w:t>
      </w:r>
      <w:r>
        <w:t xml:space="preserve"> </w:t>
      </w:r>
      <w:r>
        <w:t xml:space="preserve">flow within Brooklyn and within Manhattan, with a substantial amount of</w:t>
      </w:r>
      <w:r>
        <w:t xml:space="preserve"> </w:t>
      </w:r>
      <w:r>
        <w:t xml:space="preserve">movement from Brooklyn homes to Manhattan contact venues. There was</w:t>
      </w:r>
      <w:r>
        <w:t xml:space="preserve"> </w:t>
      </w:r>
      <w:r>
        <w:t xml:space="preserve">substantial, though less, flow from Manhattan to Brooklyn venues.</w:t>
      </w:r>
      <w:r>
        <w:t xml:space="preserve"> </w:t>
      </w:r>
      <w:r>
        <w:t xml:space="preserve">Residents of the Bronx and Queens moved from their homes to contact</w:t>
      </w:r>
      <w:r>
        <w:t xml:space="preserve"> </w:t>
      </w:r>
      <w:r>
        <w:t xml:space="preserve">venues within their buroughs, and also moved to Manhattan and to a lower</w:t>
      </w:r>
      <w:r>
        <w:t xml:space="preserve"> </w:t>
      </w:r>
      <w:r>
        <w:t xml:space="preserve">extent, Brooklyn. Within Brooklyn, the community district of BK01</w:t>
      </w:r>
      <w:r>
        <w:t xml:space="preserve"> </w:t>
      </w:r>
      <w:r>
        <w:t xml:space="preserve">received the most visitors within Brooklyn, and within Manhattan the</w:t>
      </w:r>
      <w:r>
        <w:t xml:space="preserve"> </w:t>
      </w:r>
      <w:r>
        <w:t xml:space="preserve">district of MN04 was most visited. These include the neighborhoods X, X,</w:t>
      </w:r>
      <w:r>
        <w:t xml:space="preserve"> </w:t>
      </w:r>
      <w:r>
        <w:t xml:space="preserve">X, X in BK01, and X, X, X, X in MN04.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1" w:name="fig-communities-movement"/>
          <w:p>
            <w:pPr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communities-movement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Movement between home and contact venues by MPX NYC participant</w:t>
            </w:r>
          </w:p>
          <w:bookmarkEnd w:id="71"/>
        </w:tc>
      </w:tr>
    </w:tbl>
    <w:p>
      <w:pPr>
        <w:pStyle w:val="BodyText"/>
      </w:pPr>
      <w:r>
        <w:t xml:space="preserve">The most popular community districts in Brooklyn and Manhattan were</w:t>
      </w:r>
      <w:r>
        <w:t xml:space="preserve"> </w:t>
      </w:r>
      <w:r>
        <w:t xml:space="preserve">connected via shared visitors or residents. Different sub-groups showed</w:t>
      </w:r>
      <w:r>
        <w:t xml:space="preserve"> </w:t>
      </w:r>
      <w:r>
        <w:t xml:space="preserve">different patterns of co-attendance of community districts. Overall, MPX</w:t>
      </w:r>
      <w:r>
        <w:t xml:space="preserve"> </w:t>
      </w:r>
      <w:r>
        <w:t xml:space="preserve">NYC participants showed spatial homophily - the spatial selection</w:t>
      </w:r>
      <w:r>
        <w:t xml:space="preserve"> </w:t>
      </w:r>
      <w:r>
        <w:t xml:space="preserve">coefficient from a given group to the same group was positive for all</w:t>
      </w:r>
      <w:r>
        <w:t xml:space="preserve"> </w:t>
      </w:r>
      <w:r>
        <w:t xml:space="preserve">levels of race-gender, sexual orientation, and age. In addition, black</w:t>
      </w:r>
      <w:r>
        <w:t xml:space="preserve"> </w:t>
      </w:r>
      <w:r>
        <w:t xml:space="preserve">cisgender men and non-binary persons tended to visit or live in</w:t>
      </w:r>
      <w:r>
        <w:t xml:space="preserve"> </w:t>
      </w:r>
      <w:r>
        <w:t xml:space="preserve">different neighborhoods than white cisgender men. Non-binary persons</w:t>
      </w:r>
      <w:r>
        <w:t xml:space="preserve"> </w:t>
      </w:r>
      <w:r>
        <w:t xml:space="preserve">also showed a preference for community districts in which transgender</w:t>
      </w:r>
      <w:r>
        <w:t xml:space="preserve"> </w:t>
      </w:r>
      <w:r>
        <w:t xml:space="preserve">men live. Gay identified participants preferred to live and play in</w:t>
      </w:r>
      <w:r>
        <w:t xml:space="preserve"> </w:t>
      </w:r>
      <w:r>
        <w:t xml:space="preserve">community districts where bisexual, straight and queer identified</w:t>
      </w:r>
      <w:r>
        <w:t xml:space="preserve"> </w:t>
      </w:r>
      <w:r>
        <w:t xml:space="preserve">participants did not live. Similarly, those groups selected against</w:t>
      </w:r>
      <w:r>
        <w:t xml:space="preserve"> </w:t>
      </w:r>
      <w:r>
        <w:t xml:space="preserve">community districts in which gay identified individuals live or play.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5" w:name="fig-communities-network"/>
          <w:p>
            <w:pPr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communities-network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Network of community districts connected by MPX NYC participants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9" w:name="fig-subgroup-mixing"/>
          <w:p>
            <w:pPr>
              <w:jc w:val="center"/>
            </w:pPr>
            <w:r>
              <w:drawing>
                <wp:inline>
                  <wp:extent cx="5334000" cy="75565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subgroup-mixing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Social mixing matrices for MPX NYC participants by race-gender (top), sexual orientation (bottom left), and age (bottom right)</w:t>
            </w:r>
          </w:p>
          <w:bookmarkEnd w:id="79"/>
        </w:tc>
      </w:tr>
    </w:tbl>
    <w:bookmarkEnd w:id="80"/>
    <w:bookmarkStart w:id="85" w:name="efficient-and-effective-interventions"/>
    <w:p>
      <w:pPr>
        <w:pStyle w:val="Heading2"/>
      </w:pPr>
      <w:r>
        <w:t xml:space="preserve">Efficient and effective interventions</w:t>
      </w:r>
    </w:p>
    <w:p>
      <w:pPr>
        <w:pStyle w:val="FirstParagraph"/>
      </w:pPr>
      <w:r>
        <w:t xml:space="preserve">Under the hypothetical intervention, it would take an intervention of</w:t>
      </w:r>
      <w:r>
        <w:t xml:space="preserve"> </w:t>
      </w:r>
      <w:r>
        <w:t xml:space="preserve">order 5 to reach 33% of survey participants with an intervention to slow</w:t>
      </w:r>
      <w:r>
        <w:t xml:space="preserve"> </w:t>
      </w:r>
      <w:r>
        <w:t xml:space="preserve">down the spread of a novel pathogen. These were MN04, BK01, MN10, BK03,</w:t>
      </w:r>
      <w:r>
        <w:t xml:space="preserve"> </w:t>
      </w:r>
      <w:r>
        <w:t xml:space="preserve">and QN01. MN04 includes the neighborhoods XXXXX, BK01 includes XXXXX,</w:t>
      </w:r>
      <w:r>
        <w:t xml:space="preserve"> </w:t>
      </w:r>
      <w:r>
        <w:t xml:space="preserve">MN10 includes XXXX, BK03 includes XXX, and QN01 includes XXXX. To reach</w:t>
      </w:r>
      <w:r>
        <w:t xml:space="preserve"> </w:t>
      </w:r>
      <w:r>
        <w:t xml:space="preserve">66% of participants with the intervention, it would be necessary to</w:t>
      </w:r>
      <w:r>
        <w:t xml:space="preserve"> </w:t>
      </w:r>
      <w:r>
        <w:t xml:space="preserve">mount an intervention of order 13. The additional community districts</w:t>
      </w:r>
      <w:r>
        <w:t xml:space="preserve"> </w:t>
      </w:r>
      <w:r>
        <w:t xml:space="preserve">would be MN12, BK04, MN02, BK08, MN07, MN09, BK02, and MN05. A table of</w:t>
      </w:r>
      <w:r>
        <w:t xml:space="preserve"> </w:t>
      </w:r>
      <w:r>
        <w:t xml:space="preserve">community districts and their constituent neightborhoods can be found in</w:t>
      </w:r>
      <w:r>
        <w:t xml:space="preserve"> </w:t>
      </w:r>
      <w:r>
        <w:t xml:space="preserve">Appendix X.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4" w:name="fig-hiimpact-communities"/>
          <w:p>
            <w:pPr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_manuscript_files/figure-docx/fig-hiimpact-communities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High-coverage community districts</w:t>
            </w:r>
          </w:p>
          <w:bookmarkEnd w:id="84"/>
        </w:tc>
      </w:tr>
    </w:tbl>
    <w:bookmarkEnd w:id="85"/>
    <w:bookmarkEnd w:id="86"/>
    <w:bookmarkStart w:id="8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Group sex is ubiquitous. The sex happens in physical space, it is</w:t>
      </w:r>
      <w:r>
        <w:t xml:space="preserve"> </w:t>
      </w:r>
      <w:r>
        <w:t xml:space="preserve">important to study space and sex at the same time.</w:t>
      </w:r>
    </w:p>
    <w:p>
      <w:pPr>
        <w:pStyle w:val="BodyText"/>
      </w:pPr>
      <w:r>
        <w:t xml:space="preserve">People who are more likely to have contact are also more likely to use</w:t>
      </w:r>
      <w:r>
        <w:t xml:space="preserve"> </w:t>
      </w:r>
      <w:r>
        <w:t xml:space="preserve">health-promoting interventions such as PrEP, mpox vaccination. But are</w:t>
      </w:r>
      <w:r>
        <w:t xml:space="preserve"> </w:t>
      </w:r>
      <w:r>
        <w:t xml:space="preserve">not more likely to access mpox testing. The latter is likely more about</w:t>
      </w:r>
      <w:r>
        <w:t xml:space="preserve"> </w:t>
      </w:r>
      <w:r>
        <w:t xml:space="preserve">the inadequate system for testing than its is about health behavior.</w:t>
      </w:r>
    </w:p>
    <w:p>
      <w:pPr>
        <w:pStyle w:val="BodyText"/>
      </w:pPr>
      <w:r>
        <w:t xml:space="preserve">Targeting public group sex venues is an ineffective intervention in the</w:t>
      </w:r>
      <w:r>
        <w:t xml:space="preserve"> </w:t>
      </w:r>
      <w:r>
        <w:t xml:space="preserve">face of a growing threat of a deadly sexually transmitted infection.</w:t>
      </w:r>
    </w:p>
    <w:p>
      <w:pPr>
        <w:pStyle w:val="BodyText"/>
      </w:pPr>
      <w:r>
        <w:t xml:space="preserve">Sexual activity and group sexual activity are not evenly distributed</w:t>
      </w:r>
      <w:r>
        <w:t xml:space="preserve"> </w:t>
      </w:r>
      <w:r>
        <w:t xml:space="preserve">across the city - there are few neighborhoods which, if intensely</w:t>
      </w:r>
      <w:r>
        <w:t xml:space="preserve"> </w:t>
      </w:r>
      <w:r>
        <w:t xml:space="preserve">covered with interventions could slow down transmission across the city</w:t>
      </w:r>
      <w:r>
        <w:t xml:space="preserve"> </w:t>
      </w:r>
      <w:r>
        <w:t xml:space="preserve">more generally.</w:t>
      </w:r>
    </w:p>
    <w:p>
      <w:pPr>
        <w:pStyle w:val="BodyText"/>
      </w:pPr>
      <w:r>
        <w:t xml:space="preserve">There is spatial homophily by race-gender, sexual orientation, and age.</w:t>
      </w:r>
      <w:r>
        <w:t xml:space="preserve"> </w:t>
      </w:r>
      <w:r>
        <w:t xml:space="preserve">And there is some spatial separation between gay identified people and</w:t>
      </w:r>
      <w:r>
        <w:t xml:space="preserve"> </w:t>
      </w:r>
      <w:r>
        <w:t xml:space="preserve">people of other sexual orientations. This is likely to lead to some</w:t>
      </w:r>
      <w:r>
        <w:t xml:space="preserve"> </w:t>
      </w:r>
      <w:r>
        <w:t xml:space="preserve">containment among gay men.</w:t>
      </w:r>
    </w:p>
    <w:p>
      <w:pPr>
        <w:pStyle w:val="BodyText"/>
      </w:pPr>
      <w:r>
        <w:t xml:space="preserve">People who had group contact were also likely to have more friends, more</w:t>
      </w:r>
      <w:r>
        <w:t xml:space="preserve"> </w:t>
      </w:r>
      <w:r>
        <w:t xml:space="preserve">one-on-one physical contact, and more one-on-one sexual contact than</w:t>
      </w:r>
      <w:r>
        <w:t xml:space="preserve"> </w:t>
      </w:r>
      <w:r>
        <w:t xml:space="preserve">others. Even as spatial networks are considered as conduits for the</w:t>
      </w:r>
      <w:r>
        <w:t xml:space="preserve"> </w:t>
      </w:r>
      <w:r>
        <w:t xml:space="preserve">transmission of pathogens, they should be conceptualized and conduits</w:t>
      </w:r>
      <w:r>
        <w:t xml:space="preserve"> </w:t>
      </w:r>
      <w:r>
        <w:t xml:space="preserve">for information and other health-promoting resources.</w:t>
      </w:r>
    </w:p>
    <w:p>
      <w:pPr>
        <w:pStyle w:val="BodyText"/>
      </w:pPr>
      <w:r>
        <w:t xml:space="preserve">Network connectivity declines after about 10 community districts. We</w:t>
      </w:r>
      <w:r>
        <w:t xml:space="preserve"> </w:t>
      </w:r>
      <w:r>
        <w:t xml:space="preserve">have to assume that we are working on a well connected network and</w:t>
      </w:r>
      <w:r>
        <w:t xml:space="preserve"> </w:t>
      </w:r>
      <w:r>
        <w:t xml:space="preserve">conduct interventions concurrently instead of sequentially as we have</w:t>
      </w:r>
      <w:r>
        <w:t xml:space="preserve"> </w:t>
      </w:r>
      <w:r>
        <w:t xml:space="preserve">proposed here.</w:t>
      </w:r>
    </w:p>
    <w:p>
      <w:pPr>
        <w:pStyle w:val="BodyText"/>
      </w:pPr>
      <w:r>
        <w:t xml:space="preserve">We must overreact in places which are hubs. Extend to international gay</w:t>
      </w:r>
      <w:r>
        <w:t xml:space="preserve"> </w:t>
      </w:r>
      <w:r>
        <w:t xml:space="preserve">travel.</w:t>
      </w:r>
    </w:p>
    <w:p>
      <w:pPr>
        <w:pStyle w:val="BodyText"/>
      </w:pPr>
      <w:r>
        <w:t xml:space="preserve">Extend to contact tracing light.</w:t>
      </w:r>
    </w:p>
    <w:p>
      <w:pPr>
        <w:pStyle w:val="BodyText"/>
      </w:pPr>
      <w:r>
        <w:t xml:space="preserve">Background in programming:</w:t>
      </w:r>
    </w:p>
    <w:p>
      <w:pPr>
        <w:numPr>
          <w:ilvl w:val="0"/>
          <w:numId w:val="1002"/>
        </w:numPr>
      </w:pPr>
      <w:r>
        <w:t xml:space="preserve">we make the asusmption of networking, but networks are not measured.</w:t>
      </w:r>
    </w:p>
    <w:p>
      <w:pPr>
        <w:numPr>
          <w:ilvl w:val="0"/>
          <w:numId w:val="1002"/>
        </w:numPr>
      </w:pPr>
      <w:r>
        <w:t xml:space="preserve">we talk a lot about empowering community, but we need to just ask</w:t>
      </w:r>
      <w:r>
        <w:t xml:space="preserve"> </w:t>
      </w:r>
      <w:r>
        <w:t xml:space="preserve">organizations how much material resources they dedicate to active</w:t>
      </w:r>
      <w:r>
        <w:t xml:space="preserve"> </w:t>
      </w:r>
      <w:r>
        <w:t xml:space="preserve">reponsive work like this, vs. covering overhead. Things are usually</w:t>
      </w:r>
      <w:r>
        <w:t xml:space="preserve"> </w:t>
      </w:r>
      <w:r>
        <w:t xml:space="preserve">what they seem.</w:t>
      </w:r>
    </w:p>
    <w:p>
      <w:pPr>
        <w:numPr>
          <w:ilvl w:val="0"/>
          <w:numId w:val="1002"/>
        </w:numPr>
      </w:pPr>
      <w:r>
        <w:t xml:space="preserve">WE are called to reconsider the categorical imperative and move</w:t>
      </w:r>
      <w:r>
        <w:t xml:space="preserve"> </w:t>
      </w:r>
      <w:r>
        <w:t xml:space="preserve">towards a network-based understanding of community.</w:t>
      </w:r>
    </w:p>
    <w:p>
      <w:pPr>
        <w:numPr>
          <w:ilvl w:val="0"/>
          <w:numId w:val="1002"/>
        </w:numPr>
      </w:pPr>
      <w:r>
        <w:t xml:space="preserve">Next step: This is a flavor of CLM. We call on UNAIDS and WHO to</w:t>
      </w:r>
      <w:r>
        <w:t xml:space="preserve"> </w:t>
      </w:r>
      <w:r>
        <w:t xml:space="preserve">generate technical guidance to conduct these studies.</w:t>
      </w:r>
    </w:p>
    <w:p>
      <w:pPr>
        <w:pStyle w:val="FirstParagraph"/>
      </w:pPr>
      <w:r>
        <w:t xml:space="preserve">Reccomendations:</w:t>
      </w:r>
    </w:p>
    <w:p>
      <w:pPr>
        <w:numPr>
          <w:ilvl w:val="0"/>
          <w:numId w:val="1003"/>
        </w:numPr>
      </w:pPr>
      <w:r>
        <w:t xml:space="preserve">Gov:</w:t>
      </w:r>
    </w:p>
    <w:p>
      <w:pPr>
        <w:numPr>
          <w:ilvl w:val="1"/>
          <w:numId w:val="1004"/>
        </w:numPr>
      </w:pPr>
      <w:r>
        <w:t xml:space="preserve">hire capable queer and tans people of different backgrounds to</w:t>
      </w:r>
      <w:r>
        <w:t xml:space="preserve"> </w:t>
      </w:r>
      <w:r>
        <w:t xml:space="preserve">convene local groups to monitor the situation and make</w:t>
      </w:r>
      <w:r>
        <w:t xml:space="preserve"> </w:t>
      </w:r>
      <w:r>
        <w:t xml:space="preserve">contingency plans</w:t>
      </w:r>
    </w:p>
    <w:p>
      <w:pPr>
        <w:numPr>
          <w:ilvl w:val="1"/>
          <w:numId w:val="1004"/>
        </w:numPr>
      </w:pPr>
      <w:r>
        <w:t xml:space="preserve">defund centers for pandemic preparendess which have not done any</w:t>
      </w:r>
      <w:r>
        <w:t xml:space="preserve"> </w:t>
      </w:r>
      <w:r>
        <w:t xml:space="preserve">work to prepare us for the onslaught and steer funding to</w:t>
      </w:r>
      <w:r>
        <w:t xml:space="preserve"> </w:t>
      </w:r>
      <w:r>
        <w:t xml:space="preserve">coalitions of local activists, researchers, and government who</w:t>
      </w:r>
      <w:r>
        <w:t xml:space="preserve"> </w:t>
      </w:r>
      <w:r>
        <w:t xml:space="preserve">wish to coordinate efforts to prepare</w:t>
      </w:r>
    </w:p>
    <w:p>
      <w:pPr>
        <w:numPr>
          <w:ilvl w:val="1"/>
          <w:numId w:val="1004"/>
        </w:numPr>
      </w:pPr>
      <w:r>
        <w:t xml:space="preserve">Invest in success and not in prestigious and well-explained</w:t>
      </w:r>
      <w:r>
        <w:t xml:space="preserve"> </w:t>
      </w:r>
      <w:r>
        <w:t xml:space="preserve">failure.</w:t>
      </w:r>
    </w:p>
    <w:p>
      <w:pPr>
        <w:numPr>
          <w:ilvl w:val="0"/>
          <w:numId w:val="1003"/>
        </w:numPr>
      </w:pPr>
      <w:r>
        <w:t xml:space="preserve">conduct this kind of survey every year to keep an up-to date map and</w:t>
      </w:r>
      <w:r>
        <w:t xml:space="preserve"> </w:t>
      </w:r>
      <w:r>
        <w:t xml:space="preserve">study its evolution over time. We collected MPX NYC 2 data, which</w:t>
      </w:r>
      <w:r>
        <w:t xml:space="preserve"> </w:t>
      </w:r>
      <w:r>
        <w:t xml:space="preserve">are currently being analysed.</w:t>
      </w:r>
    </w:p>
    <w:p>
      <w:pPr>
        <w:numPr>
          <w:ilvl w:val="0"/>
          <w:numId w:val="1003"/>
        </w:numPr>
      </w:pPr>
      <w:r>
        <w:t xml:space="preserve">convene groups to be ready for the new outbreak instead of wiating</w:t>
      </w:r>
      <w:r>
        <w:t xml:space="preserve"> </w:t>
      </w:r>
      <w:r>
        <w:t xml:space="preserve">for it to kill people before we do anything</w:t>
      </w:r>
    </w:p>
    <w:p>
      <w:pPr>
        <w:numPr>
          <w:ilvl w:val="0"/>
          <w:numId w:val="1003"/>
        </w:numPr>
      </w:pPr>
      <w:r>
        <w:t xml:space="preserve">accept that under biden’s presidency, activists were gaslighted into</w:t>
      </w:r>
      <w:r>
        <w:t xml:space="preserve"> </w:t>
      </w:r>
      <w:r>
        <w:t xml:space="preserve">believing the administration is doing the utmost to slow the spread</w:t>
      </w:r>
      <w:r>
        <w:t xml:space="preserve"> </w:t>
      </w:r>
      <w:r>
        <w:t xml:space="preserve">down whereas it was doing the least. If we are to prevent pain and</w:t>
      </w:r>
      <w:r>
        <w:t xml:space="preserve"> </w:t>
      </w:r>
      <w:r>
        <w:t xml:space="preserve">suffering, we have to assume that city, state, and federal</w:t>
      </w:r>
      <w:r>
        <w:t xml:space="preserve"> </w:t>
      </w:r>
      <w:r>
        <w:t xml:space="preserve">government will provide as much material support as they did through</w:t>
      </w:r>
      <w:r>
        <w:t xml:space="preserve"> </w:t>
      </w:r>
      <w:r>
        <w:t xml:space="preserve">this ground-breaking initiative which was the only of its kind at</w:t>
      </w:r>
      <w:r>
        <w:t xml:space="preserve"> </w:t>
      </w:r>
      <w:r>
        <w:t xml:space="preserve">the time we conducted it.</w:t>
      </w:r>
    </w:p>
    <w:p>
      <w:pPr>
        <w:numPr>
          <w:ilvl w:val="0"/>
          <w:numId w:val="1003"/>
        </w:numPr>
      </w:pPr>
      <w:r>
        <w:t xml:space="preserve">Do whatever you want - climate change is gonna hit us before you get</w:t>
      </w:r>
      <w:r>
        <w:t xml:space="preserve"> </w:t>
      </w:r>
      <w:r>
        <w:t xml:space="preserve">tenure. go wild. have fund. be a freak.</w:t>
      </w:r>
    </w:p>
    <w:p>
      <w:pPr>
        <w:pStyle w:val="FirstParagraph"/>
      </w:pPr>
      <w:r>
        <w:t xml:space="preserve">Methodologically,</w:t>
      </w:r>
    </w:p>
    <w:p>
      <w:pPr>
        <w:numPr>
          <w:ilvl w:val="0"/>
          <w:numId w:val="1005"/>
        </w:numPr>
      </w:pPr>
      <w:r>
        <w:t xml:space="preserve">we spearheading technical innovation both in data collection -</w:t>
      </w:r>
      <w:r>
        <w:t xml:space="preserve"> </w:t>
      </w:r>
      <w:r>
        <w:t xml:space="preserve">survey instrument.</w:t>
      </w:r>
    </w:p>
    <w:p>
      <w:pPr>
        <w:numPr>
          <w:ilvl w:val="0"/>
          <w:numId w:val="1005"/>
        </w:numPr>
      </w:pPr>
      <w:r>
        <w:t xml:space="preserve">and in data wrangling and analysis. use bipartite network to keep</w:t>
      </w:r>
      <w:r>
        <w:t xml:space="preserve"> </w:t>
      </w:r>
      <w:r>
        <w:t xml:space="preserve">and wrangle the data. get to the core of the relational content of</w:t>
      </w:r>
      <w:r>
        <w:t xml:space="preserve"> </w:t>
      </w:r>
      <w:r>
        <w:t xml:space="preserve">the work.</w:t>
      </w:r>
    </w:p>
    <w:p>
      <w:pPr>
        <w:numPr>
          <w:ilvl w:val="0"/>
          <w:numId w:val="1005"/>
        </w:numPr>
      </w:pPr>
      <w:r>
        <w:t xml:space="preserve">we also offer project management tools and skills to large</w:t>
      </w:r>
      <w:r>
        <w:t xml:space="preserve"> </w:t>
      </w:r>
      <w:r>
        <w:t xml:space="preserve">organizations which have branded themselves as mpox-concerned, but</w:t>
      </w:r>
      <w:r>
        <w:t xml:space="preserve"> </w:t>
      </w:r>
      <w:r>
        <w:t xml:space="preserve">have not contributed new knowledge or mounted useful programs.</w:t>
      </w:r>
    </w:p>
    <w:p>
      <w:pPr>
        <w:numPr>
          <w:ilvl w:val="0"/>
          <w:numId w:val="1005"/>
        </w:numPr>
      </w:pPr>
      <w:r>
        <w:t xml:space="preserve">Social network and spatial network analysis is the next fronteir. If</w:t>
      </w:r>
      <w:r>
        <w:t xml:space="preserve"> </w:t>
      </w:r>
      <w:r>
        <w:t xml:space="preserve">we don’t properly conceptualize the relational nature of public</w:t>
      </w:r>
      <w:r>
        <w:t xml:space="preserve"> </w:t>
      </w:r>
      <w:r>
        <w:t xml:space="preserve">heatlh programs, we are doomed to host webinar after webinar of</w:t>
      </w:r>
      <w:r>
        <w:t xml:space="preserve"> </w:t>
      </w:r>
      <w:r>
        <w:t xml:space="preserve">platitudes.</w:t>
      </w:r>
    </w:p>
    <w:p>
      <w:pPr>
        <w:numPr>
          <w:ilvl w:val="0"/>
          <w:numId w:val="1005"/>
        </w:numPr>
      </w:pPr>
      <w:r>
        <w:t xml:space="preserve">Can help with HIV and STIs and can help us to conceive of a pandemic</w:t>
      </w:r>
      <w:r>
        <w:t xml:space="preserve"> </w:t>
      </w:r>
      <w:r>
        <w:t xml:space="preserve">prepareness program that extends beyond webinars conducted on unfair</w:t>
      </w:r>
      <w:r>
        <w:t xml:space="preserve"> </w:t>
      </w:r>
      <w:r>
        <w:t xml:space="preserve">terms to queer and trans people doing work.</w:t>
      </w:r>
    </w:p>
    <w:p>
      <w:pPr>
        <w:pStyle w:val="FirstParagraph"/>
      </w:pPr>
      <w:r>
        <w:t xml:space="preserve">While many researchers have been paid by funding organizations to talk</w:t>
      </w:r>
      <w:r>
        <w:t xml:space="preserve"> </w:t>
      </w:r>
      <w:r>
        <w:t xml:space="preserve">about mpox, few have contributed anything that can help us stop it and</w:t>
      </w:r>
      <w:r>
        <w:t xml:space="preserve"> </w:t>
      </w:r>
      <w:r>
        <w:t xml:space="preserve">attend to community needs. Rec is for capable researchers to break rank</w:t>
      </w:r>
      <w:r>
        <w:t xml:space="preserve"> </w:t>
      </w:r>
      <w:r>
        <w:t xml:space="preserve">and do the research they think is necessary with the understanding that</w:t>
      </w:r>
      <w:r>
        <w:t xml:space="preserve"> </w:t>
      </w:r>
      <w:r>
        <w:t xml:space="preserve">people who usually get paid will get paid (professional researchers),</w:t>
      </w:r>
      <w:r>
        <w:t xml:space="preserve"> </w:t>
      </w:r>
      <w:r>
        <w:t xml:space="preserve">and people who usually do not get paid will not get paid (community</w:t>
      </w:r>
      <w:r>
        <w:t xml:space="preserve"> </w:t>
      </w:r>
      <w:r>
        <w:t xml:space="preserve">researchers).</w:t>
      </w:r>
    </w:p>
    <w:p>
      <w:pPr>
        <w:pStyle w:val="BodyText"/>
      </w:pPr>
      <w:r>
        <w:t xml:space="preserve">Our most important recomendation is not to government, which has proven</w:t>
      </w:r>
      <w:r>
        <w:t xml:space="preserve"> </w:t>
      </w:r>
      <w:r>
        <w:t xml:space="preserve">itself to be what it appears to be in the face of actual emergencies,</w:t>
      </w:r>
      <w:r>
        <w:t xml:space="preserve"> </w:t>
      </w:r>
      <w:r>
        <w:t xml:space="preserve">and it is not to large HIV organizations and pundits. It is to queer and</w:t>
      </w:r>
      <w:r>
        <w:t xml:space="preserve"> </w:t>
      </w:r>
      <w:r>
        <w:t xml:space="preserve">trans people who have the skills to produce new and useful knowledge. WE</w:t>
      </w:r>
      <w:r>
        <w:t xml:space="preserve"> </w:t>
      </w:r>
      <w:r>
        <w:t xml:space="preserve">did it cheaper, quicker, and better than the large organizations that</w:t>
      </w:r>
      <w:r>
        <w:t xml:space="preserve"> </w:t>
      </w:r>
      <w:r>
        <w:t xml:space="preserve">have sucked up funding.</w:t>
      </w:r>
    </w:p>
    <w:p>
      <w:pPr>
        <w:pStyle w:val="BodyText"/>
      </w:pPr>
      <w:r>
        <w:t xml:space="preserve">The RESPND-MI project commits to making as much of our workproduct</w:t>
      </w:r>
      <w:r>
        <w:t xml:space="preserve"> </w:t>
      </w:r>
      <w:r>
        <w:t xml:space="preserve">available as possible, and to be available for paid consultations to get</w:t>
      </w:r>
      <w:r>
        <w:t xml:space="preserve"> </w:t>
      </w:r>
      <w:r>
        <w:t xml:space="preserve">projects like these off the ground accross the country and across the</w:t>
      </w:r>
      <w:r>
        <w:t xml:space="preserve"> </w:t>
      </w:r>
      <w:r>
        <w:t xml:space="preserve">world.</w:t>
      </w:r>
    </w:p>
    <w:bookmarkEnd w:id="87"/>
    <w:bookmarkStart w:id="8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Sponsors: Greg Millet facilitated funding from amfAR; XXX allowed us to</w:t>
      </w:r>
      <w:r>
        <w:t xml:space="preserve"> </w:t>
      </w:r>
      <w:r>
        <w:t xml:space="preserve">apply for out-of-cylce funding from Center for AIDS Research at Harvard</w:t>
      </w:r>
      <w:r>
        <w:t xml:space="preserve"> </w:t>
      </w:r>
      <w:r>
        <w:t xml:space="preserve">University; Ian Holloway facilitated financial support from UCLA Luskin</w:t>
      </w:r>
      <w:r>
        <w:t xml:space="preserve"> </w:t>
      </w:r>
      <w:r>
        <w:t xml:space="preserve">Center; and individual donors gave funds.</w:t>
      </w:r>
    </w:p>
    <w:p>
      <w:pPr>
        <w:pStyle w:val="BodyText"/>
      </w:pPr>
      <w:r>
        <w:t xml:space="preserve">Donors: LinkNYC and Grindr donated advertising to the study, neo4j</w:t>
      </w:r>
      <w:r>
        <w:t xml:space="preserve"> </w:t>
      </w:r>
      <w:r>
        <w:t xml:space="preserve">donated a license for their proprietary database software.</w:t>
      </w:r>
    </w:p>
    <w:p>
      <w:pPr>
        <w:pStyle w:val="BodyText"/>
      </w:pPr>
      <w:r>
        <w:t xml:space="preserve">Technical: Eric Tchetgen Tchetgen, Forrest W. Crawford, and Kenneth</w:t>
      </w:r>
      <w:r>
        <w:t xml:space="preserve"> </w:t>
      </w:r>
      <w:r>
        <w:t xml:space="preserve">Mayer provided feedback on technical aspects of the study.</w:t>
      </w:r>
    </w:p>
    <w:p>
      <w:pPr>
        <w:pStyle w:val="BodyText"/>
      </w:pPr>
      <w:r>
        <w:t xml:space="preserve">Translation: Cody Patrick Nolan coordinated translation of the survey</w:t>
      </w:r>
      <w:r>
        <w:t xml:space="preserve"> </w:t>
      </w:r>
      <w:r>
        <w:t xml:space="preserve">instrument and marketing materials. Antón Castellanos-Usiglu conducted</w:t>
      </w:r>
      <w:r>
        <w:t xml:space="preserve"> </w:t>
      </w:r>
      <w:r>
        <w:t xml:space="preserve">the translation. Cody Patrick Nolan, Chema Jiménez, Juan Pablo Amaya</w:t>
      </w:r>
      <w:r>
        <w:t xml:space="preserve"> </w:t>
      </w:r>
      <w:r>
        <w:t xml:space="preserve">Amaris, Santiago Aguilera Mijares, and María Andrea Santos Guzmán</w:t>
      </w:r>
      <w:r>
        <w:t xml:space="preserve"> </w:t>
      </w:r>
      <w:r>
        <w:t xml:space="preserve">validated the translation.</w:t>
      </w:r>
    </w:p>
    <w:p>
      <w:pPr>
        <w:pStyle w:val="BodyText"/>
      </w:pPr>
      <w:r>
        <w:t xml:space="preserve">Questionnaire: Keletso Makofane, Pedro Carneiro and Nguyen Tran drafted</w:t>
      </w:r>
      <w:r>
        <w:t xml:space="preserve"> </w:t>
      </w:r>
      <w:r>
        <w:t xml:space="preserve">the questionnaire. Lisa Berkman, Tom Carpino, David Barr, and Judy</w:t>
      </w:r>
      <w:r>
        <w:t xml:space="preserve"> </w:t>
      </w:r>
      <w:r>
        <w:t xml:space="preserve">Auerbach reviewed the questionnaire.</w:t>
      </w:r>
    </w:p>
    <w:p>
      <w:pPr>
        <w:pStyle w:val="BodyText"/>
      </w:pPr>
      <w:r>
        <w:t xml:space="preserve">Admin: Sudipta Saha coordinated study activities, Christian Urrutia and</w:t>
      </w:r>
      <w:r>
        <w:t xml:space="preserve"> </w:t>
      </w:r>
      <w:r>
        <w:t xml:space="preserve">Prep4All provided finance support, James Krellenstein and Joe Osmundson</w:t>
      </w:r>
      <w:r>
        <w:t xml:space="preserve"> </w:t>
      </w:r>
      <w:r>
        <w:t xml:space="preserve">participated in initial planning. Keletso Makofane kept financial</w:t>
      </w:r>
      <w:r>
        <w:t xml:space="preserve"> </w:t>
      </w:r>
      <w:r>
        <w:t xml:space="preserve">records. Lisa Berkman, Kenneth Mayer, and Eric Tchetgen Tchetgen were</w:t>
      </w:r>
      <w:r>
        <w:t xml:space="preserve"> </w:t>
      </w:r>
      <w:r>
        <w:t xml:space="preserve">academic advisors. Lisa Berkman acted as principal investigator for the</w:t>
      </w:r>
      <w:r>
        <w:t xml:space="preserve"> </w:t>
      </w:r>
      <w:r>
        <w:t xml:space="preserve">purpose of securing IRB approval while Keletso Makofane was principal</w:t>
      </w:r>
      <w:r>
        <w:t xml:space="preserve"> </w:t>
      </w:r>
      <w:r>
        <w:t xml:space="preserve">investigator in all other respects.</w:t>
      </w:r>
    </w:p>
    <w:p>
      <w:pPr>
        <w:pStyle w:val="BodyText"/>
      </w:pPr>
      <w:r>
        <w:t xml:space="preserve">Web Development: Keletso Makofane conceptualized and coded the survey</w:t>
      </w:r>
      <w:r>
        <w:t xml:space="preserve"> </w:t>
      </w:r>
      <w:r>
        <w:t xml:space="preserve">instrument (front end - which uses the FCC Data API but is not endorsed</w:t>
      </w:r>
      <w:r>
        <w:t xml:space="preserve"> </w:t>
      </w:r>
      <w:r>
        <w:t xml:space="preserve">or certified by the FCC). Sudpipta Saha identified the FCC Data API,</w:t>
      </w:r>
      <w:r>
        <w:t xml:space="preserve"> </w:t>
      </w:r>
      <w:r>
        <w:t xml:space="preserve">which allowed us to implement the front end. Imran Khan coded the study</w:t>
      </w:r>
      <w:r>
        <w:t xml:space="preserve"> </w:t>
      </w:r>
      <w:r>
        <w:t xml:space="preserve">data server and database (back end). Seema Kara planned out the overall</w:t>
      </w:r>
      <w:r>
        <w:t xml:space="preserve"> </w:t>
      </w:r>
      <w:r>
        <w:t xml:space="preserve">process of web development.</w:t>
      </w:r>
    </w:p>
    <w:p>
      <w:pPr>
        <w:pStyle w:val="BodyText"/>
      </w:pPr>
      <w:r>
        <w:t xml:space="preserve">Communications: Nick Diamond led marketing and communications efforts</w:t>
      </w:r>
      <w:r>
        <w:t xml:space="preserve"> </w:t>
      </w:r>
      <w:r>
        <w:t xml:space="preserve">including managing contracts with Burness marketing agency and</w:t>
      </w:r>
      <w:r>
        <w:t xml:space="preserve"> </w:t>
      </w:r>
      <w:r>
        <w:t xml:space="preserve">administering the LGBT+ Community Forum. Burness developed and</w:t>
      </w:r>
      <w:r>
        <w:t xml:space="preserve"> </w:t>
      </w:r>
      <w:r>
        <w:t xml:space="preserve">implemented the public-facing communications materials. Grant Roth,</w:t>
      </w:r>
      <w:r>
        <w:t xml:space="preserve"> </w:t>
      </w:r>
      <w:r>
        <w:t xml:space="preserve">Keletso Makofane, and Chris Wyman coordinated the initial invitations</w:t>
      </w:r>
      <w:r>
        <w:t xml:space="preserve"> </w:t>
      </w:r>
      <w:r>
        <w:t xml:space="preserve">for the LGBT+ Community Forum. Joe Osmundson shared epidemiologic</w:t>
      </w:r>
      <w:r>
        <w:t xml:space="preserve"> </w:t>
      </w:r>
      <w:r>
        <w:t xml:space="preserve">updates in early meetings of the Community Forum. Jennifer</w:t>
      </w:r>
      <w:r>
        <w:t xml:space="preserve"> </w:t>
      </w:r>
      <w:r>
        <w:t xml:space="preserve">Balenciaga-Barnes led our thinking on the use of gender-inclusive</w:t>
      </w:r>
      <w:r>
        <w:t xml:space="preserve"> </w:t>
      </w:r>
      <w:r>
        <w:t xml:space="preserve">language, Elle Lett and Nguyen Tran provided input on academic writing</w:t>
      </w:r>
      <w:r>
        <w:t xml:space="preserve"> </w:t>
      </w:r>
      <w:r>
        <w:t xml:space="preserve">on gender diversity, Keletso Makofane was responsible for the</w:t>
      </w:r>
      <w:r>
        <w:t xml:space="preserve"> </w:t>
      </w:r>
      <w:r>
        <w:t xml:space="preserve">operationalization and implementation of these ideas. Martez Smith led</w:t>
      </w:r>
      <w:r>
        <w:t xml:space="preserve"> </w:t>
      </w:r>
      <w:r>
        <w:t xml:space="preserve">in-person consultation with Black LGBT individuals in Harlem, New York.</w:t>
      </w:r>
    </w:p>
    <w:p>
      <w:pPr>
        <w:pStyle w:val="BodyText"/>
      </w:pPr>
      <w:r>
        <w:t xml:space="preserve">Fundraising:</w:t>
      </w:r>
    </w:p>
    <w:p>
      <w:pPr>
        <w:numPr>
          <w:ilvl w:val="0"/>
          <w:numId w:val="1006"/>
        </w:numPr>
      </w:pPr>
      <w:r>
        <w:t xml:space="preserve">Sudpita saha drafted the grants that funded this work.</w:t>
      </w:r>
    </w:p>
    <w:p>
      <w:pPr>
        <w:pStyle w:val="FirstParagraph"/>
      </w:pPr>
      <w:r>
        <w:t xml:space="preserve">Most of all, we thank, and stand in solidarity with, the MPX NYC</w:t>
      </w:r>
      <w:r>
        <w:t xml:space="preserve"> </w:t>
      </w:r>
      <w:r>
        <w:t xml:space="preserve">participants who gave of their time to make the study a success.</w:t>
      </w:r>
    </w:p>
    <w:bookmarkEnd w:id="88"/>
    <w:bookmarkStart w:id="103" w:name="references"/>
    <w:p>
      <w:pPr>
        <w:pStyle w:val="Heading1"/>
      </w:pPr>
      <w:r>
        <w:t xml:space="preserve">References</w:t>
      </w:r>
    </w:p>
    <w:bookmarkStart w:id="102" w:name="refs"/>
    <w:bookmarkStart w:id="90" w:name="ref-federal"/>
    <w:p>
      <w:pPr>
        <w:pStyle w:val="Bibliography"/>
      </w:pPr>
      <w:r>
        <w:t xml:space="preserve">“Federal Communications Commission API.”</w:t>
      </w:r>
      <w:r>
        <w:t xml:space="preserve"> </w:t>
      </w:r>
      <w:r>
        <w:t xml:space="preserve">n.d.</w:t>
      </w:r>
      <w:r>
        <w:t xml:space="preserve"> </w:t>
      </w:r>
      <w:hyperlink r:id="rId89">
        <w:r>
          <w:rPr>
            <w:rStyle w:val="Hyperlink"/>
          </w:rPr>
          <w:t xml:space="preserve">https://www.fcc.gov/reports-research/developers/api-terms-service</w:t>
        </w:r>
      </w:hyperlink>
      <w:r>
        <w:t xml:space="preserve">.</w:t>
      </w:r>
    </w:p>
    <w:bookmarkEnd w:id="90"/>
    <w:bookmarkStart w:id="92" w:name="ref-google2024"/>
    <w:p>
      <w:pPr>
        <w:pStyle w:val="Bibliography"/>
      </w:pPr>
      <w:r>
        <w:t xml:space="preserve">Google. 2024.</w:t>
      </w:r>
      <w:r>
        <w:t xml:space="preserve"> </w:t>
      </w:r>
      <w:r>
        <w:t xml:space="preserve">“Maps JavaScript API.”</w:t>
      </w:r>
      <w:r>
        <w:t xml:space="preserve"> </w:t>
      </w:r>
      <w:hyperlink r:id="rId91">
        <w:r>
          <w:rPr>
            <w:rStyle w:val="Hyperlink"/>
          </w:rPr>
          <w:t xml:space="preserve">https://developers.google.com/maps/documentation/javascript</w:t>
        </w:r>
      </w:hyperlink>
      <w:r>
        <w:t xml:space="preserve">.</w:t>
      </w:r>
    </w:p>
    <w:bookmarkEnd w:id="92"/>
    <w:bookmarkStart w:id="94" w:name="ref-neo4j2024"/>
    <w:p>
      <w:pPr>
        <w:pStyle w:val="Bibliography"/>
      </w:pPr>
      <w:r>
        <w:t xml:space="preserve">Neo4j. 2024.</w:t>
      </w:r>
      <w:r>
        <w:t xml:space="preserve"> </w:t>
      </w:r>
      <w:r>
        <w:t xml:space="preserve">“Neo4j Documentation.”</w:t>
      </w:r>
      <w:r>
        <w:t xml:space="preserve"> </w:t>
      </w:r>
      <w:hyperlink r:id="rId93">
        <w:r>
          <w:rPr>
            <w:rStyle w:val="Hyperlink"/>
          </w:rPr>
          <w:t xml:space="preserve">https://neo4j.com/docs/?utm_source=Google&amp;utm_medium=PaidSearch&amp;utm_campaign=Evergreen&amp;utm_content=AMS-Search-SEMCE-DSA-None-SEM-SEM-NonABM&amp;utm_term=&amp;utm_adgroup=DSA&amp;gad_source=1&amp;gbraid=0AAAAADk9OYpn-veLtg3MSa3HV-mXEgnRC&amp;gclid=Cj0KCQjwlvW2BhDyARIsADnIe-KKo4LZmo02jxyexPVweelrw_q-AwBtFSFPqVlfJ5YjiNyd1w7txfUaAk62EALw_wcB</w:t>
        </w:r>
      </w:hyperlink>
      <w:r>
        <w:t xml:space="preserve">.</w:t>
      </w:r>
    </w:p>
    <w:bookmarkEnd w:id="94"/>
    <w:bookmarkStart w:id="96" w:name="ref-nextjsd2024"/>
    <w:p>
      <w:pPr>
        <w:pStyle w:val="Bibliography"/>
      </w:pPr>
      <w:r>
        <w:t xml:space="preserve">“NextJS Documentation.”</w:t>
      </w:r>
      <w:r>
        <w:t xml:space="preserve"> </w:t>
      </w:r>
      <w:r>
        <w:t xml:space="preserve">2024.</w:t>
      </w:r>
      <w:r>
        <w:t xml:space="preserve"> </w:t>
      </w:r>
      <w:hyperlink r:id="rId95">
        <w:r>
          <w:rPr>
            <w:rStyle w:val="Hyperlink"/>
          </w:rPr>
          <w:t xml:space="preserve">https://nextjs.org/docs</w:t>
        </w:r>
      </w:hyperlink>
      <w:r>
        <w:t xml:space="preserve">.</w:t>
      </w:r>
    </w:p>
    <w:bookmarkEnd w:id="96"/>
    <w:bookmarkStart w:id="98" w:name="ref-nycopendata2022"/>
    <w:p>
      <w:pPr>
        <w:pStyle w:val="Bibliography"/>
      </w:pPr>
      <w:r>
        <w:t xml:space="preserve">NYC OpenData. 2022.</w:t>
      </w:r>
      <w:r>
        <w:t xml:space="preserve"> </w:t>
      </w:r>
      <w:r>
        <w:t xml:space="preserve">“New York City Community Districts.”</w:t>
      </w:r>
      <w:r>
        <w:t xml:space="preserve"> </w:t>
      </w:r>
      <w:hyperlink r:id="rId97">
        <w:r>
          <w:rPr>
            <w:rStyle w:val="Hyperlink"/>
          </w:rPr>
          <w:t xml:space="preserve">https://data.cityofnewyork.us/City-Government/Community-Districts/yfnk-k7r4</w:t>
        </w:r>
      </w:hyperlink>
      <w:r>
        <w:t xml:space="preserve">.</w:t>
      </w:r>
    </w:p>
    <w:bookmarkEnd w:id="98"/>
    <w:bookmarkStart w:id="99" w:name="ref-roth2023global"/>
    <w:p>
      <w:pPr>
        <w:pStyle w:val="Bibliography"/>
      </w:pPr>
      <w:r>
        <w:t xml:space="preserve">Roth, Grant, Jennifer Barnes-Balenciaga, Joseph Osmundson, Martez DR Smith, Nguyen K Tran, Nicholas Diamond, and Keletso Makofane. 2023.</w:t>
      </w:r>
      <w:r>
        <w:t xml:space="preserve"> </w:t>
      </w:r>
      <w:r>
        <w:t xml:space="preserve">“Global North Learning from Global South: A Community-Led Response to Mpox in New York City.”</w:t>
      </w:r>
      <w:r>
        <w:t xml:space="preserve"> </w:t>
      </w:r>
      <w:r>
        <w:rPr>
          <w:iCs/>
          <w:i/>
        </w:rPr>
        <w:t xml:space="preserve">PLOS Global Public Health</w:t>
      </w:r>
      <w:r>
        <w:t xml:space="preserve"> </w:t>
      </w:r>
      <w:r>
        <w:t xml:space="preserve">3 (6): e0002042.</w:t>
      </w:r>
    </w:p>
    <w:bookmarkEnd w:id="99"/>
    <w:bookmarkStart w:id="101" w:name="ref-uscensus2022"/>
    <w:p>
      <w:pPr>
        <w:pStyle w:val="Bibliography"/>
      </w:pPr>
      <w:r>
        <w:t xml:space="preserve">US Census. 2022.</w:t>
      </w:r>
      <w:r>
        <w:t xml:space="preserve"> </w:t>
      </w:r>
      <w:r>
        <w:t xml:space="preserve">“Census Tracts.”</w:t>
      </w:r>
      <w:r>
        <w:t xml:space="preserve"> </w:t>
      </w:r>
      <w:hyperlink r:id="rId100">
        <w:r>
          <w:rPr>
            <w:rStyle w:val="Hyperlink"/>
          </w:rPr>
          <w:t xml:space="preserve">https://www2.census.gov/geo/pdfs/education/CensusTracts.pdf</w:t>
        </w:r>
      </w:hyperlink>
      <w:r>
        <w:t xml:space="preserve">.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63" Target="media/rId63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76" Target="media/rId76.png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hyperlink" Id="rId97" Target="https://data.cityofnewyork.us/City-Government/Community-Districts/yfnk-k7r4" TargetMode="External" /><Relationship Type="http://schemas.openxmlformats.org/officeDocument/2006/relationships/hyperlink" Id="rId91" Target="https://developers.google.com/maps/documentation/javascript" TargetMode="External" /><Relationship Type="http://schemas.openxmlformats.org/officeDocument/2006/relationships/hyperlink" Id="rId93" Target="https://neo4j.com/docs/?utm_source=Google&amp;utm_medium=PaidSearch&amp;utm_campaign=Evergreen&amp;utm_content=AMS-Search-SEMCE-DSA-None-SEM-SEM-NonABM&amp;utm_term=&amp;utm_adgroup=DSA&amp;gad_source=1&amp;gbraid=0AAAAADk9OYpn-veLtg3MSa3HV-mXEgnRC&amp;gclid=Cj0KCQjwlvW2BhDyARIsADnIe-KKo4LZmo02jxyexPVweelrw_q-AwBtFSFPqVlfJ5YjiNyd1w7txfUaAk62EALw_wcB" TargetMode="External" /><Relationship Type="http://schemas.openxmlformats.org/officeDocument/2006/relationships/hyperlink" Id="rId95" Target="https://nextjs.org/docs" TargetMode="External" /><Relationship Type="http://schemas.openxmlformats.org/officeDocument/2006/relationships/hyperlink" Id="rId89" Target="https://www.fcc.gov/reports-research/developers/api-terms-service" TargetMode="External" /><Relationship Type="http://schemas.openxmlformats.org/officeDocument/2006/relationships/hyperlink" Id="rId25" Target="https://www.mpxresponse.org" TargetMode="External" /><Relationship Type="http://schemas.openxmlformats.org/officeDocument/2006/relationships/hyperlink" Id="rId100" Target="https://www2.census.gov/geo/pdfs/education/CensusTract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s://data.cityofnewyork.us/City-Government/Community-Districts/yfnk-k7r4" TargetMode="External" /><Relationship Type="http://schemas.openxmlformats.org/officeDocument/2006/relationships/hyperlink" Id="rId91" Target="https://developers.google.com/maps/documentation/javascript" TargetMode="External" /><Relationship Type="http://schemas.openxmlformats.org/officeDocument/2006/relationships/hyperlink" Id="rId93" Target="https://neo4j.com/docs/?utm_source=Google&amp;utm_medium=PaidSearch&amp;utm_campaign=Evergreen&amp;utm_content=AMS-Search-SEMCE-DSA-None-SEM-SEM-NonABM&amp;utm_term=&amp;utm_adgroup=DSA&amp;gad_source=1&amp;gbraid=0AAAAADk9OYpn-veLtg3MSa3HV-mXEgnRC&amp;gclid=Cj0KCQjwlvW2BhDyARIsADnIe-KKo4LZmo02jxyexPVweelrw_q-AwBtFSFPqVlfJ5YjiNyd1w7txfUaAk62EALw_wcB" TargetMode="External" /><Relationship Type="http://schemas.openxmlformats.org/officeDocument/2006/relationships/hyperlink" Id="rId95" Target="https://nextjs.org/docs" TargetMode="External" /><Relationship Type="http://schemas.openxmlformats.org/officeDocument/2006/relationships/hyperlink" Id="rId89" Target="https://www.fcc.gov/reports-research/developers/api-terms-service" TargetMode="External" /><Relationship Type="http://schemas.openxmlformats.org/officeDocument/2006/relationships/hyperlink" Id="rId25" Target="https://www.mpxresponse.org" TargetMode="External" /><Relationship Type="http://schemas.openxmlformats.org/officeDocument/2006/relationships/hyperlink" Id="rId100" Target="https://www2.census.gov/geo/pdfs/education/CensusTract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MPX NYC</dc:title>
  <dc:creator>Keletso Lehola Lekoatsa</dc:creator>
  <cp:keywords/>
  <dcterms:created xsi:type="dcterms:W3CDTF">2024-09-14T16:22:00Z</dcterms:created>
  <dcterms:modified xsi:type="dcterms:W3CDTF">2024-09-14T16:22:00Z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uthor">
    <vt:lpwstr/>
  </property>
  <property fmtid="{D5CDD505-2E9C-101B-9397-08002B2CF9AE}" pid="6" name="date">
    <vt:lpwstr>2024-05-23</vt:lpwstr>
  </property>
  <property fmtid="{D5CDD505-2E9C-101B-9397-08002B2CF9AE}" pid="7" name="editor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Key findings and recommendations</vt:lpwstr>
  </property>
  <property fmtid="{D5CDD505-2E9C-101B-9397-08002B2CF9AE}" pid="14" name="toc-title">
    <vt:lpwstr>Table of contents</vt:lpwstr>
  </property>
</Properties>
</file>