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63.png" ContentType="image/png"/>
  <Override PartName="/word/media/rId58.png" ContentType="image/png"/>
  <Override PartName="/word/media/rId54.png" ContentType="image/png"/>
  <Override PartName="/word/media/rId76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Under the aegis of The Rapid Epidemiologic Study of Prevalence, Networks, and</w:t>
      </w:r>
      <w:r>
        <w:t xml:space="preserve"> </w:t>
      </w:r>
      <w:r>
        <w:t xml:space="preserve">Demographics of Monkeypox Infection (RESPND-MI), we implemented MPX NYC - a brief,</w:t>
      </w:r>
      <w:r>
        <w:t xml:space="preserve"> </w:t>
      </w:r>
      <w:r>
        <w:t xml:space="preserve">anonymous, online survey among transgender people and gay, bisexual, and</w:t>
      </w:r>
      <w:r>
        <w:t xml:space="preserve"> </w:t>
      </w:r>
      <w:r>
        <w:t xml:space="preserve">other men who have sex with men. Data were collected from 20 August 2022</w:t>
      </w:r>
      <w:r>
        <w:t xml:space="preserve"> </w:t>
      </w:r>
      <w:r>
        <w:t xml:space="preserve">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the study from queer and trans individuals and</w:t>
      </w:r>
      <w:r>
        <w:t xml:space="preserve"> </w:t>
      </w:r>
      <w:r>
        <w:t xml:space="preserve">organizations who do health-related work, we held a rapid consultation</w:t>
      </w:r>
      <w:r>
        <w:t xml:space="preserve"> </w:t>
      </w:r>
      <w:r>
        <w:t xml:space="preserve">meeting at the outset of the project. Investigators compiled a list of</w:t>
      </w:r>
      <w:r>
        <w:t xml:space="preserve"> </w:t>
      </w:r>
      <w:r>
        <w:t xml:space="preserve">53 invitees and invited them. To maximize uptake, we attempted to match</w:t>
      </w:r>
      <w:r>
        <w:t xml:space="preserve"> </w:t>
      </w:r>
      <w:r>
        <w:t xml:space="preserve">each invitee with an investigator they had a prior relationship with.</w:t>
      </w:r>
    </w:p>
    <w:p>
      <w:pPr>
        <w:pStyle w:val="BodyText"/>
      </w:pPr>
      <w:r>
        <w:t xml:space="preserve">At the consultation meeting, participants requested that the RESPND-MI</w:t>
      </w:r>
      <w:r>
        <w:t xml:space="preserve"> </w:t>
      </w:r>
      <w:r>
        <w:t xml:space="preserve">team host a weekly meeting since there were no other venues for</w:t>
      </w:r>
      <w:r>
        <w:t xml:space="preserve"> </w:t>
      </w:r>
      <w:r>
        <w:t xml:space="preserve">discussing the outbreak from the perspectives of organizations that</w:t>
      </w:r>
      <w:r>
        <w:t xml:space="preserve"> </w:t>
      </w:r>
      <w:r>
        <w:t xml:space="preserve">deliver services to queer and trans individuals, and individuals who had</w:t>
      </w:r>
      <w:r>
        <w:t xml:space="preserve"> </w:t>
      </w:r>
      <w:r>
        <w:t xml:space="preserve">experienced mpox infection. We named the space the RESPND-MI Queer and</w:t>
      </w:r>
      <w:r>
        <w:t xml:space="preserve"> </w:t>
      </w:r>
      <w:r>
        <w:t xml:space="preserve">Trans Community Forum and held it weekly from June to August 2022.</w:t>
      </w:r>
      <w:r>
        <w:t xml:space="preserve"> </w:t>
      </w:r>
      <w:r>
        <w:t xml:space="preserve">Though the main purpose of the Community Forum was to share information</w:t>
      </w:r>
      <w:r>
        <w:t xml:space="preserve"> </w:t>
      </w:r>
      <w:r>
        <w:t xml:space="preserve">and allow organizations and individuals to coordinate political action ,</w:t>
      </w:r>
      <w:r>
        <w:t xml:space="preserve"> </w:t>
      </w:r>
      <w:r>
        <w:t xml:space="preserve">it was also used to consult on study-related decisions. About 80</w:t>
      </w:r>
      <w:r>
        <w:t xml:space="preserve"> </w:t>
      </w:r>
      <w:r>
        <w:t xml:space="preserve">individuals participated in the Community Forum over the 2-month period</w:t>
      </w:r>
      <w:r>
        <w:t xml:space="preserve"> </w:t>
      </w:r>
      <w:r>
        <w:t xml:space="preserve">we held it. Further details can 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brief was to create a</w:t>
      </w:r>
      <w:r>
        <w:t xml:space="preserve"> </w:t>
      </w:r>
      <w:r>
        <w:t xml:space="preserve">name and visual identity that convey scientific rigor, build trust with</w:t>
      </w:r>
      <w:r>
        <w:t xml:space="preserve"> </w:t>
      </w:r>
      <w:r>
        <w:t xml:space="preserve">the community, and to stand out in a crowded online advertising space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and name were decided by consensus</w:t>
      </w:r>
      <w:r>
        <w:t xml:space="preserve"> </w:t>
      </w:r>
      <w:r>
        <w:t xml:space="preserve">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designed and implemented a novel online survey instrument which</w:t>
      </w:r>
      <w:r>
        <w:t xml:space="preserve"> </w:t>
      </w:r>
      <w:r>
        <w:t xml:space="preserve">captures coarsened spatial information to maintain anonymity. Along with</w:t>
      </w:r>
      <w:r>
        <w:t xml:space="preserve"> </w:t>
      </w:r>
      <w:r>
        <w:t xml:space="preserve">standard question formats (multiple choice, single choice, text field</w:t>
      </w:r>
      <w:r>
        <w:t xml:space="preserve"> </w:t>
      </w:r>
      <w:r>
        <w:t xml:space="preserve">etc.) we developed a 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 on the map, a marker</w:t>
      </w:r>
      <w:r>
        <w:t xml:space="preserve"> </w:t>
      </w:r>
      <w:r>
        <w:t xml:space="preserve">appears and a pop-up window asks them to answer a series of questions</w:t>
      </w:r>
      <w:r>
        <w:t xml:space="preserve"> </w:t>
      </w:r>
      <w:r>
        <w:t xml:space="preserve">related to that location. Spatial data were coarsened by transforming</w:t>
      </w:r>
      <w:r>
        <w:t xml:space="preserve"> </w:t>
      </w:r>
      <w:r>
        <w:t xml:space="preserve">longitude-latitude coordinates into the identifiers of the census tract</w:t>
      </w:r>
      <w:r>
        <w:t xml:space="preserve"> </w:t>
      </w:r>
      <w:r>
        <w:t xml:space="preserve">that contain them. Census tracts are a spatial unit that exhaustively</w:t>
      </w:r>
      <w:r>
        <w:t xml:space="preserve"> </w:t>
      </w:r>
      <w:r>
        <w:t xml:space="preserve">divides the United States into areas 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and 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APIs to collect and transform spatial data. The backend was a</w:t>
      </w:r>
      <w:r>
        <w:t xml:space="preserve"> </w:t>
      </w:r>
      <w:r>
        <w:t xml:space="preserve">custom-built neo4j graph database</w:t>
      </w:r>
      <w:r>
        <w:t xml:space="preserve"> </w:t>
      </w:r>
      <w:r>
        <w:t xml:space="preserve">(Neo4j 2024)</w:t>
      </w:r>
      <w:r>
        <w:t xml:space="preserve"> </w:t>
      </w:r>
      <w:r>
        <w:t xml:space="preserve">hosted on a commercial</w:t>
      </w:r>
      <w:r>
        <w:t xml:space="preserve"> </w:t>
      </w:r>
      <w:r>
        <w:t xml:space="preserve">cloud server platform.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participant-spatial-overlap-network"/>
    <w:p>
      <w:pPr>
        <w:pStyle w:val="Heading3"/>
      </w:pPr>
      <w:r>
        <w:t xml:space="preserve">Participant spatial overlap network</w:t>
      </w:r>
    </w:p>
    <w:p>
      <w:pPr>
        <w:pStyle w:val="FirstParagraph"/>
      </w:pPr>
      <w:r>
        <w:t xml:space="preserve">We constructed a network where nodes are</w:t>
      </w:r>
      <w:r>
        <w:t xml:space="preserve"> </w:t>
      </w:r>
      <w:r>
        <w:t xml:space="preserve">participants and weighted ties indicate the number of community</w:t>
      </w:r>
      <w:r>
        <w:t xml:space="preserve"> </w:t>
      </w:r>
      <w:r>
        <w:t xml:space="preserve">districts shared by those participants. We say two participants share a</w:t>
      </w:r>
      <w:r>
        <w:t xml:space="preserve"> </w:t>
      </w:r>
      <w:r>
        <w:t xml:space="preserve">community district if both have a residence or contact venue in that</w:t>
      </w:r>
      <w:r>
        <w:t xml:space="preserve"> </w:t>
      </w:r>
      <w:r>
        <w:t xml:space="preserve">community district.</w:t>
      </w:r>
    </w:p>
    <w:p>
      <w:pPr>
        <w:pStyle w:val="BodyText"/>
      </w:pPr>
      <w:r>
        <w:t xml:space="preserve">[CENTRALITY]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these steps are</w:t>
      </w:r>
      <w:r>
        <w:t xml:space="preserve"> </w:t>
      </w:r>
      <w:r>
        <w:t xml:space="preserve">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network-impact"/>
    <w:p>
      <w:pPr>
        <w:pStyle w:val="Heading4"/>
      </w:pPr>
      <w:r>
        <w:t xml:space="preserve">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(This is analogous to using a 100% efficacious vaccine and achieving 100% coverage in immunized community districts.) For each</w:t>
      </w:r>
      <w:r>
        <w:t xml:space="preserve"> </w:t>
      </w:r>
      <m:oMath>
        <m:r>
          <m:t>k</m:t>
        </m:r>
      </m:oMath>
      <w:r>
        <w:t xml:space="preserve">, we calculated centrality</w:t>
      </w:r>
      <w:r>
        <w:t xml:space="preserve"> </w:t>
      </w:r>
      <w:r>
        <w:t xml:space="preserve">measures to show how the participant spatial overlap network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  <w:r>
        <w:t xml:space="preserve"> </w:t>
      </w:r>
      <w:hyperlink w:anchor="tbl-descriptives">
        <w:r>
          <w:rPr>
            <w:rStyle w:val="Hyperlink"/>
          </w:rPr>
          <w:t xml:space="preserve">Table 1</w:t>
        </w:r>
      </w:hyperlink>
    </w:p>
    <w:bookmarkEnd w:id="50"/>
    <w:bookmarkEnd w:id="51"/>
    <w:bookmarkEnd w:id="52"/>
    <w:bookmarkStart w:id="90" w:name="results"/>
    <w:p>
      <w:pPr>
        <w:pStyle w:val="Heading1"/>
      </w:pPr>
      <w:r>
        <w:t xml:space="preserve">Results</w:t>
      </w:r>
    </w:p>
    <w:bookmarkStart w:id="62" w:name="participants-1"/>
    <w:p>
      <w:pPr>
        <w:pStyle w:val="Heading2"/>
      </w:pPr>
      <w:r>
        <w:t xml:space="preserve">Participants</w:t>
      </w:r>
    </w:p>
    <w:bookmarkStart w:id="53" w:name="tbl-descriptives"/>
    <w:p>
      <w:pPr>
        <w:pStyle w:val="TableCaption"/>
      </w:pPr>
      <w:r>
        <w:t xml:space="preserve">Table 1: Participants in MPX NYC Study by Sex / Physical Contact in Congregate Setting in past 4 weeks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 1: Participants in MPX NYC Study by Sex / Physical Contact in Congregate Setting in past 4 weeks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No 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participants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774 (100%)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530 (100%)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1304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18-24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 (15%)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25-34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304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234 (44%)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538 (41%)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35-44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325 (25%)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45-54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 (8%)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 Identity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Cisgender 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630 (81%)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427 (81%)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1057 (81%)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Cisgender 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Demographic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(0%)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(0%)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 Binary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Demographic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Transgender 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Transgender 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Asian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 (6%)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 (12%)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Latinx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 (19%)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231 (18%)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Multi Racial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416 (54%)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279 (53%)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695 (53%)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Bisexual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 (14%)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498 (64%)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362 (68%)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 (66%)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 (12%)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Another Orientation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Grindr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444 (57%)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706 (54%)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Partner toolkit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 (9%)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Twitter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 (27%)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 (22%)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 Status/ PrEP Use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Living with HIV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141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on PrEP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 (57%)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218 (41%)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658 (50%)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PrEP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253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252 (48%)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505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MPOX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727 (94%)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472 (89%)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1199 (92%)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MPOX Vaccination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Unvaccinated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313 (40%)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121 (23%)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 (33%)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Vaccinated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461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 (77%)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870 (67%)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Queer/Trans Friends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219 (17%)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 (43%)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206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539 (41%)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 (22%)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 (23%)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contact partners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 (31%)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 (20%)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 (13%)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 (8%)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205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 (22%)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partners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272 (35%)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(25%)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344 (26%)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206 (16%)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 (11%)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 (29%)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 (15%)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 (7%)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Brooklyn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 (33%)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Manhattan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(41%)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579 (44%)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Queens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 (14%)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Staten Island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(1%)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(1%)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(1%)</w:t>
            </w:r>
          </w:p>
        </w:tc>
      </w:tr>
    </w:tbl>
    <w:bookmarkEnd w:id="53"/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PrEP and HIV Status of MPX NYC participants by race and gender</w:t>
            </w:r>
          </w:p>
          <w:bookmarkEnd w:id="61"/>
        </w:tc>
      </w:tr>
    </w:tbl>
    <w:bookmarkEnd w:id="62"/>
    <w:bookmarkStart w:id="67" w:name="contact-venues"/>
    <w:p>
      <w:pPr>
        <w:pStyle w:val="Heading2"/>
      </w:pPr>
      <w:r>
        <w:t xml:space="preserve">Contact venues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MPX NYC contact venue type by distance from home and sexual contact</w:t>
            </w:r>
          </w:p>
          <w:bookmarkEnd w:id="66"/>
        </w:tc>
      </w:tr>
    </w:tbl>
    <w:bookmarkEnd w:id="67"/>
    <w:bookmarkStart w:id="80" w:name="Xdd6a8c978d06b07be7c79feb29bc5729f48b0e1"/>
    <w:p>
      <w:pPr>
        <w:pStyle w:val="Heading2"/>
      </w:pPr>
      <w:r>
        <w:t xml:space="preserve">Participants connecting through contact venues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1" w:name="fig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Movement between home and contact venues by MPX NYC participant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5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Network of community districts connected by MPX NYC participants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9" w:name="fig-subgroup-mixing"/>
          <w:p>
            <w:pPr>
              <w:jc w:val="center"/>
            </w:pPr>
            <w:r>
              <w:drawing>
                <wp:inline>
                  <wp:extent cx="5334000" cy="75565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5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Social mixing matrices for MPX NYC participants by race-gender (top), sexual orientation (bottom left), and age (bottom right)</w:t>
            </w:r>
          </w:p>
          <w:bookmarkEnd w:id="79"/>
        </w:tc>
      </w:tr>
    </w:tbl>
    <w:bookmarkEnd w:id="80"/>
    <w:bookmarkStart w:id="89" w:name="efficient-and-effective-interventions"/>
    <w:p>
      <w:pPr>
        <w:pStyle w:val="Heading2"/>
      </w:pPr>
      <w:r>
        <w:t xml:space="preserve">Efficient and effective interventions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4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High-coverage community districts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8" w:name="fig-centrality-measures"/>
          <w:p>
            <w:pPr>
              <w:jc w:val="center"/>
            </w:pPr>
            <w:r>
              <w:drawing>
                <wp:inline>
                  <wp:extent cx="5334000" cy="37338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entrality-measure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Evolution of spatial network centrality</w:t>
            </w:r>
          </w:p>
          <w:bookmarkEnd w:id="88"/>
        </w:tc>
      </w:tr>
    </w:tbl>
    <w:bookmarkEnd w:id="89"/>
    <w:bookmarkEnd w:id="90"/>
    <w:bookmarkStart w:id="9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are grateful to sponsors of the study: amfAR; Center for AIDS</w:t>
      </w:r>
      <w:r>
        <w:t xml:space="preserve"> </w:t>
      </w:r>
      <w:r>
        <w:t xml:space="preserve">Research at Harvard University; UCLA, and to the XX individual donors</w:t>
      </w:r>
      <w:r>
        <w:t xml:space="preserve"> </w:t>
      </w:r>
      <w:r>
        <w:t xml:space="preserve">who gave amounts ranging from XX to XX. LinkNYC and Grindr donated advertising to the study, neo4j donated a license for their proprietary database software.</w:t>
      </w:r>
    </w:p>
    <w:p>
      <w:pPr>
        <w:pStyle w:val="BodyText"/>
      </w:pPr>
      <w:r>
        <w:t xml:space="preserve">Consulted: Eric Tchetgen Tchetgen, Forrest W. Crawford, and Kenneth Mayer on technical aspects of the study</w:t>
      </w:r>
    </w:p>
    <w:p>
      <w:pPr>
        <w:pStyle w:val="BodyText"/>
      </w:pPr>
      <w:r>
        <w:t xml:space="preserve">Translation: Cody Patrick Nolan coordinated translation of the survey instrument and marketing</w:t>
      </w:r>
      <w:r>
        <w:t xml:space="preserve"> </w:t>
      </w:r>
      <w:r>
        <w:t xml:space="preserve">materials. Antón Castellanos-Usiglu conducted the translation and verified them with Cody Patrick Nolan, Chema Jiménez, Juan Pablo Amaya Amaris, Santiago Aguilera Mijares, and María Andrea Santos Guzmán.</w:t>
      </w:r>
    </w:p>
    <w:p>
      <w:pPr>
        <w:pStyle w:val="BodyText"/>
      </w:pPr>
      <w:r>
        <w:t xml:space="preserve">Questionnaire Drafting: Keletso Makofane, Pedro Carneiro and Nguyen Tran drafted the questionnaire.</w:t>
      </w:r>
    </w:p>
    <w:p>
      <w:pPr>
        <w:pStyle w:val="BodyText"/>
      </w:pPr>
      <w:r>
        <w:t xml:space="preserve">Questionnaire Review: Lisa Berkman, Tom Carpino, David Barr, and Judy Auerbach reviewed the questionnaire.</w:t>
      </w:r>
    </w:p>
    <w:p>
      <w:pPr>
        <w:pStyle w:val="BodyText"/>
      </w:pPr>
      <w:r>
        <w:t xml:space="preserve">Admin: Sudipta Saha coordinated study activities, Christian Urrutia extended the admin capabilities of PrEPP4All to the study, Keletso Makofane kept financial records</w:t>
      </w:r>
    </w:p>
    <w:p>
      <w:pPr>
        <w:pStyle w:val="BodyText"/>
      </w:pPr>
      <w:r>
        <w:t xml:space="preserve">Keletso Makofane developed</w:t>
      </w:r>
      <w:r>
        <w:t xml:space="preserve"> </w:t>
      </w:r>
      <w:r>
        <w:t xml:space="preserve">and coded the survey instrument. The survey instrument uses the FCC Data</w:t>
      </w:r>
      <w:r>
        <w:t xml:space="preserve"> </w:t>
      </w:r>
      <w:r>
        <w:t xml:space="preserve">API but is not endorsed or certified by the FCC.</w:t>
      </w:r>
    </w:p>
    <w:p>
      <w:pPr>
        <w:pStyle w:val="BodyText"/>
      </w:pPr>
      <w:r>
        <w:t xml:space="preserve">Most of all, we thank, and stand in solidarity with, the MPX NYC participants who gave of their time to make the study a success.</w:t>
      </w:r>
    </w:p>
    <w:bookmarkEnd w:id="91"/>
    <w:bookmarkStart w:id="106" w:name="references"/>
    <w:p>
      <w:pPr>
        <w:pStyle w:val="Heading1"/>
      </w:pPr>
      <w:r>
        <w:t xml:space="preserve">References</w:t>
      </w:r>
    </w:p>
    <w:bookmarkStart w:id="105" w:name="refs"/>
    <w:bookmarkStart w:id="93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92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3"/>
    <w:bookmarkStart w:id="95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4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95"/>
    <w:bookmarkStart w:id="97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96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97"/>
    <w:bookmarkStart w:id="99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98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99"/>
    <w:bookmarkStart w:id="101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100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101"/>
    <w:bookmarkStart w:id="102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102"/>
    <w:bookmarkStart w:id="104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3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4"/>
    <w:bookmarkEnd w:id="105"/>
    <w:bookmarkEnd w:id="1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100" Target="https://data.cityofnewyork.us/City-Government/Community-Districts/yfnk-k7r4" TargetMode="External" /><Relationship Type="http://schemas.openxmlformats.org/officeDocument/2006/relationships/hyperlink" Id="rId94" Target="https://developers.google.com/maps/documentation/javascript" TargetMode="External" /><Relationship Type="http://schemas.openxmlformats.org/officeDocument/2006/relationships/hyperlink" Id="rId96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8" Target="https://nextjs.org/docs" TargetMode="External" /><Relationship Type="http://schemas.openxmlformats.org/officeDocument/2006/relationships/hyperlink" Id="rId92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3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ata.cityofnewyork.us/City-Government/Community-Districts/yfnk-k7r4" TargetMode="External" /><Relationship Type="http://schemas.openxmlformats.org/officeDocument/2006/relationships/hyperlink" Id="rId94" Target="https://developers.google.com/maps/documentation/javascript" TargetMode="External" /><Relationship Type="http://schemas.openxmlformats.org/officeDocument/2006/relationships/hyperlink" Id="rId96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8" Target="https://nextjs.org/docs" TargetMode="External" /><Relationship Type="http://schemas.openxmlformats.org/officeDocument/2006/relationships/hyperlink" Id="rId92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3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2024-09-11T15:29:17Z</dcterms:created>
  <dcterms:modified xsi:type="dcterms:W3CDTF">2024-09-11T15:29:17Z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