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7.png" ContentType="image/png"/>
  <Override PartName="/word/media/rId82.png" ContentType="image/png"/>
  <Override PartName="/word/media/rId58.png" ContentType="image/png"/>
  <Override PartName="/word/media/rId53.png" ContentType="image/png"/>
  <Override PartName="/word/media/rId72.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Makofane</w:t>
      </w:r>
    </w:p>
    <w:p>
      <w:pPr>
        <w:pStyle w:val="Date"/>
      </w:pPr>
      <w:r>
        <w:t xml:space="preserve">2024-05-23</w:t>
      </w:r>
    </w:p>
    <w:bookmarkStart w:id="50" w:name="methods"/>
    <w:p>
      <w:pPr>
        <w:pStyle w:val="Heading1"/>
      </w:pPr>
      <w:r>
        <w:t xml:space="preserve">Methods</w:t>
      </w:r>
    </w:p>
    <w:bookmarkStart w:id="38"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X325f49556d357cca5c0f6fed498a398a1cd64e5"/>
    <w:p>
      <w:pPr>
        <w:pStyle w:val="Heading3"/>
      </w:pPr>
      <w:r>
        <w:t xml:space="preserve">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0"/>
    <w:bookmarkStart w:id="29"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7"/>
    <w:bookmarkEnd w:id="38"/>
    <w:bookmarkStart w:id="41" w:name="measures"/>
    <w:p>
      <w:pPr>
        <w:pStyle w:val="Heading2"/>
      </w:pPr>
      <w:r>
        <w:t xml:space="preserve">Measures</w:t>
      </w:r>
    </w:p>
    <w:bookmarkStart w:id="39" w:name="participant-characteristics"/>
    <w:p>
      <w:pPr>
        <w:pStyle w:val="Heading3"/>
      </w:pPr>
      <w:r>
        <w:t xml:space="preserve">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39"/>
    <w:bookmarkStart w:id="40" w:name="contact-venues-and-characteristics"/>
    <w:p>
      <w:pPr>
        <w:pStyle w:val="Heading3"/>
      </w:pPr>
      <w:r>
        <w:t xml:space="preserve">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0"/>
    <w:bookmarkEnd w:id="41"/>
    <w:bookmarkStart w:id="49" w:name="statistical-analysis"/>
    <w:p>
      <w:pPr>
        <w:pStyle w:val="Heading2"/>
      </w:pPr>
      <w:r>
        <w:t xml:space="preserve">Statistical Analysis</w:t>
      </w:r>
    </w:p>
    <w:bookmarkStart w:id="42" w:name="participant-characteristics-1"/>
    <w:p>
      <w:pPr>
        <w:pStyle w:val="Heading3"/>
      </w:pPr>
      <w:r>
        <w:t xml:space="preserve">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2"/>
    <w:bookmarkStart w:id="43" w:name="contact-venue-characteristics"/>
    <w:p>
      <w:pPr>
        <w:pStyle w:val="Heading3"/>
      </w:pPr>
      <w:r>
        <w:t xml:space="preserve">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3"/>
    <w:bookmarkStart w:id="44" w:name="participant-network-characteristics"/>
    <w:p>
      <w:pPr>
        <w:pStyle w:val="Heading3"/>
      </w:pPr>
      <w:r>
        <w:t xml:space="preserve">Participant network characteristics</w:t>
      </w:r>
    </w:p>
    <w:p>
      <w:pPr>
        <w:pStyle w:val="FirstParagraph"/>
      </w:pPr>
      <w:r>
        <w:t xml:space="preserve">To understand how the population represented by MPX NYC study data are potentially connected through interactions in the physical spaces they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more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spatial overlap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 For this analysis, we consider a network with a larger largest connected component to be better connected than a network with a smaller largest connected component. (LCC instead of LArgest)</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define below. We calculated the spatial mixing coefficient for age, sexual orientation, and race-gender.</w:t>
      </w:r>
    </w:p>
    <w:p>
      <w:pPr>
        <w:pStyle w:val="BodyText"/>
      </w:pPr>
      <w:r>
        <w:t xml:space="preserve">We define the spatial mixing coefficient</w:t>
      </w:r>
      <w:r>
        <w:t xml:space="preserve"> </w:t>
      </w:r>
      <m:oMath>
        <m:r>
          <m:t>ψ</m:t>
        </m:r>
        <m:d>
          <m:dPr>
            <m:begChr m:val="("/>
            <m:endChr m:val=")"/>
            <m:sepChr m:val=""/>
            <m:grow/>
          </m:dPr>
          <m:e>
            <m:r>
              <m:t>a</m:t>
            </m:r>
            <m:r>
              <m:rPr>
                <m:sty m:val="p"/>
              </m:rPr>
              <m:t>,</m:t>
            </m:r>
            <m:r>
              <m:t>b</m:t>
            </m:r>
          </m:e>
        </m:d>
      </m:oMath>
      <w:r>
        <w:t xml:space="preserve"> </w:t>
      </w:r>
      <w:r>
        <w:t xml:space="preserve">as a measure of the propensity for members of subgroup</w:t>
      </w:r>
      <w:r>
        <w:t xml:space="preserve"> </w:t>
      </w:r>
      <m:oMath>
        <m:r>
          <m:t>a</m:t>
        </m:r>
      </m:oMath>
      <w:r>
        <w:t xml:space="preserve"> </w:t>
      </w:r>
      <w:r>
        <w:t xml:space="preserve">to have residences and contact venues in the same community districts as members of subgroup</w:t>
      </w:r>
      <w:r>
        <w:t xml:space="preserve"> </w:t>
      </w:r>
      <m:oMath>
        <m:r>
          <m:t>b</m:t>
        </m:r>
      </m:oMath>
      <w:r>
        <w:t xml:space="preserve">. It is calculated as the spatial mixing ratio minus one. (</w:t>
      </w:r>
      <m:oMath>
        <m:r>
          <m:t>ψ</m:t>
        </m:r>
        <m:d>
          <m:dPr>
            <m:begChr m:val="("/>
            <m:endChr m:val=")"/>
            <m:sepChr m:val=""/>
            <m:grow/>
          </m:dPr>
          <m:e>
            <m:r>
              <m:t>a</m:t>
            </m:r>
            <m:r>
              <m:rPr>
                <m:sty m:val="p"/>
              </m:rPr>
              <m:t>,</m:t>
            </m:r>
            <m:r>
              <m:t>b</m:t>
            </m:r>
          </m:e>
        </m:d>
        <m:r>
          <m:rPr>
            <m:sty m:val="p"/>
          </m:rPr>
          <m:t>=</m:t>
        </m:r>
        <m:r>
          <m:t>r</m:t>
        </m:r>
        <m:d>
          <m:dPr>
            <m:begChr m:val="("/>
            <m:endChr m:val=")"/>
            <m:sepChr m:val=""/>
            <m:grow/>
          </m:dPr>
          <m:e>
            <m:r>
              <m:t>a</m:t>
            </m:r>
            <m:r>
              <m:rPr>
                <m:sty m:val="p"/>
              </m:rPr>
              <m:t>,</m:t>
            </m:r>
            <m:r>
              <m:t>b</m:t>
            </m:r>
          </m:e>
        </m:d>
        <m:r>
          <m:rPr>
            <m:sty m:val="p"/>
          </m:rPr>
          <m:t>−</m:t>
        </m:r>
        <m:r>
          <m:t>1</m:t>
        </m:r>
      </m:oMath>
      <w:r>
        <w:t xml:space="preserve">)</w:t>
      </w:r>
    </w:p>
    <w:p>
      <w:pPr>
        <w:pStyle w:val="BodyText"/>
      </w:pPr>
      <w:r>
        <w:t xml:space="preserve">The spatial mixing ratio of subgroup a for subgroup b</w:t>
      </w:r>
      <w:r>
        <w:t xml:space="preserve"> </w:t>
      </w:r>
      <m:oMath>
        <m:r>
          <m:t>r</m:t>
        </m:r>
        <m:d>
          <m:dPr>
            <m:begChr m:val="("/>
            <m:endChr m:val=")"/>
            <m:sepChr m:val=""/>
            <m:grow/>
          </m:dPr>
          <m:e>
            <m:r>
              <m:t>a</m:t>
            </m:r>
            <m:r>
              <m:rPr>
                <m:sty m:val="p"/>
              </m:rPr>
              <m:t>,</m:t>
            </m:r>
            <m:r>
              <m:t>b</m:t>
            </m:r>
          </m:e>
        </m:d>
      </m:oMath>
      <w:r>
        <w:t xml:space="preserve"> </w:t>
      </w:r>
      <w:r>
        <w:t xml:space="preserve">is defined as the average preference of subgroup a for subgroup b divided by the prevalence of subgroup b. For each node in subgroup a, preference for subgroup b is given by the number of alters in subgroup b divided by the total number of alters (an alter is any node connected to the node under consideration). The average preference is given by the sum of preference among subgroup a divided by the number of nodes in subgroup a. The prevalence of subgroup b is given by the number of nodes in subgroup b divided by the total number of nodes. (preferences in second mention). For instance, if a node in group a, has 10 alters, and 5 of them are in subgroup b, then the preference would be 50%. (departure from independence. (spatial homophily vs. heterophily. random mixing. how to interpret.</w:t>
      </w:r>
      <w:r>
        <w:t xml:space="preserve"> </w:t>
      </w:r>
      <w:r>
        <w:t xml:space="preserve">“</w:t>
      </w:r>
      <w:r>
        <w:t xml:space="preserve">generalized epidemic</w:t>
      </w:r>
      <w:r>
        <w:t xml:space="preserve">”</w:t>
      </w:r>
      <w:r>
        <w:t xml:space="preserve"> </w:t>
      </w:r>
      <w:r>
        <w:t xml:space="preserve">vs. segregated epidemic. Try and give interpretatino for preference. doctor who is sophisticated. not for the reviewer, for how the reviewer thinks about the audience.)</w:t>
      </w:r>
    </w:p>
    <w:p>
      <w:pPr>
        <w:pStyle w:val="BodyText"/>
      </w:pPr>
      <w:r>
        <w:t xml:space="preserve">This spatial mixing coefficient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bookmarkEnd w:id="44"/>
    <w:bookmarkStart w:id="45" w:name="Xb87fb67380c6541b5c3bd7d0a20a8fc5371a42b"/>
    <w:p>
      <w:pPr>
        <w:pStyle w:val="Heading3"/>
      </w:pPr>
      <w:r>
        <w:t xml:space="preserve">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5"/>
    <w:bookmarkStart w:id="48" w:name="responding-to-an-outbreak"/>
    <w:p>
      <w:pPr>
        <w:pStyle w:val="Heading3"/>
      </w:pPr>
      <w:r>
        <w:t xml:space="preserve">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6" w:name="intervention-strategies"/>
    <w:p>
      <w:pPr>
        <w:pStyle w:val="Heading4"/>
      </w:pPr>
      <w:r>
        <w:t xml:space="preserve">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unless that individual has already been immunized. We assume that once a person is immunized, they are unable to acquire or transmit the pathogen.</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w:t>
      </w:r>
    </w:p>
    <w:bookmarkEnd w:id="46"/>
    <w:bookmarkStart w:id="47" w:name="intervention-outcomes"/>
    <w:p>
      <w:pPr>
        <w:pStyle w:val="Heading4"/>
      </w:pPr>
      <w:r>
        <w:t xml:space="preserve">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p>
    <w:p>
      <w:pPr>
        <w:pStyle w:val="BodyText"/>
      </w:pPr>
      <w:r>
        <w:rPr>
          <w:u w:val="single"/>
        </w:rPr>
        <w:t xml:space="preserve">Spatial network impact</w:t>
      </w:r>
      <w:r>
        <w:t xml:space="preserve"> </w:t>
      </w:r>
      <w:r>
        <w:t xml:space="preserve">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w:t>
      </w:r>
    </w:p>
    <w:bookmarkEnd w:id="47"/>
    <w:bookmarkEnd w:id="48"/>
    <w:bookmarkEnd w:id="49"/>
    <w:bookmarkEnd w:id="50"/>
    <w:bookmarkStart w:id="88" w:name="results"/>
    <w:p>
      <w:pPr>
        <w:pStyle w:val="Heading1"/>
      </w:pPr>
      <w:r>
        <w:t xml:space="preserve">Results</w:t>
      </w:r>
    </w:p>
    <w:bookmarkStart w:id="51" w:name="outline"/>
    <w:p>
      <w:pPr>
        <w:pStyle w:val="Heading2"/>
      </w:pPr>
      <w:r>
        <w:t xml:space="preserve">Outline</w:t>
      </w:r>
    </w:p>
    <w:p>
      <w:pPr>
        <w:pStyle w:val="FirstParagraph"/>
      </w:pPr>
      <w:r>
        <w:rPr>
          <w:u w:val="single"/>
        </w:rPr>
        <w:t xml:space="preserve">Participants</w:t>
      </w:r>
    </w:p>
    <w:p>
      <w:pPr>
        <w:numPr>
          <w:ilvl w:val="0"/>
          <w:numId w:val="1001"/>
        </w:numPr>
      </w:pPr>
      <w:r>
        <w:t xml:space="preserve">Most recruited through Grindr pop-up ads that were deployed between XX and XX, and between XX and XXX.</w:t>
      </w:r>
    </w:p>
    <w:p>
      <w:pPr>
        <w:numPr>
          <w:ilvl w:val="0"/>
          <w:numId w:val="1001"/>
        </w:numPr>
      </w:pPr>
      <w:r>
        <w:t xml:space="preserve">Demographically diverse, with groupings that require different strategies for communication, and possibly different health interventions</w:t>
      </w:r>
    </w:p>
    <w:p>
      <w:pPr>
        <w:numPr>
          <w:ilvl w:val="0"/>
          <w:numId w:val="1001"/>
        </w:numPr>
      </w:pPr>
      <w:r>
        <w:t xml:space="preserve">Deeply connected to LGBTI communities socially and sexualy</w:t>
      </w:r>
    </w:p>
    <w:p>
      <w:pPr>
        <w:numPr>
          <w:ilvl w:val="1"/>
          <w:numId w:val="1002"/>
        </w:numPr>
      </w:pPr>
      <w:r>
        <w:t xml:space="preserve">those who are connected through physical contact in congregate settings have:</w:t>
      </w:r>
    </w:p>
    <w:p>
      <w:pPr>
        <w:numPr>
          <w:ilvl w:val="2"/>
          <w:numId w:val="1003"/>
        </w:numPr>
      </w:pPr>
      <w:r>
        <w:t xml:space="preserve">better access to health services</w:t>
      </w:r>
    </w:p>
    <w:p>
      <w:pPr>
        <w:numPr>
          <w:ilvl w:val="2"/>
          <w:numId w:val="1003"/>
        </w:numPr>
      </w:pPr>
      <w:r>
        <w:t xml:space="preserve">deeper connections with LGBTI community</w:t>
      </w:r>
    </w:p>
    <w:p>
      <w:pPr>
        <w:numPr>
          <w:ilvl w:val="2"/>
          <w:numId w:val="1003"/>
        </w:numPr>
      </w:pPr>
      <w:r>
        <w:t xml:space="preserve">no differences between them and non-contact people by :</w:t>
      </w:r>
    </w:p>
    <w:p>
      <w:pPr>
        <w:numPr>
          <w:ilvl w:val="3"/>
          <w:numId w:val="1004"/>
        </w:numPr>
      </w:pPr>
      <w:r>
        <w:t xml:space="preserve">race/gender</w:t>
      </w:r>
    </w:p>
    <w:p>
      <w:pPr>
        <w:numPr>
          <w:ilvl w:val="3"/>
          <w:numId w:val="1004"/>
        </w:numPr>
      </w:pPr>
      <w:r>
        <w:t xml:space="preserve">HIV PrEP</w:t>
      </w:r>
    </w:p>
    <w:p>
      <w:pPr>
        <w:numPr>
          <w:ilvl w:val="3"/>
          <w:numId w:val="1004"/>
        </w:numPr>
      </w:pPr>
      <w:r>
        <w:t xml:space="preserve">HIV Status</w:t>
      </w:r>
    </w:p>
    <w:p>
      <w:pPr>
        <w:pStyle w:val="FirstParagraph"/>
      </w:pPr>
      <w:r>
        <w:t xml:space="preserve">Contact venues</w:t>
      </w:r>
    </w:p>
    <w:p>
      <w:pPr>
        <w:numPr>
          <w:ilvl w:val="0"/>
          <w:numId w:val="1005"/>
        </w:numPr>
      </w:pPr>
      <w:r>
        <w:t xml:space="preserve">The majority of contact venues were venues for sexual contact</w:t>
      </w:r>
    </w:p>
    <w:p>
      <w:pPr>
        <w:numPr>
          <w:ilvl w:val="0"/>
          <w:numId w:val="1005"/>
        </w:numPr>
      </w:pPr>
      <w:r>
        <w:t xml:space="preserve">These venues tended to be closer to home and tended to be in private residences</w:t>
      </w:r>
    </w:p>
    <w:p>
      <w:pPr>
        <w:numPr>
          <w:ilvl w:val="1"/>
          <w:numId w:val="1006"/>
        </w:numPr>
        <w:pStyle w:val="Compact"/>
      </w:pPr>
      <w:r>
        <w:t xml:space="preserve">The closer to home, the more likely a contact venue is a private residence</w:t>
      </w:r>
    </w:p>
    <w:p>
      <w:pPr>
        <w:pStyle w:val="FirstParagraph"/>
      </w:pPr>
      <w:r>
        <w:t xml:space="preserve">Movement</w:t>
      </w:r>
    </w:p>
    <w:p>
      <w:pPr>
        <w:numPr>
          <w:ilvl w:val="0"/>
          <w:numId w:val="1007"/>
        </w:numPr>
      </w:pPr>
      <w:r>
        <w:t xml:space="preserve">Participant contact venues concentrated them among fewer community districts than their residences</w:t>
      </w:r>
    </w:p>
    <w:p>
      <w:pPr>
        <w:numPr>
          <w:ilvl w:val="1"/>
          <w:numId w:val="1008"/>
        </w:numPr>
      </w:pPr>
      <w:r>
        <w:t xml:space="preserve">happened within boroughts</w:t>
      </w:r>
    </w:p>
    <w:p>
      <w:pPr>
        <w:numPr>
          <w:ilvl w:val="1"/>
          <w:numId w:val="1008"/>
        </w:numPr>
      </w:pPr>
      <w:r>
        <w:t xml:space="preserve">happened across boroughts</w:t>
      </w:r>
    </w:p>
    <w:p>
      <w:pPr>
        <w:numPr>
          <w:ilvl w:val="0"/>
          <w:numId w:val="1007"/>
        </w:numPr>
      </w:pPr>
      <w:r>
        <w:t xml:space="preserve">There was variation in distance between contact venues and home</w:t>
      </w:r>
    </w:p>
    <w:p>
      <w:pPr>
        <w:pStyle w:val="FirstParagraph"/>
      </w:pPr>
      <w:r>
        <w:t xml:space="preserve">Mixing</w:t>
      </w:r>
    </w:p>
    <w:p>
      <w:pPr>
        <w:numPr>
          <w:ilvl w:val="0"/>
          <w:numId w:val="1009"/>
        </w:numPr>
        <w:pStyle w:val="Compact"/>
      </w:pPr>
      <w:r>
        <w:t xml:space="preserve">spatial homophily and spatial segregation</w:t>
      </w:r>
    </w:p>
    <w:p>
      <w:pPr>
        <w:pStyle w:val="FirstParagraph"/>
      </w:pPr>
      <w:r>
        <w:t xml:space="preserve">Hypothetical Intervention</w:t>
      </w:r>
    </w:p>
    <w:p>
      <w:pPr>
        <w:numPr>
          <w:ilvl w:val="0"/>
          <w:numId w:val="1010"/>
        </w:numPr>
      </w:pPr>
      <w:r>
        <w:t xml:space="preserve">few community districts cover many participants</w:t>
      </w:r>
    </w:p>
    <w:p>
      <w:pPr>
        <w:numPr>
          <w:ilvl w:val="0"/>
          <w:numId w:val="1010"/>
        </w:numPr>
      </w:pPr>
      <w:r>
        <w:t xml:space="preserve">Contact-neutralizing strategy increases coverage fast whereas movement-neutralizing strategy decreases size of largest connected component fast</w:t>
      </w:r>
    </w:p>
    <w:p>
      <w:pPr>
        <w:numPr>
          <w:ilvl w:val="0"/>
          <w:numId w:val="1010"/>
        </w:numPr>
      </w:pPr>
      <w:r>
        <w:t xml:space="preserve">Overall, contact-neutralizing strategy is better</w:t>
      </w:r>
    </w:p>
    <w:bookmarkEnd w:id="51"/>
    <w:bookmarkStart w:id="57" w:name="participants"/>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people-descriptives">
        <w:r>
          <w:rPr>
            <w:rStyle w:val="Hyperlink"/>
          </w:rPr>
          <w:t xml:space="preserve">Figure 4</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tbl>
      <w:tblPr>
        <w:tblStyle w:val="Table"/>
        <w:tblW w:type="pct" w:w="5000"/>
        <w:tblLook w:firstRow="0" w:lastRow="0" w:firstColumn="0" w:lastColumn="0" w:noHBand="0" w:noVBand="0" w:val="0000"/>
        <w:jc w:val="start"/>
      </w:tblPr>
      <w:tblGrid>
        <w:gridCol w:w="7920"/>
      </w:tblGrid>
      <w:tr>
        <w:tc>
          <w:tcPr/>
          <w:bookmarkStart w:id="52"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2"/>
        </w:tc>
      </w:tr>
    </w:tbl>
    <w:p>
      <w:pPr>
        <w:pStyle w:val="BodyText"/>
      </w:pPr>
      <w:r>
        <w:t xml:space="preserve">The sexual orientation of participants differed marketdly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6" w:name="fig-sexorientation-racegender"/>
          <w:p>
            <w:pPr>
              <w:jc w:val="center"/>
            </w:pPr>
            <w:r>
              <w:drawing>
                <wp:inline>
                  <wp:extent cx="5334000" cy="4533900"/>
                  <wp:effectExtent b="0" l="0" r="0" t="0"/>
                  <wp:docPr descr="" title="" id="54" name="Picture"/>
                  <a:graphic>
                    <a:graphicData uri="http://schemas.openxmlformats.org/drawingml/2006/picture">
                      <pic:pic>
                        <pic:nvPicPr>
                          <pic:cNvPr descr="_manuscript_files/figure-docx/fig-sexorientation-racegender-1.png" id="55" name="Picture"/>
                          <pic:cNvPicPr>
                            <a:picLocks noChangeArrowheads="1" noChangeAspect="1"/>
                          </pic:cNvPicPr>
                        </pic:nvPicPr>
                        <pic:blipFill>
                          <a:blip r:embed="rId53"/>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6"/>
        </w:tc>
      </w:tr>
    </w:tbl>
    <w:p>
      <w:pPr>
        <w:pStyle w:val="BodyText"/>
      </w:pPr>
      <w:r>
        <w:t xml:space="preserve">In terms of health status,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queer or trans friends whereas only 20% reported not being in contact over the same period. About half of the participants had between 1 and 3 recent sex partners with one fifth reporting four or more partners. About one third of participants reported spending less than 15 minutes on average when traveling to a hookup while a third spent 16-30 minutes. The remainder spent over 30 minutes. Almost one of four participants reported having recent physical (non-sexual) contact with over 5 individuals, and one third reported having no contact.</w:t>
      </w:r>
    </w:p>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and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and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w:t>
      </w:r>
    </w:p>
    <w:bookmarkEnd w:id="57"/>
    <w:bookmarkStart w:id="62" w:name="contact-venues"/>
    <w:p>
      <w:pPr>
        <w:pStyle w:val="Heading2"/>
      </w:pPr>
      <w:r>
        <w:t xml:space="preserve">Contact venues</w:t>
      </w:r>
    </w:p>
    <w:p>
      <w:pPr>
        <w:pStyle w:val="FirstParagraph"/>
      </w:pPr>
      <w:r>
        <w:t xml:space="preserve">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contact venues were in Manhattan, while less than a third were in the Brooklyn. A quarter of all contact venues were in the same community as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1" w:name="fig-places-distance-sexcontact"/>
          <w:p>
            <w:pPr>
              <w:jc w:val="center"/>
            </w:pPr>
            <w:r>
              <w:drawing>
                <wp:inline>
                  <wp:extent cx="5334000" cy="5334000"/>
                  <wp:effectExtent b="0" l="0" r="0" t="0"/>
                  <wp:docPr descr="" title="" id="59" name="Picture"/>
                  <a:graphic>
                    <a:graphicData uri="http://schemas.openxmlformats.org/drawingml/2006/picture">
                      <pic:pic>
                        <pic:nvPicPr>
                          <pic:cNvPr descr="_manuscript_files/figure-docx/fig-places-distance-sexcontac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1"/>
        </w:tc>
      </w:tr>
    </w:tbl>
    <w:bookmarkEnd w:id="62"/>
    <w:bookmarkStart w:id="71" w:name="movement"/>
    <w:p>
      <w:pPr>
        <w:pStyle w:val="Heading2"/>
      </w:pPr>
      <w:r>
        <w:t xml:space="preserve">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6" w:name="fig-communities-bar"/>
          <w:p>
            <w:pPr>
              <w:jc w:val="center"/>
            </w:pPr>
            <w:r>
              <w:drawing>
                <wp:inline>
                  <wp:extent cx="5334000" cy="3733800"/>
                  <wp:effectExtent b="0" l="0" r="0" t="0"/>
                  <wp:docPr descr="" title="" id="64" name="Picture"/>
                  <a:graphic>
                    <a:graphicData uri="http://schemas.openxmlformats.org/drawingml/2006/picture">
                      <pic:pic>
                        <pic:nvPicPr>
                          <pic:cNvPr descr="_manuscript_files/figure-docx/fig-communities-bar-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6"/>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70" w:name="fig-communities-movement"/>
          <w:p>
            <w:pPr>
              <w:jc w:val="center"/>
            </w:pPr>
            <w:r>
              <w:drawing>
                <wp:inline>
                  <wp:extent cx="5334000" cy="5334000"/>
                  <wp:effectExtent b="0" l="0" r="0" t="0"/>
                  <wp:docPr descr="" title="" id="68" name="Picture"/>
                  <a:graphic>
                    <a:graphicData uri="http://schemas.openxmlformats.org/drawingml/2006/picture">
                      <pic:pic>
                        <pic:nvPicPr>
                          <pic:cNvPr descr="_manuscript_files/figure-docx/fig-communities-movemen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0"/>
        </w:tc>
      </w:tr>
    </w:tbl>
    <w:bookmarkEnd w:id="71"/>
    <w:bookmarkStart w:id="76" w:name="spatial-mixing"/>
    <w:p>
      <w:pPr>
        <w:pStyle w:val="Heading2"/>
      </w:pPr>
      <w:r>
        <w:t xml:space="preserve">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5" w:name="fig-subgroup-mixing"/>
          <w:p>
            <w:pPr>
              <w:jc w:val="center"/>
            </w:pPr>
            <w:r>
              <w:drawing>
                <wp:inline>
                  <wp:extent cx="5334000" cy="7556500"/>
                  <wp:effectExtent b="0" l="0" r="0" t="0"/>
                  <wp:docPr descr="" title="" id="73" name="Picture"/>
                  <a:graphic>
                    <a:graphicData uri="http://schemas.openxmlformats.org/drawingml/2006/picture">
                      <pic:pic>
                        <pic:nvPicPr>
                          <pic:cNvPr descr="_manuscript_files/figure-docx/fig-subgroup-mixing-1.png" id="74" name="Picture"/>
                          <pic:cNvPicPr>
                            <a:picLocks noChangeArrowheads="1" noChangeAspect="1"/>
                          </pic:cNvPicPr>
                        </pic:nvPicPr>
                        <pic:blipFill>
                          <a:blip r:embed="rId72"/>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5"/>
        </w:tc>
      </w:tr>
    </w:tbl>
    <w:bookmarkEnd w:id="76"/>
    <w:bookmarkStart w:id="87" w:name="X2c0a35f27f96906d05b23efaecc1455a3cd85ce"/>
    <w:p>
      <w:pPr>
        <w:pStyle w:val="Heading2"/>
      </w:pPr>
      <w:r>
        <w:t xml:space="preserve">Impact of hypothetical outbreak interventions</w:t>
      </w:r>
    </w:p>
    <w:bookmarkStart w:id="81" w:name="spatial-efficiency"/>
    <w:p>
      <w:pPr>
        <w:pStyle w:val="Heading3"/>
      </w:pPr>
      <w:r>
        <w:t xml:space="preserve">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MN04 includes the neighborhoods XXXXX, BK01 includes XXXXX, 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80" w:name="fig-hiimpact-communities"/>
          <w:p>
            <w:pPr>
              <w:jc w:val="center"/>
            </w:pPr>
            <w:r>
              <w:drawing>
                <wp:inline>
                  <wp:extent cx="5334000" cy="4267200"/>
                  <wp:effectExtent b="0" l="0" r="0" t="0"/>
                  <wp:docPr descr="" title="" id="78" name="Picture"/>
                  <a:graphic>
                    <a:graphicData uri="http://schemas.openxmlformats.org/drawingml/2006/picture">
                      <pic:pic>
                        <pic:nvPicPr>
                          <pic:cNvPr descr="_manuscript_files/figure-docx/fig-hiimpact-communities-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80"/>
        </w:tc>
      </w:tr>
    </w:tbl>
    <w:bookmarkEnd w:id="81"/>
    <w:bookmarkStart w:id="86" w:name="spatial-network-impact"/>
    <w:p>
      <w:pPr>
        <w:pStyle w:val="Heading3"/>
      </w:pPr>
      <w:r>
        <w:t xml:space="preserve">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5" w:name="fig-netimpact"/>
          <w:p>
            <w:pPr>
              <w:jc w:val="center"/>
            </w:pPr>
            <w:r>
              <w:drawing>
                <wp:inline>
                  <wp:extent cx="5334000" cy="3333750"/>
                  <wp:effectExtent b="0" l="0" r="0" t="0"/>
                  <wp:docPr descr="" title="" id="83" name="Picture"/>
                  <a:graphic>
                    <a:graphicData uri="http://schemas.openxmlformats.org/drawingml/2006/picture">
                      <pic:pic>
                        <pic:nvPicPr>
                          <pic:cNvPr descr="_manuscript_files/figure-docx/fig-netimpact-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5"/>
        </w:tc>
      </w:tr>
    </w:tbl>
    <w:bookmarkEnd w:id="86"/>
    <w:bookmarkEnd w:id="87"/>
    <w:bookmarkEnd w:id="88"/>
    <w:bookmarkStart w:id="91" w:name="discussion"/>
    <w:p>
      <w:pPr>
        <w:pStyle w:val="Heading1"/>
      </w:pPr>
      <w:r>
        <w:t xml:space="preserve">Discussion</w:t>
      </w:r>
    </w:p>
    <w:p>
      <w:pPr>
        <w:pStyle w:val="FirstParagraph"/>
      </w:pPr>
      <w:r>
        <w:t xml:space="preserve">The marketing campaign for MPX NYC was among those that won a Health+Wellness award from Graphic Design USA in 2023 (</w:t>
      </w:r>
      <w:hyperlink r:id="rId89">
        <w:r>
          <w:rPr>
            <w:rStyle w:val="Hyperlink"/>
          </w:rPr>
          <w:t xml:space="preserve">https://gdusa.com/2023-health-wellness-awards-winner?rns=0%7C41441831%7C41441872%7C41441882</w:t>
        </w:r>
      </w:hyperlink>
      <w:r>
        <w:t xml:space="preserve">) and was recognized by Out Magazine through the inclusion of the pirncipal investigator in the 2022 OUT100 list for</w:t>
      </w:r>
      <w:r>
        <w:t xml:space="preserve"> </w:t>
      </w:r>
      <w:r>
        <w:t xml:space="preserve">“</w:t>
      </w:r>
      <w:r>
        <w:t xml:space="preserve">LGBTQ+ Policy Makers and Advocates Changing the World</w:t>
      </w:r>
      <w:r>
        <w:t xml:space="preserve">”</w:t>
      </w:r>
      <w:r>
        <w:t xml:space="preserve"> </w:t>
      </w:r>
      <w:r>
        <w:t xml:space="preserve">(</w:t>
      </w:r>
      <w:hyperlink r:id="rId90">
        <w:r>
          <w:rPr>
            <w:rStyle w:val="Hyperlink"/>
          </w:rPr>
          <w:t xml:space="preserve">https://www.out.com/print/2022/10/27/out100-2022-lgbtq-policy-makers-and-advocates-changing-world#rebelltitem29</w:t>
        </w:r>
      </w:hyperlink>
      <w:r>
        <w:t xml:space="preserve">).</w:t>
      </w:r>
    </w:p>
    <w:p>
      <w:pPr>
        <w:pStyle w:val="BodyText"/>
      </w:pPr>
      <w:r>
        <w:t xml:space="preserve">Group sex is ubiquitous. The sex happens in physical space, it is important to study space and sex at the same time.</w:t>
      </w:r>
    </w:p>
    <w:p>
      <w:pPr>
        <w:pStyle w:val="BodyText"/>
      </w:pPr>
      <w:r>
        <w:t xml:space="preserve">People who are more likely to have contact are also more likely to use health-promoting interventions such as PrEP, mpox vaccination. But are not more likely to access mpox testing. The latter is likely more about the inadequate system for testing than its is about health behavior.</w:t>
      </w:r>
    </w:p>
    <w:p>
      <w:pPr>
        <w:pStyle w:val="BodyText"/>
      </w:pPr>
      <w:r>
        <w:t xml:space="preserve">Targeting public group sex venues is an ineffective intervention in the face of a growing threat of a deadly sexually transmitted infection.</w:t>
      </w:r>
    </w:p>
    <w:p>
      <w:pPr>
        <w:pStyle w:val="BodyText"/>
      </w:pPr>
      <w:r>
        <w:t xml:space="preserve">Sexual activity and group sexual activity are not evenly distributed across the city - there are few neighborhoods which, if intensely covered with interventions could slow down transmission across the city more generally.</w:t>
      </w:r>
    </w:p>
    <w:p>
      <w:pPr>
        <w:pStyle w:val="BodyText"/>
      </w:pPr>
      <w:r>
        <w:t xml:space="preserve">There is spatial homophily by race-gender, sexual orientation, and age. And there is some spatial separation between gay identified people and people of other sexual orientations. This is likely to lead to some containment among gay men.</w:t>
      </w:r>
    </w:p>
    <w:p>
      <w:pPr>
        <w:pStyle w:val="BodyText"/>
      </w:pPr>
      <w:r>
        <w:t xml:space="preserve">People who had group contact were also likely to have more friends, more one-on-one physical contact, and more one-on-one sexual contact than others. Even as spatial networks are considered as conduits for the transmission of pathogens, they should be conceptualized and conduits for information and other health-promoting resources.</w:t>
      </w:r>
    </w:p>
    <w:p>
      <w:pPr>
        <w:pStyle w:val="BodyText"/>
      </w:pPr>
      <w:r>
        <w:t xml:space="preserve">Network connectivity declines after about 10 community districts. We have to assume that we are working on a well connected network and conduct interventions concurrently instead of sequentially as we have proposed here.</w:t>
      </w:r>
    </w:p>
    <w:p>
      <w:pPr>
        <w:pStyle w:val="BodyText"/>
      </w:pPr>
      <w:r>
        <w:t xml:space="preserve">We must overreact in places which are hubs. Extend to international gay travel.</w:t>
      </w:r>
    </w:p>
    <w:p>
      <w:pPr>
        <w:pStyle w:val="BodyText"/>
      </w:pPr>
      <w:r>
        <w:t xml:space="preserve">Extend to contact tracing light.</w:t>
      </w:r>
    </w:p>
    <w:p>
      <w:pPr>
        <w:pStyle w:val="BodyText"/>
      </w:pPr>
      <w:r>
        <w:t xml:space="preserve">Background in programming:</w:t>
      </w:r>
    </w:p>
    <w:p>
      <w:pPr>
        <w:numPr>
          <w:ilvl w:val="0"/>
          <w:numId w:val="1011"/>
        </w:numPr>
      </w:pPr>
      <w:r>
        <w:t xml:space="preserve">we make the asusmption of networking, but networks are not measured.</w:t>
      </w:r>
    </w:p>
    <w:p>
      <w:pPr>
        <w:numPr>
          <w:ilvl w:val="0"/>
          <w:numId w:val="1011"/>
        </w:numPr>
      </w:pPr>
      <w:r>
        <w:t xml:space="preserve">we talk a lot about empowering community, but we need to just ask organizations how much material resources they dedicate to active reponsive work like this, vs. covering overhead. Things are usually what they seem.</w:t>
      </w:r>
    </w:p>
    <w:p>
      <w:pPr>
        <w:numPr>
          <w:ilvl w:val="0"/>
          <w:numId w:val="1011"/>
        </w:numPr>
      </w:pPr>
      <w:r>
        <w:t xml:space="preserve">WE are called to reconsider the categorical imperative and move towards a network-based understanding of community.</w:t>
      </w:r>
    </w:p>
    <w:p>
      <w:pPr>
        <w:numPr>
          <w:ilvl w:val="0"/>
          <w:numId w:val="1011"/>
        </w:numPr>
      </w:pPr>
      <w:r>
        <w:t xml:space="preserve">Next step: This is a flavor of CLM. We call on UNAIDS and WHO to generate technical guidance to conduct these studies.</w:t>
      </w:r>
    </w:p>
    <w:p>
      <w:pPr>
        <w:pStyle w:val="FirstParagraph"/>
      </w:pPr>
      <w:r>
        <w:t xml:space="preserve">Reccomendations:</w:t>
      </w:r>
    </w:p>
    <w:p>
      <w:pPr>
        <w:numPr>
          <w:ilvl w:val="0"/>
          <w:numId w:val="1012"/>
        </w:numPr>
      </w:pPr>
      <w:r>
        <w:t xml:space="preserve">Gov:</w:t>
      </w:r>
    </w:p>
    <w:p>
      <w:pPr>
        <w:numPr>
          <w:ilvl w:val="1"/>
          <w:numId w:val="1013"/>
        </w:numPr>
      </w:pPr>
      <w:r>
        <w:t xml:space="preserve">hire capable queer and tans people of different backgrounds to convene local groups to monitor the situation and make contingency plans</w:t>
      </w:r>
    </w:p>
    <w:p>
      <w:pPr>
        <w:numPr>
          <w:ilvl w:val="1"/>
          <w:numId w:val="1013"/>
        </w:numPr>
      </w:pPr>
      <w:r>
        <w:t xml:space="preserve">defund centers for pandemic preparendess which have not done any work to prepare us for the onslaught and steer funding to coalitions of local activists, researchers, and government who wish to coordinate efforts to prepare</w:t>
      </w:r>
    </w:p>
    <w:p>
      <w:pPr>
        <w:numPr>
          <w:ilvl w:val="1"/>
          <w:numId w:val="1013"/>
        </w:numPr>
      </w:pPr>
      <w:r>
        <w:t xml:space="preserve">Invest in success and not in prestigious and well-explained failure.</w:t>
      </w:r>
    </w:p>
    <w:p>
      <w:pPr>
        <w:numPr>
          <w:ilvl w:val="0"/>
          <w:numId w:val="1012"/>
        </w:numPr>
      </w:pPr>
      <w:r>
        <w:t xml:space="preserve">conduct this kind of survey every year to keep an up-to date map and study its evolution over time. We collected MPX NYC 2 data, which are currently being analysed.</w:t>
      </w:r>
    </w:p>
    <w:p>
      <w:pPr>
        <w:numPr>
          <w:ilvl w:val="0"/>
          <w:numId w:val="1012"/>
        </w:numPr>
      </w:pPr>
      <w:r>
        <w:t xml:space="preserve">convene groups to be ready for the new outbreak instead of wiating for it to kill people before we do anything</w:t>
      </w:r>
    </w:p>
    <w:p>
      <w:pPr>
        <w:numPr>
          <w:ilvl w:val="0"/>
          <w:numId w:val="1012"/>
        </w:numPr>
      </w:pPr>
      <w:r>
        <w:t xml:space="preserve">accept that under biden’s presidency, activists were gaslighted into believing the administration is doing the utmost to slow the spread down whereas it was doing the least. If we are to prevent pain and suffering, we have to assume that city, state, and federal government will provide as much material support as they did through this ground-breaking initiative which was the only of its kind at the time we conducted it.</w:t>
      </w:r>
    </w:p>
    <w:p>
      <w:pPr>
        <w:numPr>
          <w:ilvl w:val="0"/>
          <w:numId w:val="1012"/>
        </w:numPr>
      </w:pPr>
      <w:r>
        <w:t xml:space="preserve">Do whatever you want - climate change is gonna hit us before you get tenure. go wild. have fund. be a freak.</w:t>
      </w:r>
    </w:p>
    <w:p>
      <w:pPr>
        <w:pStyle w:val="FirstParagraph"/>
      </w:pPr>
      <w:r>
        <w:t xml:space="preserve">Methodologically,</w:t>
      </w:r>
    </w:p>
    <w:p>
      <w:pPr>
        <w:numPr>
          <w:ilvl w:val="0"/>
          <w:numId w:val="1014"/>
        </w:numPr>
      </w:pPr>
      <w:r>
        <w:t xml:space="preserve">we spearheading technical innovation both in data collection - survey instrument.</w:t>
      </w:r>
    </w:p>
    <w:p>
      <w:pPr>
        <w:numPr>
          <w:ilvl w:val="0"/>
          <w:numId w:val="1014"/>
        </w:numPr>
      </w:pPr>
      <w:r>
        <w:t xml:space="preserve">and in data wrangling and analysis. use bipartite network to keep and wrangle the data. get to the core of the relational content of the work.</w:t>
      </w:r>
    </w:p>
    <w:p>
      <w:pPr>
        <w:numPr>
          <w:ilvl w:val="0"/>
          <w:numId w:val="1014"/>
        </w:numPr>
      </w:pPr>
      <w:r>
        <w:t xml:space="preserve">we also offer project management tools and skills to large organizations which have branded themselves as mpox-concerned, but have not contributed new knowledge or mounted useful programs.</w:t>
      </w:r>
    </w:p>
    <w:p>
      <w:pPr>
        <w:numPr>
          <w:ilvl w:val="0"/>
          <w:numId w:val="1014"/>
        </w:numPr>
      </w:pPr>
      <w:r>
        <w:t xml:space="preserve">Social network and spatial network analysis is the next fronteir. If we don’t properly conceptualize the relational nature of public heatlh programs, we are doomed to host webinar after webinar of platitudes.</w:t>
      </w:r>
    </w:p>
    <w:p>
      <w:pPr>
        <w:numPr>
          <w:ilvl w:val="0"/>
          <w:numId w:val="1014"/>
        </w:numPr>
      </w:pPr>
      <w:r>
        <w:t xml:space="preserve">Can help with HIV and STIs and can help us to conceive of a pandemic prepareness program that extends beyond webinars conducted on unfair terms to queer and trans people doing work.</w:t>
      </w:r>
    </w:p>
    <w:p>
      <w:pPr>
        <w:pStyle w:val="FirstParagraph"/>
      </w:pPr>
      <w:r>
        <w:t xml:space="preserve">While many researchers have been paid by funding organizations to talk about mpox, few have contributed anything that can help us stop it and attend to community needs. Rec is for capable researchers to break rank and do the research they think is necessary with the understanding that people who usually get paid will get paid (professional researchers), and people who usually do not get paid will not get paid (community researchers).</w:t>
      </w:r>
    </w:p>
    <w:p>
      <w:pPr>
        <w:pStyle w:val="BodyText"/>
      </w:pPr>
      <w:r>
        <w:t xml:space="preserve">Our most important recomendation is not to government, which has proven itself to be what it appears to be in the face of actual emergencies, and it is not to large HIV organizations and pundits. It is to queer and trans people who have the skills to produce new and useful knowledge. WE did it cheaper, quicker, and better than the large organizations that have sucked up funding.</w:t>
      </w:r>
    </w:p>
    <w:p>
      <w:pPr>
        <w:pStyle w:val="BodyText"/>
      </w:pPr>
      <w:r>
        <w:t xml:space="preserve">The RESPND-MI project commits to making as much of our workproduct available as possible, and to be available for paid consultations to get projects like these off the ground accross the country and across the 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 apply for out-of-cylce funding from Center for AIDS Research at Harvard University; Ian Holloway facilitated financial support from UCLA Luskin Center; and individual donors gave funds.</w:t>
      </w:r>
    </w:p>
    <w:p>
      <w:pPr>
        <w:pStyle w:val="BodyText"/>
      </w:pPr>
      <w:r>
        <w:t xml:space="preserve">Donors: LinkNYC and Grindr donated advertising to the study, neo4j donated a license for their proprietary database software.</w:t>
      </w:r>
    </w:p>
    <w:p>
      <w:pPr>
        <w:pStyle w:val="BodyText"/>
      </w:pPr>
      <w:r>
        <w:t xml:space="preserve">Technical: Eric Tchetgen Tchetgen, Forrest W. Crawford, and Kenneth Mayer provided feedback on technical aspects of the study.</w:t>
      </w:r>
    </w:p>
    <w:p>
      <w:pPr>
        <w:pStyle w:val="BodyText"/>
      </w:pPr>
      <w:r>
        <w:t xml:space="preserve">Translation: Cody Patrick Nolan coordinated translation of the survey instrument and marketing materials. Antón Castellanos-Usiglu conducted the translation. Cody Patrick Nolan, Chema Jiménez, Juan Pablo Amaya Amaris, Santiago Aguilera Mijares, and María Andrea Santos Guzmán validated the translation.</w:t>
      </w:r>
    </w:p>
    <w:p>
      <w:pPr>
        <w:pStyle w:val="BodyText"/>
      </w:pPr>
      <w:r>
        <w:t xml:space="preserve">Questionnaire: Keletso Makofane, Pedro Carneiro and Nguyen Tran drafted the questionnaire. Lisa Berkman, Tom Carpino, David Barr, and Judy Auerbach reviewed the questionnaire.</w:t>
      </w:r>
    </w:p>
    <w:p>
      <w:pPr>
        <w:pStyle w:val="BodyText"/>
      </w:pPr>
      <w:r>
        <w:t xml:space="preserve">Admin: Sudipta Saha coordinated study activities, Christian Urrutia and Prep4All provided finance support, James Krellenstein and Joe Osmundson participated in initial planning. Keletso Makofane kept financial records. Lisa Berkman, Kenneth Mayer, and Eric Tchetgen Tchetgen were academic advisors. Lisa Berkman acted as principal investigator for the purpose of securing IRB approval while Keletso Makofane was principal investigator in all other respects.</w:t>
      </w:r>
    </w:p>
    <w:p>
      <w:pPr>
        <w:pStyle w:val="BodyText"/>
      </w:pPr>
      <w:r>
        <w:t xml:space="preserve">Web Development: Keletso Makofane conceptualized and coded the survey instrument (front end - which uses the FCC Data API but is not endorsed or certified by the FCC). Sudpipta Saha identified the FCC Data API, which allowed us to implement the front end. Imran Khan coded the study data server and database (back end). Seema Kara planned out the overall process of web development.</w:t>
      </w:r>
    </w:p>
    <w:p>
      <w:pPr>
        <w:pStyle w:val="BodyText"/>
      </w:pPr>
      <w:r>
        <w:t xml:space="preserve">Communications: Nick Diamond led marketing and communications efforts including managing contracts with Burness marketing agency and administering the LGBT+ Community Forum. Burness developed and implemented the public-facing communications materials. Grant Roth, Keletso Makofane, and Chris Wyman coordinated the initial invitations for the LGBT+ Community Forum. Joe Osmundson shared epidemiologic updates in early meetings of the Community Forum. Jennifer Balenciaga-Barnes led our thinking on the use of gender-inclusive language, Elle Lett and Nguyen Tran provided input on academic writing on gender diversity, Keletso Makofane was responsible for the operationalization and implementation of these ideas. Martez Smith led in-person consultation with Black LGBT individuals in Harlem, New York.</w:t>
      </w:r>
    </w:p>
    <w:p>
      <w:pPr>
        <w:pStyle w:val="BodyText"/>
      </w:pPr>
      <w:r>
        <w:t xml:space="preserve">Fundraising:</w:t>
      </w:r>
    </w:p>
    <w:p>
      <w:pPr>
        <w:numPr>
          <w:ilvl w:val="0"/>
          <w:numId w:val="1015"/>
        </w:numPr>
      </w:pPr>
      <w:r>
        <w:t xml:space="preserve">Sudpita saha drafted the grants that funded this work.</w:t>
      </w:r>
    </w:p>
    <w:p>
      <w:pPr>
        <w:pStyle w:val="FirstParagraph"/>
      </w:pPr>
      <w:r>
        <w:t xml:space="preserve">Most of all, we thank, and stand in solidarity with, the MPX NYC participants who gave of their time to make the study a success.</w:t>
      </w:r>
    </w:p>
    <w:bookmarkEnd w:id="92"/>
    <w:bookmarkStart w:id="93" w:name="references"/>
    <w:p>
      <w:pPr>
        <w:pStyle w:val="Heading1"/>
      </w:pPr>
      <w:r>
        <w:t xml:space="preserve">References</w:t>
      </w:r>
    </w:p>
    <w:bookmarkEnd w:id="93"/>
    <w:bookmarkStart w:id="110" w:name="appendices"/>
    <w:p>
      <w:pPr>
        <w:pStyle w:val="Heading1"/>
      </w:pPr>
      <w:r>
        <w:t xml:space="preserve">Appendices</w:t>
      </w:r>
    </w:p>
    <w:bookmarkStart w:id="94" w:name="a.-definition-of-spatial-selection-ratio"/>
    <w:p>
      <w:pPr>
        <w:pStyle w:val="Heading2"/>
      </w:pPr>
      <w:r>
        <w:t xml:space="preserve">A. Definition of spatial selection ratio</w:t>
      </w:r>
    </w:p>
    <w:p>
      <w:pPr>
        <w:pStyle w:val="FirstParagraph"/>
      </w:pPr>
      <w:r>
        <w:t xml:space="preserve">(DEGREE vs. conditional Degree)</w:t>
      </w:r>
    </w:p>
    <w:p>
      <w:pPr>
        <w:pStyle w:val="BodyText"/>
      </w:pPr>
      <w:r>
        <w:t xml:space="preserve">Consider a graph</w:t>
      </w:r>
      <w:r>
        <w:t xml:space="preserve"> </w:t>
      </w:r>
      <m:oMath>
        <m:r>
          <m:t>G</m:t>
        </m:r>
        <m:d>
          <m:dPr>
            <m:begChr m:val="("/>
            <m:endChr m:val=")"/>
            <m:sepChr m:val=""/>
            <m:grow/>
          </m:dPr>
          <m:e>
            <m:r>
              <m:t>N</m:t>
            </m:r>
            <m:r>
              <m:rPr>
                <m:sty m:val="p"/>
              </m:rPr>
              <m:t>,</m:t>
            </m:r>
            <m:r>
              <m:rPr>
                <m:sty m:val="p"/>
              </m:rPr>
              <m:t>∼</m:t>
            </m:r>
          </m:e>
        </m:d>
      </m:oMath>
      <w:r>
        <w:t xml:space="preserve"> </w:t>
      </w:r>
      <w:r>
        <w:t xml:space="preserve">where nodes (set</w:t>
      </w:r>
      <w:r>
        <w:t xml:space="preserve"> </w:t>
      </w:r>
      <m:oMath>
        <m:r>
          <m:t>N</m:t>
        </m:r>
      </m:oMath>
      <w:r>
        <w:t xml:space="preserve">) represent participants and</w:t>
      </w:r>
      <w:r>
        <w:t xml:space="preserve"> </w:t>
      </w:r>
      <m:oMath>
        <m:r>
          <m:t>i</m:t>
        </m:r>
        <m:r>
          <m:rPr>
            <m:sty m:val="p"/>
          </m:rPr>
          <m:t>∼</m:t>
        </m:r>
        <m:r>
          <m:t>j</m:t>
        </m:r>
      </m:oMath>
      <w:r>
        <w:t xml:space="preserve"> </w:t>
      </w:r>
      <w:r>
        <w:t xml:space="preserve">denotes that nodes</w:t>
      </w:r>
      <w:r>
        <w:t xml:space="preserve"> </w:t>
      </w:r>
      <m:oMath>
        <m:r>
          <m:t>i</m:t>
        </m:r>
        <m:r>
          <m:rPr>
            <m:sty m:val="p"/>
          </m:rPr>
          <m:t>,</m:t>
        </m:r>
        <m:r>
          <m:t>j</m:t>
        </m:r>
        <m:r>
          <m:rPr>
            <m:sty m:val="p"/>
          </m:rPr>
          <m:t>∈</m:t>
        </m:r>
        <m:r>
          <m:t>N</m:t>
        </m:r>
      </m:oMath>
      <w:r>
        <w:t xml:space="preserve"> </w:t>
      </w:r>
      <w:r>
        <w:t xml:space="preserve">are connected in</w:t>
      </w:r>
      <w:r>
        <w:t xml:space="preserve"> </w:t>
      </w:r>
      <m:oMath>
        <m:r>
          <m:t>G</m:t>
        </m:r>
      </m:oMath>
      <w:r>
        <w:t xml:space="preserve">. There is a tie between individuals</w:t>
      </w:r>
      <w:r>
        <w:t xml:space="preserve"> </w:t>
      </w:r>
      <m:oMath>
        <m:r>
          <m:t>i</m:t>
        </m:r>
        <m:r>
          <m:rPr>
            <m:sty m:val="p"/>
          </m:rPr>
          <m:t>,</m:t>
        </m:r>
        <m:r>
          <m:t>j</m:t>
        </m:r>
        <m:r>
          <m:rPr>
            <m:sty m:val="p"/>
          </m:rPr>
          <m:t>∈</m:t>
        </m:r>
        <m:r>
          <m:t>N</m:t>
        </m:r>
      </m:oMath>
      <w:r>
        <w:t xml:space="preserve"> </w:t>
      </w:r>
      <w:r>
        <w:t xml:space="preserve">(i.e. </w:t>
      </w:r>
      <m:oMath>
        <m:r>
          <m:t>i</m:t>
        </m:r>
        <m:r>
          <m:rPr>
            <m:sty m:val="p"/>
          </m:rPr>
          <m:t>∼</m:t>
        </m:r>
        <m:r>
          <m:t>j</m:t>
        </m:r>
      </m:oMath>
      <w:r>
        <w:t xml:space="preserve">) if individuals</w:t>
      </w:r>
      <w:r>
        <w:t xml:space="preserve"> </w:t>
      </w:r>
      <m:oMath>
        <m:r>
          <m:t>i</m:t>
        </m:r>
      </m:oMath>
      <w:r>
        <w:t xml:space="preserve"> </w:t>
      </w:r>
      <w:r>
        <w:t xml:space="preserve">and</w:t>
      </w:r>
      <w:r>
        <w:t xml:space="preserve"> </w:t>
      </w:r>
      <m:oMath>
        <m:r>
          <m:t>j</m:t>
        </m:r>
      </m:oMath>
      <w:r>
        <w:t xml:space="preserve"> </w:t>
      </w:r>
      <w:r>
        <w:t xml:space="preserve">share a community district. We say individual</w:t>
      </w:r>
      <w:r>
        <w:t xml:space="preserve"> </w:t>
      </w:r>
      <m:oMath>
        <m:r>
          <m:t>i</m:t>
        </m:r>
      </m:oMath>
      <w:r>
        <w:t xml:space="preserve"> </w:t>
      </w:r>
      <w:r>
        <w:t xml:space="preserve">shares a community district with individual</w:t>
      </w:r>
      <w:r>
        <w:t xml:space="preserve"> </w:t>
      </w:r>
      <m:oMath>
        <m:r>
          <m:t>j</m:t>
        </m:r>
      </m:oMath>
      <w:r>
        <w:t xml:space="preserve"> </w:t>
      </w:r>
      <w:r>
        <w:t xml:space="preserve">if both have a residence or contact venue in that community district.</w:t>
      </w:r>
      <w:r>
        <w:t xml:space="preserve"> </w:t>
      </w:r>
      <m:oMath>
        <m:sSub>
          <m:e>
            <m:r>
              <m:t>W</m:t>
            </m:r>
          </m:e>
          <m:sub>
            <m:r>
              <m:t>i</m:t>
            </m:r>
            <m:r>
              <m:rPr>
                <m:sty m:val="p"/>
              </m:rPr>
              <m:t>∼</m:t>
            </m:r>
            <m:r>
              <m:t>j</m:t>
            </m:r>
          </m:sub>
        </m:sSub>
      </m:oMath>
      <w:r>
        <w:t xml:space="preserve"> </w:t>
      </w:r>
      <w:r>
        <w:t xml:space="preserve">is defined as the count of community districts shared by</w:t>
      </w:r>
      <w:r>
        <w:t xml:space="preserve"> </w:t>
      </w:r>
      <m:oMath>
        <m:r>
          <m:t>i</m:t>
        </m:r>
      </m:oMath>
      <w:r>
        <w:t xml:space="preserve"> </w:t>
      </w:r>
      <w:r>
        <w:t xml:space="preserve">and</w:t>
      </w:r>
      <w:r>
        <w:t xml:space="preserve"> </w:t>
      </w:r>
      <m:oMath>
        <m:r>
          <m:t>j</m:t>
        </m:r>
      </m:oMath>
      <w:r>
        <w:t xml:space="preserve">.</w:t>
      </w:r>
      <w:r>
        <w:t xml:space="preserve"> </w:t>
      </w:r>
      <m:oMath>
        <m:sSub>
          <m:e>
            <m:r>
              <m:t>N</m:t>
            </m:r>
          </m:e>
          <m:sub>
            <m:r>
              <m:t>a</m:t>
            </m:r>
          </m:sub>
        </m:sSub>
        <m:r>
          <m:rPr>
            <m:sty m:val="p"/>
          </m:rPr>
          <m:t>,</m:t>
        </m:r>
        <m:sSub>
          <m:e>
            <m:r>
              <m:t>N</m:t>
            </m:r>
          </m:e>
          <m:sub>
            <m:r>
              <m:t>b</m:t>
            </m:r>
          </m:sub>
        </m:sSub>
        <m:r>
          <m:rPr>
            <m:sty m:val="p"/>
          </m:rPr>
          <m:t>⊂</m:t>
        </m:r>
        <m:r>
          <m:t>N</m:t>
        </m:r>
      </m:oMath>
      <w:r>
        <w:t xml:space="preserve"> </w:t>
      </w:r>
      <w:r>
        <w:t xml:space="preserve">are either disjoint subsets of</w:t>
      </w:r>
      <w:r>
        <w:t xml:space="preserve"> </w:t>
      </w:r>
      <m:oMath>
        <m:r>
          <m:t>N</m:t>
        </m:r>
      </m:oMath>
      <w:r>
        <w:t xml:space="preserve"> </w:t>
      </w:r>
      <w:r>
        <w:t xml:space="preserve">or coincide (i.e. </w:t>
      </w:r>
      <m:oMath>
        <m:sSub>
          <m:e>
            <m:r>
              <m:t>N</m:t>
            </m:r>
          </m:e>
          <m:sub>
            <m:r>
              <m:t>a</m:t>
            </m:r>
          </m:sub>
        </m:sSub>
        <m:r>
          <m:rPr>
            <m:sty m:val="p"/>
          </m:rPr>
          <m:t>∩</m:t>
        </m:r>
        <m:sSub>
          <m:e>
            <m:r>
              <m:t>N</m:t>
            </m:r>
          </m:e>
          <m:sub>
            <m:r>
              <m:t>b</m:t>
            </m:r>
          </m:sub>
        </m:sSub>
        <m:r>
          <m:rPr>
            <m:sty m:val="p"/>
          </m:rPr>
          <m:t>=</m:t>
        </m:r>
        <m:r>
          <m:t>ϕ</m:t>
        </m:r>
      </m:oMath>
      <w:r>
        <w:t xml:space="preserve"> </w:t>
      </w:r>
      <w:r>
        <w:t xml:space="preserve">or</w:t>
      </w:r>
      <w:r>
        <w:t xml:space="preserve"> </w:t>
      </w:r>
      <m:oMath>
        <m:sSub>
          <m:e>
            <m:r>
              <m:t>N</m:t>
            </m:r>
          </m:e>
          <m:sub>
            <m:r>
              <m:t>a</m:t>
            </m:r>
          </m:sub>
        </m:sSub>
        <m:r>
          <m:rPr>
            <m:sty m:val="p"/>
          </m:rPr>
          <m:t>∩</m:t>
        </m:r>
        <m:sSub>
          <m:e>
            <m:r>
              <m:t>N</m:t>
            </m:r>
          </m:e>
          <m:sub>
            <m:r>
              <m:t>b</m:t>
            </m:r>
          </m:sub>
        </m:sSub>
        <m:r>
          <m:rPr>
            <m:sty m:val="p"/>
          </m:rPr>
          <m:t>=</m:t>
        </m:r>
        <m:sSub>
          <m:e>
            <m:r>
              <m:t>N</m:t>
            </m:r>
          </m:e>
          <m:sub>
            <m:r>
              <m:t>a</m:t>
            </m:r>
          </m:sub>
        </m:sSub>
      </m:oMath>
      <w:r>
        <w:t xml:space="preserve">).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We define</w:t>
      </w:r>
      <w:r>
        <w:t xml:space="preserve"> </w:t>
      </w:r>
      <m:oMath>
        <m:r>
          <m:t>ψ</m:t>
        </m:r>
        <m:d>
          <m:dPr>
            <m:begChr m:val="("/>
            <m:endChr m:val=")"/>
            <m:sepChr m:val=""/>
            <m:grow/>
          </m:dPr>
          <m:e>
            <m:r>
              <m:t>a</m:t>
            </m:r>
            <m:r>
              <m:rPr>
                <m:sty m:val="p"/>
              </m:rPr>
              <m:t>,</m:t>
            </m:r>
            <m:r>
              <m:t>b</m:t>
            </m:r>
          </m:e>
        </m:d>
      </m:oMath>
      <w:r>
        <w:t xml:space="preserve"> </w:t>
      </w:r>
      <w:r>
        <w:t xml:space="preserve">the spatial selection ratio of characteristic</w:t>
      </w:r>
      <w:r>
        <w:t xml:space="preserve"> </w:t>
      </w:r>
      <m:oMath>
        <m:r>
          <m:t>a</m:t>
        </m:r>
      </m:oMath>
      <w:r>
        <w:t xml:space="preserve"> </w:t>
      </w:r>
      <w:r>
        <w:t xml:space="preserve">for characteristic</w:t>
      </w:r>
      <w:r>
        <w:t xml:space="preserve"> </w:t>
      </w:r>
      <m:oMath>
        <m:r>
          <m:t>b</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d>
                <m:dPr>
                  <m:begChr m:val="|"/>
                  <m:endChr m:val="|"/>
                  <m:sepChr m:val=""/>
                  <m:grow/>
                </m:dPr>
                <m:e>
                  <m:r>
                    <m:t>N</m:t>
                  </m:r>
                </m:e>
              </m:d>
            </m:num>
            <m:den>
              <m:d>
                <m:dPr>
                  <m:begChr m:val="|"/>
                  <m:endChr m:val="|"/>
                  <m:sepChr m:val=""/>
                  <m:grow/>
                </m:dPr>
                <m:e>
                  <m:sSub>
                    <m:e>
                      <m:r>
                        <m:t>N</m:t>
                      </m:r>
                    </m:e>
                    <m:sub>
                      <m:r>
                        <m:t>a</m:t>
                      </m:r>
                    </m:sub>
                  </m:sSub>
                </m:e>
              </m:d>
              <m:d>
                <m:dPr>
                  <m:begChr m:val="|"/>
                  <m:endChr m:val="|"/>
                  <m:sepChr m:val=""/>
                  <m:grow/>
                </m:dPr>
                <m:e>
                  <m:sSub>
                    <m:e>
                      <m:r>
                        <m:t>N</m:t>
                      </m:r>
                    </m:e>
                    <m:sub>
                      <m:r>
                        <m:t>b</m:t>
                      </m:r>
                    </m:sub>
                  </m:sSub>
                </m:e>
              </m:d>
            </m:den>
          </m:f>
          <m:nary>
            <m:naryPr>
              <m:chr m:val="∑"/>
              <m:limLoc m:val="undOvr"/>
              <m:subHide m:val="0"/>
              <m:supHide m:val="1"/>
            </m:naryPr>
            <m:sub>
              <m:r>
                <m:t>i</m:t>
              </m:r>
              <m:r>
                <m:rPr>
                  <m:sty m:val="p"/>
                </m:rPr>
                <m:t>∈</m:t>
              </m:r>
              <m:sSub>
                <m:e>
                  <m:r>
                    <m:t>N</m:t>
                  </m:r>
                </m:e>
                <m:sub>
                  <m:r>
                    <m:t>a</m:t>
                  </m:r>
                </m:sub>
              </m:sSub>
            </m:sub>
            <m:sup>
              <m:r>
                <m:t>​</m:t>
              </m:r>
            </m:sup>
            <m:e>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e>
          </m:nary>
        </m:oMath>
      </m:oMathPara>
    </w:p>
    <w:bookmarkEnd w:id="94"/>
    <w:bookmarkStart w:id="109" w:name="b.-intervention-algorithm"/>
    <w:p>
      <w:pPr>
        <w:pStyle w:val="Heading2"/>
      </w:pPr>
      <w:r>
        <w:t xml:space="preserve">B. Intervention algorithm</w:t>
      </w:r>
    </w:p>
    <w:p>
      <w:pPr>
        <w:pStyle w:val="FirstParagraph"/>
      </w:pPr>
      <w:r>
        <w:t xml:space="preserve">The algorithm governing the intervention is as follows:</w:t>
      </w:r>
    </w:p>
    <w:p>
      <w:pPr>
        <w:numPr>
          <w:ilvl w:val="0"/>
          <w:numId w:val="1016"/>
        </w:numPr>
      </w:pPr>
      <w:r>
        <w:t xml:space="preserve">Rank community districts according to intervention strategy</w:t>
      </w:r>
    </w:p>
    <w:p>
      <w:pPr>
        <w:numPr>
          <w:ilvl w:val="0"/>
          <w:numId w:val="1016"/>
        </w:numPr>
      </w:pPr>
      <w:r>
        <w:t xml:space="preserve">Immunize the top-ranked community district</w:t>
      </w:r>
    </w:p>
    <w:p>
      <w:pPr>
        <w:numPr>
          <w:ilvl w:val="0"/>
          <w:numId w:val="1016"/>
        </w:numPr>
      </w:pPr>
      <w:r>
        <w:t xml:space="preserve">Construct MPX NYC Community district participant overlap network and MPX NYC participant spatial overlap network after removing immunized individuals</w:t>
      </w:r>
    </w:p>
    <w:p>
      <w:pPr>
        <w:numPr>
          <w:ilvl w:val="0"/>
          <w:numId w:val="1016"/>
        </w:numPr>
      </w:pPr>
      <w:r>
        <w:t xml:space="preserve">Repeat steps 1-3 until all individuals are immunized</w:t>
      </w:r>
    </w:p>
    <w:bookmarkStart w:id="108" w:name="refs"/>
    <w:bookmarkStart w:id="96" w:name="ref-federal"/>
    <w:p>
      <w:pPr>
        <w:pStyle w:val="Bibliography"/>
      </w:pPr>
      <w:r>
        <w:t xml:space="preserve">“Federal Communications Commission API.”</w:t>
      </w:r>
      <w:r>
        <w:t xml:space="preserve"> </w:t>
      </w:r>
      <w:r>
        <w:t xml:space="preserve">n.d.</w:t>
      </w:r>
      <w:r>
        <w:t xml:space="preserve"> </w:t>
      </w:r>
      <w:hyperlink r:id="rId95">
        <w:r>
          <w:rPr>
            <w:rStyle w:val="Hyperlink"/>
          </w:rPr>
          <w:t xml:space="preserve">https://www.fcc.gov/reports-research/developers/api-terms-service</w:t>
        </w:r>
      </w:hyperlink>
      <w:r>
        <w:t xml:space="preserve">.</w:t>
      </w:r>
    </w:p>
    <w:bookmarkEnd w:id="96"/>
    <w:bookmarkStart w:id="98" w:name="ref-google2024"/>
    <w:p>
      <w:pPr>
        <w:pStyle w:val="Bibliography"/>
      </w:pPr>
      <w:r>
        <w:t xml:space="preserve">Google. 2024.</w:t>
      </w:r>
      <w:r>
        <w:t xml:space="preserve"> </w:t>
      </w:r>
      <w:r>
        <w:t xml:space="preserve">“Maps JavaScript API.”</w:t>
      </w:r>
      <w:r>
        <w:t xml:space="preserve"> </w:t>
      </w:r>
      <w:hyperlink r:id="rId97">
        <w:r>
          <w:rPr>
            <w:rStyle w:val="Hyperlink"/>
          </w:rPr>
          <w:t xml:space="preserve">https://developers.google.com/maps/documentation/javascript</w:t>
        </w:r>
      </w:hyperlink>
      <w:r>
        <w:t xml:space="preserve">.</w:t>
      </w:r>
    </w:p>
    <w:bookmarkEnd w:id="98"/>
    <w:bookmarkStart w:id="100" w:name="ref-neo4j2024"/>
    <w:p>
      <w:pPr>
        <w:pStyle w:val="Bibliography"/>
      </w:pPr>
      <w:r>
        <w:t xml:space="preserve">Neo4j. 2024.</w:t>
      </w:r>
      <w:r>
        <w:t xml:space="preserve"> </w:t>
      </w:r>
      <w:r>
        <w:t xml:space="preserve">“Neo4j Documentation.”</w:t>
      </w:r>
      <w:r>
        <w:t xml:space="preserve"> </w:t>
      </w:r>
      <w:hyperlink r:id="rId99">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00"/>
    <w:bookmarkStart w:id="102" w:name="ref-nextjsd2024"/>
    <w:p>
      <w:pPr>
        <w:pStyle w:val="Bibliography"/>
      </w:pPr>
      <w:r>
        <w:t xml:space="preserve">“NextJS Documentation.”</w:t>
      </w:r>
      <w:r>
        <w:t xml:space="preserve"> </w:t>
      </w:r>
      <w:r>
        <w:t xml:space="preserve">2024.</w:t>
      </w:r>
      <w:r>
        <w:t xml:space="preserve"> </w:t>
      </w:r>
      <w:hyperlink r:id="rId101">
        <w:r>
          <w:rPr>
            <w:rStyle w:val="Hyperlink"/>
          </w:rPr>
          <w:t xml:space="preserve">https://nextjs.org/docs</w:t>
        </w:r>
      </w:hyperlink>
      <w:r>
        <w:t xml:space="preserve">.</w:t>
      </w:r>
    </w:p>
    <w:bookmarkEnd w:id="102"/>
    <w:bookmarkStart w:id="104" w:name="ref-nycopendata2022"/>
    <w:p>
      <w:pPr>
        <w:pStyle w:val="Bibliography"/>
      </w:pPr>
      <w:r>
        <w:t xml:space="preserve">NYC OpenData. 2022.</w:t>
      </w:r>
      <w:r>
        <w:t xml:space="preserve"> </w:t>
      </w:r>
      <w:r>
        <w:t xml:space="preserve">“New York City Community Districts.”</w:t>
      </w:r>
      <w:r>
        <w:t xml:space="preserve"> </w:t>
      </w:r>
      <w:hyperlink r:id="rId103">
        <w:r>
          <w:rPr>
            <w:rStyle w:val="Hyperlink"/>
          </w:rPr>
          <w:t xml:space="preserve">https://data.cityofnewyork.us/City-Government/Community-Districts/yfnk-k7r4</w:t>
        </w:r>
      </w:hyperlink>
      <w:r>
        <w:t xml:space="preserve">.</w:t>
      </w:r>
    </w:p>
    <w:bookmarkEnd w:id="104"/>
    <w:bookmarkStart w:id="105"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5"/>
    <w:bookmarkStart w:id="107" w:name="ref-uscensus2022"/>
    <w:p>
      <w:pPr>
        <w:pStyle w:val="Bibliography"/>
      </w:pPr>
      <w:r>
        <w:t xml:space="preserve">US Census. 2022.</w:t>
      </w:r>
      <w:r>
        <w:t xml:space="preserve"> </w:t>
      </w:r>
      <w:r>
        <w:t xml:space="preserve">“Census Tracts.”</w:t>
      </w:r>
      <w:r>
        <w:t xml:space="preserve"> </w:t>
      </w:r>
      <w:hyperlink r:id="rId106">
        <w:r>
          <w:rPr>
            <w:rStyle w:val="Hyperlink"/>
          </w:rPr>
          <w:t xml:space="preserve">https://www2.census.gov/geo/pdfs/education/CensusTracts.pdf</w:t>
        </w:r>
      </w:hyperlink>
      <w:r>
        <w:t xml:space="preserve">.</w:t>
      </w:r>
    </w:p>
    <w:bookmarkEnd w:id="107"/>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2024-10-30T18:59:23Z</dcterms:created>
  <dcterms:modified xsi:type="dcterms:W3CDTF">2024-10-30T18:59:23Z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Key findings and recommendations</vt:lpwstr>
  </property>
  <property fmtid="{D5CDD505-2E9C-101B-9397-08002B2CF9AE}" pid="13" name="toc-title">
    <vt:lpwstr>Table of contents</vt:lpwstr>
  </property>
</Properties>
</file>