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6A6A" w:rsidRDefault="00000000">
      <w:pPr>
        <w:pStyle w:val="Heading2"/>
        <w:keepNext w:val="0"/>
        <w:keepLines w:val="0"/>
        <w:spacing w:before="280"/>
        <w:rPr>
          <w:b/>
        </w:rPr>
      </w:pPr>
      <w:bookmarkStart w:id="0" w:name="_lso8btm5es28" w:colFirst="0" w:colLast="0"/>
      <w:bookmarkEnd w:id="0"/>
      <w:r>
        <w:rPr>
          <w:b/>
        </w:rPr>
        <w:t>Methods</w:t>
      </w:r>
    </w:p>
    <w:p w14:paraId="00000002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1" w:name="_yojwhj1xfk2w" w:colFirst="0" w:colLast="0"/>
      <w:bookmarkEnd w:id="1"/>
      <w:r>
        <w:rPr>
          <w:b/>
        </w:rPr>
        <w:t>Bioinformatics Analysis Pipeline</w:t>
      </w:r>
    </w:p>
    <w:p w14:paraId="00000003" w14:textId="77777777" w:rsidR="00836A6A" w:rsidRDefault="00836A6A">
      <w:pPr>
        <w:rPr>
          <w:sz w:val="24"/>
          <w:szCs w:val="24"/>
        </w:rPr>
      </w:pPr>
    </w:p>
    <w:p w14:paraId="00000004" w14:textId="77777777" w:rsidR="00836A6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All sequencing data was processed using a custom, reproducible pipeline developed in </w:t>
      </w:r>
      <w:proofErr w:type="spellStart"/>
      <w:r>
        <w:rPr>
          <w:sz w:val="24"/>
          <w:szCs w:val="24"/>
        </w:rPr>
        <w:t>Nextflow</w:t>
      </w:r>
      <w:proofErr w:type="spellEnd"/>
      <w:r>
        <w:rPr>
          <w:sz w:val="24"/>
          <w:szCs w:val="24"/>
        </w:rPr>
        <w:t xml:space="preserve"> (v22.10.0 or later, DSL2) [1]. The pipeline automates quality control, read alignment, peak calling, differential analysis, and data visualization. All analyses were performed against the </w:t>
      </w:r>
      <w:r>
        <w:rPr>
          <w:i/>
          <w:sz w:val="24"/>
          <w:szCs w:val="24"/>
        </w:rPr>
        <w:t>Mus musculus</w:t>
      </w:r>
      <w:r>
        <w:rPr>
          <w:sz w:val="24"/>
          <w:szCs w:val="24"/>
        </w:rPr>
        <w:t xml:space="preserve"> mm9 reference genome assembly. </w:t>
      </w:r>
    </w:p>
    <w:p w14:paraId="00000005" w14:textId="77777777" w:rsidR="00836A6A" w:rsidRDefault="00836A6A">
      <w:pPr>
        <w:ind w:firstLine="720"/>
        <w:rPr>
          <w:sz w:val="24"/>
          <w:szCs w:val="24"/>
        </w:rPr>
      </w:pPr>
    </w:p>
    <w:p w14:paraId="00000006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2" w:name="_ywq5k9785ji" w:colFirst="0" w:colLast="0"/>
      <w:bookmarkEnd w:id="2"/>
      <w:r>
        <w:rPr>
          <w:b/>
        </w:rPr>
        <w:t>Data Pre-processing and Quality Control</w:t>
      </w:r>
    </w:p>
    <w:p w14:paraId="00000007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Raw sequencing reads in FASTQ format were first assessed for quality using </w:t>
      </w:r>
      <w:proofErr w:type="spellStart"/>
      <w:r>
        <w:rPr>
          <w:sz w:val="24"/>
          <w:szCs w:val="24"/>
        </w:rPr>
        <w:t>FastQC</w:t>
      </w:r>
      <w:proofErr w:type="spellEnd"/>
      <w:r>
        <w:rPr>
          <w:sz w:val="24"/>
          <w:szCs w:val="24"/>
        </w:rPr>
        <w:t xml:space="preserve"> (v0.11.9). Adapters were trimmed using Trim Galore! (v0.6.7), which employs </w:t>
      </w:r>
      <w:proofErr w:type="spellStart"/>
      <w:r>
        <w:rPr>
          <w:sz w:val="24"/>
          <w:szCs w:val="24"/>
        </w:rPr>
        <w:t>Cutadapt</w:t>
      </w:r>
      <w:proofErr w:type="spellEnd"/>
      <w:r>
        <w:rPr>
          <w:sz w:val="24"/>
          <w:szCs w:val="24"/>
        </w:rPr>
        <w:t xml:space="preserve"> (v3.5) for adapter detection and removal. The trimming process used a </w:t>
      </w:r>
      <w:proofErr w:type="spellStart"/>
      <w:r>
        <w:rPr>
          <w:sz w:val="24"/>
          <w:szCs w:val="24"/>
        </w:rPr>
        <w:t>Phred</w:t>
      </w:r>
      <w:proofErr w:type="spellEnd"/>
      <w:r>
        <w:rPr>
          <w:sz w:val="24"/>
          <w:szCs w:val="24"/>
        </w:rPr>
        <w:t xml:space="preserve"> quality score threshold of 0, a stringency of 13 for adapter matching, and discarded reads that were shorter than 30 bp post-trimming.</w:t>
      </w:r>
    </w:p>
    <w:p w14:paraId="00000008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3" w:name="_35gfw6e25i2q" w:colFirst="0" w:colLast="0"/>
      <w:bookmarkEnd w:id="3"/>
      <w:r>
        <w:rPr>
          <w:b/>
        </w:rPr>
        <w:t>Alignment and Filtering</w:t>
      </w:r>
    </w:p>
    <w:p w14:paraId="00000009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Trimmed reads were aligned to the mm9 mouse reference genome using Bowtie2 (v2.4.5) [4] with default parameters, generating alignments in SAM format. The resulting SAM files were converted to BAM format, sorted by coordinate, and indexed using </w:t>
      </w:r>
      <w:proofErr w:type="spellStart"/>
      <w:r>
        <w:rPr>
          <w:sz w:val="24"/>
          <w:szCs w:val="24"/>
        </w:rPr>
        <w:t>Samtools</w:t>
      </w:r>
      <w:proofErr w:type="spellEnd"/>
      <w:r>
        <w:rPr>
          <w:sz w:val="24"/>
          <w:szCs w:val="24"/>
        </w:rPr>
        <w:t xml:space="preserve"> (v1.15) [5]. To improve signal quality, reads mapping to ENCODE-blacklisted regions (mm9-blacklist) were removed. Subsequently, </w:t>
      </w:r>
      <w:proofErr w:type="spellStart"/>
      <w:r>
        <w:rPr>
          <w:sz w:val="24"/>
          <w:szCs w:val="24"/>
        </w:rPr>
        <w:t>SAMbamba</w:t>
      </w:r>
      <w:proofErr w:type="spellEnd"/>
      <w:r>
        <w:rPr>
          <w:sz w:val="24"/>
          <w:szCs w:val="24"/>
        </w:rPr>
        <w:t xml:space="preserve"> (v0.8.2) [8] was used to filter for uniquely mapped reads. For paired-end datasets, only properly paired reads were retained. This final set of filtered, sorted, and indexed BAM files was used for all downstream analyses.</w:t>
      </w:r>
    </w:p>
    <w:p w14:paraId="0000000A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4" w:name="_vbk4rpk0mx38" w:colFirst="0" w:colLast="0"/>
      <w:bookmarkEnd w:id="4"/>
      <w:r>
        <w:rPr>
          <w:b/>
        </w:rPr>
        <w:t>Peak Calling</w:t>
      </w:r>
    </w:p>
    <w:p w14:paraId="0000000B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Peak calling was performed on a per-sample basis using two alternative algorithms, depending on the data type.</w:t>
      </w:r>
    </w:p>
    <w:p w14:paraId="0000000C" w14:textId="77777777" w:rsidR="00836A6A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MACS2:</w:t>
      </w:r>
      <w:r>
        <w:rPr>
          <w:sz w:val="24"/>
          <w:szCs w:val="24"/>
        </w:rPr>
        <w:t xml:space="preserve"> For transcription factor ChIP-seq, Model-based Analysis of ChIP-Seq 2 (MACS2, v2.2.7.1) [10] was the primary peak caller. Peaks were called without building a shifting model (--</w:t>
      </w:r>
      <w:proofErr w:type="spellStart"/>
      <w:r>
        <w:rPr>
          <w:sz w:val="24"/>
          <w:szCs w:val="24"/>
        </w:rPr>
        <w:t>nomodel</w:t>
      </w:r>
      <w:proofErr w:type="spellEnd"/>
      <w:r>
        <w:rPr>
          <w:sz w:val="24"/>
          <w:szCs w:val="24"/>
        </w:rPr>
        <w:t>) and by treating paired-end data as fragments (BAMPE format). Both narrow (*.</w:t>
      </w:r>
      <w:proofErr w:type="spellStart"/>
      <w:r>
        <w:rPr>
          <w:sz w:val="24"/>
          <w:szCs w:val="24"/>
        </w:rPr>
        <w:t>narrowPeak</w:t>
      </w:r>
      <w:proofErr w:type="spellEnd"/>
      <w:r>
        <w:rPr>
          <w:sz w:val="24"/>
          <w:szCs w:val="24"/>
        </w:rPr>
        <w:t>) and broad (*.</w:t>
      </w:r>
      <w:proofErr w:type="spellStart"/>
      <w:r>
        <w:rPr>
          <w:sz w:val="24"/>
          <w:szCs w:val="24"/>
        </w:rPr>
        <w:t>broadPeak</w:t>
      </w:r>
      <w:proofErr w:type="spellEnd"/>
      <w:r>
        <w:rPr>
          <w:sz w:val="24"/>
          <w:szCs w:val="24"/>
        </w:rPr>
        <w:t>) peak calls were generated for each sample.</w:t>
      </w:r>
    </w:p>
    <w:p w14:paraId="0000000D" w14:textId="43932087" w:rsidR="00836A6A" w:rsidRDefault="00000000">
      <w:pPr>
        <w:numPr>
          <w:ilvl w:val="0"/>
          <w:numId w:val="2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EPIC2:</w:t>
      </w:r>
      <w:r>
        <w:rPr>
          <w:sz w:val="24"/>
          <w:szCs w:val="24"/>
        </w:rPr>
        <w:t xml:space="preserve"> For histone modifications </w:t>
      </w:r>
      <w:r w:rsidR="0097192D">
        <w:rPr>
          <w:sz w:val="24"/>
          <w:szCs w:val="24"/>
        </w:rPr>
        <w:t>that generate broad peak regions (e.g., H3-K27me3)</w:t>
      </w:r>
      <w:r>
        <w:rPr>
          <w:sz w:val="24"/>
          <w:szCs w:val="24"/>
        </w:rPr>
        <w:t>, EPIC2 (v0.0.52) (</w:t>
      </w:r>
      <w:proofErr w:type="spellStart"/>
      <w:r>
        <w:rPr>
          <w:sz w:val="24"/>
          <w:szCs w:val="24"/>
        </w:rPr>
        <w:t>Stovner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Sætrom</w:t>
      </w:r>
      <w:proofErr w:type="spellEnd"/>
      <w:r>
        <w:rPr>
          <w:sz w:val="24"/>
          <w:szCs w:val="24"/>
        </w:rPr>
        <w:t>, 2019) was used as an alternative. EPIC2 was run with an effective genome fraction of 0.80, a bin size of 400 bp, a gap size of 2400 bp, and a significance E-value of 100.</w:t>
      </w:r>
    </w:p>
    <w:p w14:paraId="0000000E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 consensus peak set was generated by merging the primary peak calls (.</w:t>
      </w:r>
      <w:proofErr w:type="spellStart"/>
      <w:r>
        <w:rPr>
          <w:sz w:val="24"/>
          <w:szCs w:val="24"/>
        </w:rPr>
        <w:t>narrowPeak</w:t>
      </w:r>
      <w:proofErr w:type="spellEnd"/>
      <w:r>
        <w:rPr>
          <w:sz w:val="24"/>
          <w:szCs w:val="24"/>
        </w:rPr>
        <w:t xml:space="preserve"> from MACS2 or .bed from EPIC2) from all samples using </w:t>
      </w:r>
      <w:proofErr w:type="spellStart"/>
      <w:r>
        <w:rPr>
          <w:sz w:val="24"/>
          <w:szCs w:val="24"/>
        </w:rPr>
        <w:t>bedtools</w:t>
      </w:r>
      <w:proofErr w:type="spellEnd"/>
      <w:r>
        <w:rPr>
          <w:sz w:val="24"/>
          <w:szCs w:val="24"/>
        </w:rPr>
        <w:t xml:space="preserve"> merge (v2.30.0) [6].</w:t>
      </w:r>
    </w:p>
    <w:p w14:paraId="0000000F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5" w:name="_gt5863wyqz51" w:colFirst="0" w:colLast="0"/>
      <w:bookmarkEnd w:id="5"/>
      <w:r>
        <w:rPr>
          <w:b/>
        </w:rPr>
        <w:t>Signal Track Generation and Normalization</w:t>
      </w:r>
    </w:p>
    <w:p w14:paraId="00000010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For data visualization, signal tracks were generated in </w:t>
      </w:r>
      <w:proofErr w:type="spellStart"/>
      <w:r>
        <w:rPr>
          <w:sz w:val="24"/>
          <w:szCs w:val="24"/>
        </w:rPr>
        <w:t>BigWig</w:t>
      </w:r>
      <w:proofErr w:type="spellEnd"/>
      <w:r>
        <w:rPr>
          <w:sz w:val="24"/>
          <w:szCs w:val="24"/>
        </w:rPr>
        <w:t xml:space="preserve"> format. First, fragment coverage was calculated across the genome using </w:t>
      </w:r>
      <w:proofErr w:type="spellStart"/>
      <w:r>
        <w:rPr>
          <w:sz w:val="24"/>
          <w:szCs w:val="24"/>
        </w:rPr>
        <w:t>bedtools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genomecov</w:t>
      </w:r>
      <w:proofErr w:type="spellEnd"/>
      <w:r>
        <w:rPr>
          <w:sz w:val="24"/>
          <w:szCs w:val="24"/>
        </w:rPr>
        <w:t xml:space="preserve">, producing a </w:t>
      </w:r>
      <w:proofErr w:type="spellStart"/>
      <w:r>
        <w:rPr>
          <w:sz w:val="24"/>
          <w:szCs w:val="24"/>
        </w:rPr>
        <w:t>bedGraph</w:t>
      </w:r>
      <w:proofErr w:type="spellEnd"/>
      <w:r>
        <w:rPr>
          <w:sz w:val="24"/>
          <w:szCs w:val="24"/>
        </w:rPr>
        <w:t xml:space="preserve"> file. To normalize for sequencing depth and signal-to-noise ratio, a "Reads in Peaks per Million" (</w:t>
      </w:r>
      <w:proofErr w:type="spellStart"/>
      <w:r>
        <w:rPr>
          <w:sz w:val="24"/>
          <w:szCs w:val="24"/>
        </w:rPr>
        <w:t>RiPPM</w:t>
      </w:r>
      <w:proofErr w:type="spellEnd"/>
      <w:r>
        <w:rPr>
          <w:sz w:val="24"/>
          <w:szCs w:val="24"/>
        </w:rPr>
        <w:t>) scaling factor was calculated for each sample. This factor was derived from the total number of fragments and the fraction of fragments in peaks (</w:t>
      </w:r>
      <w:proofErr w:type="spellStart"/>
      <w:r>
        <w:rPr>
          <w:sz w:val="24"/>
          <w:szCs w:val="24"/>
        </w:rPr>
        <w:t>FRiP</w:t>
      </w:r>
      <w:proofErr w:type="spellEnd"/>
      <w:r>
        <w:rPr>
          <w:sz w:val="24"/>
          <w:szCs w:val="24"/>
        </w:rPr>
        <w:t xml:space="preserve"> score), which was determined using </w:t>
      </w:r>
      <w:proofErr w:type="spellStart"/>
      <w:r>
        <w:rPr>
          <w:sz w:val="24"/>
          <w:szCs w:val="24"/>
        </w:rPr>
        <w:t>bedtools</w:t>
      </w:r>
      <w:proofErr w:type="spellEnd"/>
      <w:r>
        <w:rPr>
          <w:sz w:val="24"/>
          <w:szCs w:val="24"/>
        </w:rPr>
        <w:t xml:space="preserve"> coverage against the consensus peak set. The </w:t>
      </w:r>
      <w:proofErr w:type="spellStart"/>
      <w:r>
        <w:rPr>
          <w:sz w:val="24"/>
          <w:szCs w:val="24"/>
        </w:rPr>
        <w:t>bedGraph</w:t>
      </w:r>
      <w:proofErr w:type="spellEnd"/>
      <w:r>
        <w:rPr>
          <w:sz w:val="24"/>
          <w:szCs w:val="24"/>
        </w:rPr>
        <w:t xml:space="preserve"> signal was multiplied by this </w:t>
      </w:r>
      <w:proofErr w:type="spellStart"/>
      <w:r>
        <w:rPr>
          <w:sz w:val="24"/>
          <w:szCs w:val="24"/>
        </w:rPr>
        <w:t>RiPPM</w:t>
      </w:r>
      <w:proofErr w:type="spellEnd"/>
      <w:r>
        <w:rPr>
          <w:sz w:val="24"/>
          <w:szCs w:val="24"/>
        </w:rPr>
        <w:t xml:space="preserve"> factor, and the resulting normalized signal was converted into a </w:t>
      </w:r>
      <w:proofErr w:type="spellStart"/>
      <w:r>
        <w:rPr>
          <w:sz w:val="24"/>
          <w:szCs w:val="24"/>
        </w:rPr>
        <w:t>BigWig</w:t>
      </w:r>
      <w:proofErr w:type="spellEnd"/>
      <w:r>
        <w:rPr>
          <w:sz w:val="24"/>
          <w:szCs w:val="24"/>
        </w:rPr>
        <w:t xml:space="preserve"> file using the </w:t>
      </w:r>
      <w:proofErr w:type="spellStart"/>
      <w:r>
        <w:rPr>
          <w:sz w:val="24"/>
          <w:szCs w:val="24"/>
        </w:rPr>
        <w:t>bedGraphToBigWig</w:t>
      </w:r>
      <w:proofErr w:type="spellEnd"/>
      <w:r>
        <w:rPr>
          <w:sz w:val="24"/>
          <w:szCs w:val="24"/>
        </w:rPr>
        <w:t xml:space="preserve"> utility from UCSC tools (v424) [3]. For visualization of sample groups, </w:t>
      </w:r>
      <w:proofErr w:type="spellStart"/>
      <w:r>
        <w:rPr>
          <w:sz w:val="24"/>
          <w:szCs w:val="24"/>
        </w:rPr>
        <w:t>BigWig</w:t>
      </w:r>
      <w:proofErr w:type="spellEnd"/>
      <w:r>
        <w:rPr>
          <w:sz w:val="24"/>
          <w:szCs w:val="24"/>
        </w:rPr>
        <w:t xml:space="preserve"> files from constituent samples were merged and averaged using </w:t>
      </w:r>
      <w:proofErr w:type="spellStart"/>
      <w:r>
        <w:rPr>
          <w:sz w:val="24"/>
          <w:szCs w:val="24"/>
        </w:rPr>
        <w:t>WiggleTools</w:t>
      </w:r>
      <w:proofErr w:type="spellEnd"/>
      <w:r>
        <w:rPr>
          <w:sz w:val="24"/>
          <w:szCs w:val="24"/>
        </w:rPr>
        <w:t xml:space="preserve"> (v1.2.11).</w:t>
      </w:r>
    </w:p>
    <w:p w14:paraId="00000011" w14:textId="55EBC9A6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6" w:name="_6dsf7de2xpgd" w:colFirst="0" w:colLast="0"/>
      <w:bookmarkEnd w:id="6"/>
      <w:r>
        <w:rPr>
          <w:b/>
        </w:rPr>
        <w:t xml:space="preserve">Differential </w:t>
      </w:r>
      <w:r w:rsidR="00AB18B2">
        <w:rPr>
          <w:b/>
        </w:rPr>
        <w:t>Peak</w:t>
      </w:r>
      <w:r>
        <w:rPr>
          <w:b/>
        </w:rPr>
        <w:t xml:space="preserve"> Analysis</w:t>
      </w:r>
    </w:p>
    <w:p w14:paraId="00000012" w14:textId="610C8503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identify statistically significant differential binding sites</w:t>
      </w:r>
      <w:r w:rsidR="00AB18B2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AB18B2">
        <w:rPr>
          <w:sz w:val="24"/>
          <w:szCs w:val="24"/>
        </w:rPr>
        <w:t xml:space="preserve">or differential chromatic accessibility, </w:t>
      </w:r>
      <w:r>
        <w:rPr>
          <w:sz w:val="24"/>
          <w:szCs w:val="24"/>
        </w:rPr>
        <w:t xml:space="preserve">between experimental conditions, two complementary methods were employed </w:t>
      </w:r>
      <w:r w:rsidR="00AB18B2">
        <w:rPr>
          <w:sz w:val="24"/>
          <w:szCs w:val="24"/>
        </w:rPr>
        <w:t>using</w:t>
      </w:r>
      <w:r>
        <w:rPr>
          <w:sz w:val="24"/>
          <w:szCs w:val="24"/>
        </w:rPr>
        <w:t xml:space="preserve"> custom </w:t>
      </w:r>
      <w:proofErr w:type="spellStart"/>
      <w:r>
        <w:rPr>
          <w:sz w:val="24"/>
          <w:szCs w:val="24"/>
        </w:rPr>
        <w:t>subworkflows</w:t>
      </w:r>
      <w:proofErr w:type="spellEnd"/>
      <w:r>
        <w:rPr>
          <w:sz w:val="24"/>
          <w:szCs w:val="24"/>
        </w:rPr>
        <w:t>:</w:t>
      </w:r>
    </w:p>
    <w:p w14:paraId="00000013" w14:textId="4B60DEF4" w:rsidR="00836A6A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DIFFREPS:</w:t>
      </w:r>
      <w:r>
        <w:rPr>
          <w:sz w:val="24"/>
          <w:szCs w:val="24"/>
        </w:rPr>
        <w:t xml:space="preserve"> A count-based differential analysis was performed using a custom workflow</w:t>
      </w:r>
      <w:r w:rsidR="00941551">
        <w:rPr>
          <w:sz w:val="24"/>
          <w:szCs w:val="24"/>
        </w:rPr>
        <w:t xml:space="preserve">. </w:t>
      </w:r>
      <w:r>
        <w:rPr>
          <w:sz w:val="24"/>
          <w:szCs w:val="24"/>
        </w:rPr>
        <w:t>This method utilized read counts within consensus peak regions and the pre-calculated normalization factors to identify significant changes.</w:t>
      </w:r>
    </w:p>
    <w:p w14:paraId="00000014" w14:textId="77777777" w:rsidR="00836A6A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MAnorm2:</w:t>
      </w:r>
      <w:r>
        <w:rPr>
          <w:sz w:val="24"/>
          <w:szCs w:val="24"/>
        </w:rPr>
        <w:t xml:space="preserve"> The MAnorm2 (v1.3.0) package in R [9] was used to compare and normalize ChIP-seq signals based on the assumption that most binding sites are common between conditions. MAnorm2 was run on fragment files and the per-sample peak sets.</w:t>
      </w:r>
    </w:p>
    <w:p w14:paraId="00000015" w14:textId="77777777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Results from both methods were systematically compared to identify a high-confidence set of differential sites.</w:t>
      </w:r>
    </w:p>
    <w:p w14:paraId="00000016" w14:textId="77777777" w:rsidR="00836A6A" w:rsidRDefault="00000000">
      <w:pPr>
        <w:pStyle w:val="Heading3"/>
        <w:keepNext w:val="0"/>
        <w:keepLines w:val="0"/>
        <w:spacing w:before="240" w:after="40"/>
        <w:rPr>
          <w:b/>
        </w:rPr>
      </w:pPr>
      <w:bookmarkStart w:id="7" w:name="_y0b7pq1rjznf" w:colFirst="0" w:colLast="0"/>
      <w:bookmarkEnd w:id="7"/>
      <w:r>
        <w:rPr>
          <w:b/>
        </w:rPr>
        <w:t>Comprehensive Quality Assessment and Reporting</w:t>
      </w:r>
    </w:p>
    <w:p w14:paraId="00000017" w14:textId="5B1C255B" w:rsidR="00836A6A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Post-alignment quality metrics were collected for each sample using Picard Tools (v2.27.1), including </w:t>
      </w:r>
      <w:proofErr w:type="spellStart"/>
      <w:r>
        <w:rPr>
          <w:sz w:val="24"/>
          <w:szCs w:val="24"/>
        </w:rPr>
        <w:t>CollectMultipleMetrics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CollectInsertSizeMetrics</w:t>
      </w:r>
      <w:proofErr w:type="spellEnd"/>
      <w:r>
        <w:rPr>
          <w:sz w:val="24"/>
          <w:szCs w:val="24"/>
        </w:rPr>
        <w:t xml:space="preserve"> for paired-end </w:t>
      </w:r>
      <w:r w:rsidR="00AB18B2">
        <w:rPr>
          <w:sz w:val="24"/>
          <w:szCs w:val="24"/>
        </w:rPr>
        <w:lastRenderedPageBreak/>
        <w:t xml:space="preserve">read </w:t>
      </w:r>
      <w:r>
        <w:rPr>
          <w:sz w:val="24"/>
          <w:szCs w:val="24"/>
        </w:rPr>
        <w:t xml:space="preserve">libraries. Finally, a comprehensive quality control report was generated by aggregating results from </w:t>
      </w:r>
      <w:proofErr w:type="spellStart"/>
      <w:r>
        <w:rPr>
          <w:sz w:val="24"/>
          <w:szCs w:val="24"/>
        </w:rPr>
        <w:t>FastQC</w:t>
      </w:r>
      <w:proofErr w:type="spellEnd"/>
      <w:r>
        <w:rPr>
          <w:sz w:val="24"/>
          <w:szCs w:val="24"/>
        </w:rPr>
        <w:t xml:space="preserve">, Bowtie2, </w:t>
      </w:r>
      <w:proofErr w:type="spellStart"/>
      <w:r>
        <w:rPr>
          <w:sz w:val="24"/>
          <w:szCs w:val="24"/>
        </w:rPr>
        <w:t>Samtools</w:t>
      </w:r>
      <w:proofErr w:type="spellEnd"/>
      <w:r>
        <w:rPr>
          <w:sz w:val="24"/>
          <w:szCs w:val="24"/>
        </w:rPr>
        <w:t xml:space="preserve">, Picard, and MACS2 using </w:t>
      </w:r>
      <w:proofErr w:type="spellStart"/>
      <w:r>
        <w:rPr>
          <w:sz w:val="24"/>
          <w:szCs w:val="24"/>
        </w:rPr>
        <w:t>MultiQC</w:t>
      </w:r>
      <w:proofErr w:type="spellEnd"/>
      <w:r>
        <w:rPr>
          <w:sz w:val="24"/>
          <w:szCs w:val="24"/>
        </w:rPr>
        <w:t xml:space="preserve"> (v1.13) [2]. This provided a holistic overview of data quality, alignment rates, library complexity, and peak calling statistics across all samples.</w:t>
      </w:r>
    </w:p>
    <w:p w14:paraId="00000018" w14:textId="77777777" w:rsidR="00836A6A" w:rsidRDefault="00836A6A">
      <w:pPr>
        <w:spacing w:before="240" w:after="240"/>
        <w:rPr>
          <w:sz w:val="24"/>
          <w:szCs w:val="24"/>
        </w:rPr>
      </w:pPr>
    </w:p>
    <w:p w14:paraId="00000019" w14:textId="77777777" w:rsidR="00836A6A" w:rsidRDefault="00000000">
      <w:pPr>
        <w:pStyle w:val="Heading3"/>
        <w:spacing w:after="240"/>
      </w:pPr>
      <w:bookmarkStart w:id="8" w:name="_pj2jdm29tr15" w:colFirst="0" w:colLast="0"/>
      <w:bookmarkEnd w:id="8"/>
      <w:r>
        <w:rPr>
          <w:b/>
        </w:rPr>
        <w:t>References</w:t>
      </w:r>
      <w:r>
        <w:t xml:space="preserve"> </w:t>
      </w:r>
    </w:p>
    <w:p w14:paraId="0000001A" w14:textId="77777777" w:rsidR="00836A6A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Di Tommaso, P., </w:t>
      </w:r>
      <w:proofErr w:type="spellStart"/>
      <w:r>
        <w:rPr>
          <w:sz w:val="24"/>
          <w:szCs w:val="24"/>
        </w:rPr>
        <w:t>Chatzou</w:t>
      </w:r>
      <w:proofErr w:type="spellEnd"/>
      <w:r>
        <w:rPr>
          <w:sz w:val="24"/>
          <w:szCs w:val="24"/>
        </w:rPr>
        <w:t xml:space="preserve">, M., </w:t>
      </w:r>
      <w:proofErr w:type="spellStart"/>
      <w:r>
        <w:rPr>
          <w:sz w:val="24"/>
          <w:szCs w:val="24"/>
        </w:rPr>
        <w:t>Floden</w:t>
      </w:r>
      <w:proofErr w:type="spellEnd"/>
      <w:r>
        <w:rPr>
          <w:sz w:val="24"/>
          <w:szCs w:val="24"/>
        </w:rPr>
        <w:t xml:space="preserve">, E. W., </w:t>
      </w:r>
      <w:proofErr w:type="spellStart"/>
      <w:r>
        <w:rPr>
          <w:sz w:val="24"/>
          <w:szCs w:val="24"/>
        </w:rPr>
        <w:t>Barja</w:t>
      </w:r>
      <w:proofErr w:type="spellEnd"/>
      <w:r>
        <w:rPr>
          <w:sz w:val="24"/>
          <w:szCs w:val="24"/>
        </w:rPr>
        <w:t xml:space="preserve">, P. P., Palumbo, E., &amp; </w:t>
      </w:r>
      <w:proofErr w:type="spellStart"/>
      <w:r>
        <w:rPr>
          <w:sz w:val="24"/>
          <w:szCs w:val="24"/>
        </w:rPr>
        <w:t>Notredame</w:t>
      </w:r>
      <w:proofErr w:type="spellEnd"/>
      <w:r>
        <w:rPr>
          <w:sz w:val="24"/>
          <w:szCs w:val="24"/>
        </w:rPr>
        <w:t xml:space="preserve">, C. (2017). </w:t>
      </w:r>
      <w:proofErr w:type="spellStart"/>
      <w:r>
        <w:rPr>
          <w:sz w:val="24"/>
          <w:szCs w:val="24"/>
        </w:rPr>
        <w:t>Nextflow</w:t>
      </w:r>
      <w:proofErr w:type="spellEnd"/>
      <w:r>
        <w:rPr>
          <w:sz w:val="24"/>
          <w:szCs w:val="24"/>
        </w:rPr>
        <w:t xml:space="preserve"> enables reproducible computational workflows. </w:t>
      </w:r>
      <w:r>
        <w:rPr>
          <w:i/>
          <w:sz w:val="24"/>
          <w:szCs w:val="24"/>
        </w:rPr>
        <w:t>Nature Biotechnology</w:t>
      </w:r>
      <w:r>
        <w:rPr>
          <w:sz w:val="24"/>
          <w:szCs w:val="24"/>
        </w:rPr>
        <w:t xml:space="preserve">, 35(4), 316–319. PMID: 28398311. </w:t>
      </w:r>
    </w:p>
    <w:p w14:paraId="0000001B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Ewels</w:t>
      </w:r>
      <w:proofErr w:type="spellEnd"/>
      <w:r>
        <w:rPr>
          <w:sz w:val="24"/>
          <w:szCs w:val="24"/>
        </w:rPr>
        <w:t xml:space="preserve">, P., Magnusson, M., Lundin, S., &amp; </w:t>
      </w:r>
      <w:proofErr w:type="spellStart"/>
      <w:r>
        <w:rPr>
          <w:sz w:val="24"/>
          <w:szCs w:val="24"/>
        </w:rPr>
        <w:t>Käller</w:t>
      </w:r>
      <w:proofErr w:type="spellEnd"/>
      <w:r>
        <w:rPr>
          <w:sz w:val="24"/>
          <w:szCs w:val="24"/>
        </w:rPr>
        <w:t xml:space="preserve">, M. (2016). </w:t>
      </w:r>
      <w:proofErr w:type="spellStart"/>
      <w:r>
        <w:rPr>
          <w:sz w:val="24"/>
          <w:szCs w:val="24"/>
        </w:rPr>
        <w:t>MultiQC</w:t>
      </w:r>
      <w:proofErr w:type="spellEnd"/>
      <w:r>
        <w:rPr>
          <w:sz w:val="24"/>
          <w:szCs w:val="24"/>
        </w:rPr>
        <w:t xml:space="preserve">: summarize analysis results for multiple tools and samples in a single report. </w:t>
      </w:r>
      <w:r>
        <w:rPr>
          <w:i/>
          <w:sz w:val="24"/>
          <w:szCs w:val="24"/>
        </w:rPr>
        <w:t>Bioinformatics</w:t>
      </w:r>
      <w:r>
        <w:rPr>
          <w:sz w:val="24"/>
          <w:szCs w:val="24"/>
        </w:rPr>
        <w:t xml:space="preserve">, 32(19), 3047–3048. PMID: 27312411. </w:t>
      </w:r>
    </w:p>
    <w:p w14:paraId="0000001C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Kent, W. J., et al. (2002). The human genome browser at UCSC. </w:t>
      </w:r>
      <w:r>
        <w:rPr>
          <w:i/>
          <w:sz w:val="24"/>
          <w:szCs w:val="24"/>
        </w:rPr>
        <w:t>Genome Research</w:t>
      </w:r>
      <w:r>
        <w:rPr>
          <w:sz w:val="24"/>
          <w:szCs w:val="24"/>
        </w:rPr>
        <w:t xml:space="preserve">, 12(6), 996-1006. PMID: 12045153. </w:t>
      </w:r>
    </w:p>
    <w:p w14:paraId="0000001D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Langmead, B., &amp; </w:t>
      </w:r>
      <w:proofErr w:type="spellStart"/>
      <w:r>
        <w:rPr>
          <w:sz w:val="24"/>
          <w:szCs w:val="24"/>
        </w:rPr>
        <w:t>Salzberg</w:t>
      </w:r>
      <w:proofErr w:type="spellEnd"/>
      <w:r>
        <w:rPr>
          <w:sz w:val="24"/>
          <w:szCs w:val="24"/>
        </w:rPr>
        <w:t xml:space="preserve">, S. L. (2012). Fast gapped-read alignment with Bowtie 2. </w:t>
      </w:r>
      <w:r>
        <w:rPr>
          <w:i/>
          <w:sz w:val="24"/>
          <w:szCs w:val="24"/>
        </w:rPr>
        <w:t>Nature Methods</w:t>
      </w:r>
      <w:r>
        <w:rPr>
          <w:sz w:val="24"/>
          <w:szCs w:val="24"/>
        </w:rPr>
        <w:t xml:space="preserve">, 9(4), 357–359. PMID: 22388286. </w:t>
      </w:r>
    </w:p>
    <w:p w14:paraId="0000001E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Li, H., et al. (2009). The Sequence Alignment/Map format and </w:t>
      </w:r>
      <w:proofErr w:type="spellStart"/>
      <w:r>
        <w:rPr>
          <w:sz w:val="24"/>
          <w:szCs w:val="24"/>
        </w:rPr>
        <w:t>SAMtools</w:t>
      </w:r>
      <w:proofErr w:type="spellEnd"/>
      <w:r>
        <w:rPr>
          <w:sz w:val="24"/>
          <w:szCs w:val="24"/>
        </w:rPr>
        <w:t xml:space="preserve">. </w:t>
      </w:r>
      <w:r>
        <w:rPr>
          <w:i/>
          <w:sz w:val="24"/>
          <w:szCs w:val="24"/>
        </w:rPr>
        <w:t>Bioinformatics</w:t>
      </w:r>
      <w:r>
        <w:rPr>
          <w:sz w:val="24"/>
          <w:szCs w:val="24"/>
        </w:rPr>
        <w:t xml:space="preserve">, 25(16), 2078–2079. PMID: 19505943. </w:t>
      </w:r>
    </w:p>
    <w:p w14:paraId="0000001F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Quinlan, A. R., &amp; Hall, I. M. (2010). </w:t>
      </w:r>
      <w:proofErr w:type="spellStart"/>
      <w:r>
        <w:rPr>
          <w:sz w:val="24"/>
          <w:szCs w:val="24"/>
        </w:rPr>
        <w:t>BEDTools</w:t>
      </w:r>
      <w:proofErr w:type="spellEnd"/>
      <w:r>
        <w:rPr>
          <w:sz w:val="24"/>
          <w:szCs w:val="24"/>
        </w:rPr>
        <w:t xml:space="preserve">: a flexible suite of utilities for comparing genomic features. </w:t>
      </w:r>
      <w:r>
        <w:rPr>
          <w:i/>
          <w:sz w:val="24"/>
          <w:szCs w:val="24"/>
        </w:rPr>
        <w:t>Bioinformatics</w:t>
      </w:r>
      <w:r>
        <w:rPr>
          <w:sz w:val="24"/>
          <w:szCs w:val="24"/>
        </w:rPr>
        <w:t xml:space="preserve">, 26(6), 841–842. PMID: 20110278. </w:t>
      </w:r>
    </w:p>
    <w:p w14:paraId="00000020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Stovner</w:t>
      </w:r>
      <w:proofErr w:type="spellEnd"/>
      <w:r>
        <w:rPr>
          <w:sz w:val="24"/>
          <w:szCs w:val="24"/>
        </w:rPr>
        <w:t xml:space="preserve">, E. B., &amp; </w:t>
      </w:r>
      <w:proofErr w:type="spellStart"/>
      <w:r>
        <w:rPr>
          <w:sz w:val="24"/>
          <w:szCs w:val="24"/>
        </w:rPr>
        <w:t>Sætrom</w:t>
      </w:r>
      <w:proofErr w:type="spellEnd"/>
      <w:r>
        <w:rPr>
          <w:sz w:val="24"/>
          <w:szCs w:val="24"/>
        </w:rPr>
        <w:t xml:space="preserve">, P. (2019). EPIC2: a software for enhancer-promoter interaction calling and epigenome-based gene regulatory network reconstruction. </w:t>
      </w:r>
      <w:r>
        <w:rPr>
          <w:i/>
          <w:sz w:val="24"/>
          <w:szCs w:val="24"/>
        </w:rPr>
        <w:t>BMC Bioinformatics</w:t>
      </w:r>
      <w:r>
        <w:rPr>
          <w:sz w:val="24"/>
          <w:szCs w:val="24"/>
        </w:rPr>
        <w:t xml:space="preserve">, 20(1), 405. PMID: 30923821. </w:t>
      </w:r>
    </w:p>
    <w:p w14:paraId="00000021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Tarasov, A., </w:t>
      </w:r>
      <w:proofErr w:type="spellStart"/>
      <w:r>
        <w:rPr>
          <w:sz w:val="24"/>
          <w:szCs w:val="24"/>
        </w:rPr>
        <w:t>Vilella</w:t>
      </w:r>
      <w:proofErr w:type="spellEnd"/>
      <w:r>
        <w:rPr>
          <w:sz w:val="24"/>
          <w:szCs w:val="24"/>
        </w:rPr>
        <w:t xml:space="preserve">, A. J., </w:t>
      </w:r>
      <w:proofErr w:type="spellStart"/>
      <w:r>
        <w:rPr>
          <w:sz w:val="24"/>
          <w:szCs w:val="24"/>
        </w:rPr>
        <w:t>Cuppen</w:t>
      </w:r>
      <w:proofErr w:type="spellEnd"/>
      <w:r>
        <w:rPr>
          <w:sz w:val="24"/>
          <w:szCs w:val="24"/>
        </w:rPr>
        <w:t xml:space="preserve">, E., Nijman, I. J., &amp; </w:t>
      </w:r>
      <w:proofErr w:type="spellStart"/>
      <w:r>
        <w:rPr>
          <w:sz w:val="24"/>
          <w:szCs w:val="24"/>
        </w:rPr>
        <w:t>Prins</w:t>
      </w:r>
      <w:proofErr w:type="spellEnd"/>
      <w:r>
        <w:rPr>
          <w:sz w:val="24"/>
          <w:szCs w:val="24"/>
        </w:rPr>
        <w:t xml:space="preserve">, P. (2015). </w:t>
      </w:r>
      <w:proofErr w:type="spellStart"/>
      <w:r>
        <w:rPr>
          <w:sz w:val="24"/>
          <w:szCs w:val="24"/>
        </w:rPr>
        <w:t>SAMbamba</w:t>
      </w:r>
      <w:proofErr w:type="spellEnd"/>
      <w:r>
        <w:rPr>
          <w:sz w:val="24"/>
          <w:szCs w:val="24"/>
        </w:rPr>
        <w:t xml:space="preserve">: a package for fast processing of high-throughput sequencing data. </w:t>
      </w:r>
      <w:r>
        <w:rPr>
          <w:i/>
          <w:sz w:val="24"/>
          <w:szCs w:val="24"/>
        </w:rPr>
        <w:t>Bioinformatics</w:t>
      </w:r>
      <w:r>
        <w:rPr>
          <w:sz w:val="24"/>
          <w:szCs w:val="24"/>
        </w:rPr>
        <w:t xml:space="preserve">, 31(12), 2032–2034. PMID: 25697820. </w:t>
      </w:r>
    </w:p>
    <w:p w14:paraId="00000022" w14:textId="77777777" w:rsidR="00836A6A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Tu, S., et al. (2021). MAnorm2 for quantitatively comparing groups of ChIP-seq samples. </w:t>
      </w:r>
      <w:r>
        <w:rPr>
          <w:i/>
          <w:sz w:val="24"/>
          <w:szCs w:val="24"/>
        </w:rPr>
        <w:t>Genome Research</w:t>
      </w:r>
      <w:r>
        <w:rPr>
          <w:sz w:val="24"/>
          <w:szCs w:val="24"/>
        </w:rPr>
        <w:t xml:space="preserve">, 31(1), 131-145. PMID: 33208455. </w:t>
      </w:r>
    </w:p>
    <w:p w14:paraId="00000023" w14:textId="77777777" w:rsidR="00836A6A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Zhang, Y., et al. (2008). Model-based analysis of ChIP-Seq (MACS). </w:t>
      </w:r>
      <w:r>
        <w:rPr>
          <w:i/>
          <w:sz w:val="24"/>
          <w:szCs w:val="24"/>
        </w:rPr>
        <w:t>Genome Biology</w:t>
      </w:r>
      <w:r>
        <w:rPr>
          <w:sz w:val="24"/>
          <w:szCs w:val="24"/>
        </w:rPr>
        <w:t>, 9(9), R137. PMID: 18798982.</w:t>
      </w:r>
    </w:p>
    <w:p w14:paraId="00000024" w14:textId="77777777" w:rsidR="00836A6A" w:rsidRDefault="00836A6A">
      <w:pPr>
        <w:spacing w:before="240" w:after="240"/>
        <w:rPr>
          <w:sz w:val="24"/>
          <w:szCs w:val="24"/>
        </w:rPr>
      </w:pPr>
    </w:p>
    <w:p w14:paraId="00000025" w14:textId="77777777" w:rsidR="00836A6A" w:rsidRDefault="00836A6A">
      <w:pPr>
        <w:spacing w:before="240" w:after="240"/>
        <w:rPr>
          <w:sz w:val="24"/>
          <w:szCs w:val="24"/>
        </w:rPr>
      </w:pPr>
    </w:p>
    <w:p w14:paraId="00000026" w14:textId="77777777" w:rsidR="00836A6A" w:rsidRDefault="00836A6A">
      <w:pPr>
        <w:ind w:firstLine="720"/>
        <w:rPr>
          <w:sz w:val="24"/>
          <w:szCs w:val="24"/>
        </w:rPr>
      </w:pPr>
    </w:p>
    <w:sectPr w:rsidR="00836A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415"/>
    <w:multiLevelType w:val="multilevel"/>
    <w:tmpl w:val="F5B00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311B76"/>
    <w:multiLevelType w:val="multilevel"/>
    <w:tmpl w:val="62F25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DB52A5"/>
    <w:multiLevelType w:val="multilevel"/>
    <w:tmpl w:val="7040E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8990043">
    <w:abstractNumId w:val="0"/>
  </w:num>
  <w:num w:numId="2" w16cid:durableId="943070778">
    <w:abstractNumId w:val="2"/>
  </w:num>
  <w:num w:numId="3" w16cid:durableId="1950427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A6A"/>
    <w:rsid w:val="00836A6A"/>
    <w:rsid w:val="00941551"/>
    <w:rsid w:val="009459D2"/>
    <w:rsid w:val="0097192D"/>
    <w:rsid w:val="00AB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916F8"/>
  <w15:docId w15:val="{E9CEE8D5-FD88-D84A-926F-A0B60EAD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922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 Waxman</cp:lastModifiedBy>
  <cp:revision>2</cp:revision>
  <dcterms:created xsi:type="dcterms:W3CDTF">2025-07-07T18:29:00Z</dcterms:created>
  <dcterms:modified xsi:type="dcterms:W3CDTF">2025-07-07T18:29:00Z</dcterms:modified>
</cp:coreProperties>
</file>