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appears to differ in smearing width from the other cells; Section 2.4 of the main text states this. Because the two vacancy electrons of the pristine V</w:t>
      </w:r>
      <w:r>
        <w:rPr>
          <w:vertAlign w:val="subscript"/>
        </w:rPr>
        <w:t xml:space="preserve">O</w:t>
      </w:r>
      <w:r>
        <w:t xml:space="preserve"> </w:t>
      </w:r>
      <w:r>
        <w:t xml:space="preserve">cell occupy conduction-band states, its −TS term need not be negligible at 0.01 Ry.</w:t>
      </w:r>
      <w:r>
        <w:t xml:space="preserve"> </w:t>
      </w:r>
      <w:r>
        <w:rPr>
          <w:bCs/>
          <w:b/>
        </w:rPr>
        <w:t xml:space="preserve">[AUTHOR ACTION: confirm degauss of the production relaxations from their inputs, and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of runs 1 and 2 (Table S9).]</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and its non-self-consistent Fermi energy is 7.1440 eV, while that of Pr_VO is 10.306 eV.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3.40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The two cells have identical species ordering in the projwfc.x listings, consistent with the same vacancy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3×10</w:t>
      </w:r>
      <w:r>
        <w:rPr>
          <w:vertAlign w:val="superscript"/>
          <w:iCs/>
          <w:i/>
        </w:rPr>
        <w:t xml:space="preserve">−6</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r>
        <w:t xml:space="preserve"> </w:t>
      </w:r>
      <w:r>
        <w:rPr>
          <w:bCs/>
          <w:b/>
        </w:rPr>
        <w:t xml:space="preserve">[AUTHOR ACTION: add run identifiers (output file names) for runs 8 and 10.]</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3.40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and note that grid convergence of the Bader charges was not tested.]</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O1 and O17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(second shell, equivalent to O1)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two cells share the same atom ordering (S2.2). A second first-shell site (index O3 of the orchestration script) was planned but not computed. The value ≈2.17 Å quoted in earlier drafts for the production site is the Pr–O distance of a relaxed cell, not the ideal distance.</w:t>
      </w:r>
      <w:r>
        <w:t xml:space="preserve"> </w:t>
      </w:r>
      <w:r>
        <w:rPr>
          <w:bCs/>
          <w:b/>
        </w:rPr>
        <w:t xml:space="preserve">[AUTHOR ACTION: confirm the production vacancy of the Pr cell from its input, and give the relaxed Pr–V</w:t>
      </w:r>
      <w:r>
        <w:rPr>
          <w:vertAlign w:val="subscript"/>
          <w:bCs/>
          <w:b/>
        </w:rPr>
        <w:t xml:space="preserve">O</w:t>
      </w:r>
      <w:r>
        <w:rPr>
          <w:bCs/>
          <w:b/>
        </w:rPr>
        <w:t xml:space="preserve">-site distance.]</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−58844.4305 eV as logged</w:t>
            </w:r>
            <w:r>
              <w:t xml:space="preserve"> </w:t>
            </w:r>
            <w:r>
              <w:rPr>
                <w:vertAlign w:val="superscript"/>
              </w:rPr>
              <w:t xml:space="preserve">b</w:t>
            </w:r>
          </w:p>
        </w:tc>
        <w:tc>
          <w:tcPr/>
          <w:p>
            <w:pPr>
              <w:pStyle w:val="Compact"/>
              <w:jc w:val="left"/>
            </w:pPr>
            <w:r>
              <w:t xml:space="preserve">m =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−58287.1934 eV as logged</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The dual-U Rb energies were recorded in eV only in the run spreadsheet, whose Ry-to-eV factor is not documented; they are listed for completeness and are not used anywhere.</w:t>
      </w:r>
      <w:r>
        <w:t xml:space="preserve"> </w:t>
      </w:r>
      <w:r>
        <w:rPr>
          <w:bCs/>
          <w:b/>
        </w:rPr>
        <w:t xml:space="preserve">[AUTHOR ACTION: give the printed Ry energies, m</w:t>
      </w:r>
      <w:r>
        <w:rPr>
          <w:vertAlign w:val="subscript"/>
          <w:bCs/>
          <w:b/>
        </w:rPr>
        <w:t xml:space="preserve">abs</w:t>
      </w:r>
      <w:r>
        <w:rPr>
          <w:bCs/>
          <w:b/>
        </w:rPr>
        <w:t xml:space="preserve"> </w:t>
      </w:r>
      <w:r>
        <w:rPr>
          <w:bCs/>
          <w:b/>
        </w:rPr>
        <w:t xml:space="preserve">and completion status of the two dual-U Rb runs from their outputs.]</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rPr>
                <w:bCs/>
                <w:b/>
              </w:rPr>
              <w:t xml:space="preserve">[AUTHOR ACTION]</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bCs/>
          <w:b/>
        </w:rPr>
        <w:t xml:space="preserve">[AUTHOR ACTION: add the MD5 checksum of the Pr dataset (printed in the header of any Pr-cell pw.x output)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bCs/>
          <w:b/>
        </w:rPr>
        <w:t xml:space="preserve">[AUTHOR ACTION: add the corresponding values for Pr_VO, Pr_perfect and Rb_perfect from their final coordinates (figures/make_fig1_structures.py prints them when the pw.x output is placed in figures/data/).]</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bCs/>
          <w:b/>
        </w:rPr>
        <w:t xml:space="preserve">[AUTHOR ACTION: confirm that run 25 is an earlier step of the production Pr_VO relaxation (the 0.281 eV quoted in earlier drafts is relative to it).]</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w:t>
            </w:r>
          </w:p>
        </w:tc>
        <w:tc>
          <w:tcPr/>
          <w:p>
            <w:pPr>
              <w:pStyle w:val="Compact"/>
              <w:jc w:val="left"/>
            </w:pPr>
            <w:r>
              <w:t xml:space="preserve">0.005</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w:t>
            </w:r>
            <w:r>
              <w:t xml:space="preserve"> </w:t>
            </w:r>
            <w:r>
              <w:rPr>
                <w:bCs/>
                <w:b/>
              </w:rPr>
              <w:t xml:space="preserve">[AUTHOR ACTION: confirm from inputs]</w:t>
            </w:r>
          </w:p>
        </w:tc>
      </w:tr>
      <w:tr>
        <w:tc>
          <w:tcPr/>
          <w:p>
            <w:pPr>
              <w:pStyle w:val="Compact"/>
              <w:jc w:val="left"/>
            </w:pPr>
            <w:r>
              <w:t xml:space="preserve">Pristine_perfect (1)</w:t>
            </w:r>
          </w:p>
        </w:tc>
        <w:tc>
          <w:tcPr/>
          <w:p>
            <w:pPr>
              <w:pStyle w:val="Compact"/>
              <w:jc w:val="left"/>
            </w:pPr>
            <w:r>
              <w:rPr>
                <w:bCs/>
                <w:b/>
              </w:rPr>
              <w:t xml:space="preserve">[AUTHOR ACTION: scf or relax]</w:t>
            </w:r>
            <w:r>
              <w:t xml:space="preserve"> </w:t>
            </w:r>
            <w:r>
              <w:rPr>
                <w:vertAlign w:val="superscript"/>
              </w:rPr>
              <w:t xml:space="preserve">d</w:t>
            </w:r>
          </w:p>
        </w:tc>
        <w:tc>
          <w:tcPr/>
          <w:p>
            <w:pPr>
              <w:pStyle w:val="Compact"/>
              <w:jc w:val="left"/>
            </w:pPr>
            <w:r>
              <w:t xml:space="preserve">0.005</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rPr>
                <w:bCs/>
                <w:b/>
              </w:rPr>
              <w:t xml:space="preserve">[AUTHOR ACTION]</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rPr>
                <w:bCs/>
                <w:b/>
              </w:rPr>
              <w:t xml:space="preserve">[AUTHOR ACTION]</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Inferred from the single-point templates derived from the production runs.</w:t>
      </w:r>
      <w:r>
        <w:rPr>
          <w:iCs/>
          <w:i/>
        </w:rPr>
        <w:t xml:space="preserve"> </w:t>
      </w:r>
      <w:r>
        <w:rPr>
          <w:vertAlign w:val="superscript"/>
          <w:iCs/>
          <w:i/>
        </w:rPr>
        <w:t xml:space="preserve">d</w:t>
      </w:r>
      <w:r>
        <w:rPr>
          <w:iCs/>
          <w:i/>
        </w:rPr>
        <w:t xml:space="preserve"> </w:t>
      </w:r>
      <w:r>
        <w:rPr>
          <w:iCs/>
          <w:i/>
        </w:rPr>
        <w:t xml:space="preserve">The run log lists an earlier pristine perfect run as an SCF with a residual force of 0.0225 Ry/Bohr; whether the production energy of run 1 comes from a relaxed geometry has to be confirmed (main text Section 2.6).</w:t>
      </w:r>
      <w:r>
        <w:t xml:space="preserve"> </w:t>
      </w:r>
      <w:r>
        <w:rPr>
          <w:bCs/>
          <w:b/>
        </w:rPr>
        <w:t xml:space="preserve">[AUTHOR ACTION: complete this table from the input files, including etot_conv_thr, forc_conv_thr, nosym and any magnetisation constraint, and list the output file name of every run in Table S9.]</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patch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(a) Pr_VO (last 14 BFGS steps after restart) and (b) Rb_VO (last 5 steps) relaxations. Dashed green: the 0.005 Ry/Bohr threshold of this work. Final values 0.0042 and 0.0040 Ry/Bohr (0.108 and 0.103 eV/Å).</w:t>
      </w:r>
      <w:r>
        <w:rPr>
          <w:iCs/>
          <w:i/>
        </w:rPr>
        <w:t xml:space="preserve"> </w:t>
      </w:r>
      <w:r>
        <w:rPr>
          <w:bCs/>
          <w:b/>
          <w:iCs/>
          <w:i/>
        </w:rPr>
        <w:t xml:space="preserve">[AUTHOR ACTION: the panel titles and the legend entry of the grey 0.01 Ry/Bohr line (formerly labelled as a literature standard without a source) were patched in the interim artwork; regenerate from the BFGS logs with labels in eV/Å, drop or source the 0.01 Ry/Bohr 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2026-10-03T03:47:30Z</dcterms:created>
  <dcterms:modified xsi:type="dcterms:W3CDTF">2026-10-03T03:47:30Z</dcterms:modified>
</cp:coreProperties>
</file>

<file path=docProps/custom.xml><?xml version="1.0" encoding="utf-8"?>
<Properties xmlns="http://schemas.openxmlformats.org/officeDocument/2006/custom-properties" xmlns:vt="http://schemas.openxmlformats.org/officeDocument/2006/docPropsVTypes"/>
</file>