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3718a29e46ca7e2597bb9ff556054b431f20e25"/>
    <w:p>
      <w:pPr>
        <w:pStyle w:val="Heading1"/>
      </w:pPr>
      <w:r>
        <w:t xml:space="preserve">Submission package — Applied Surface Science (Elsevier)</w:t>
      </w:r>
    </w:p>
    <w:p>
      <w:pPr>
        <w:pStyle w:val="FirstParagraph"/>
      </w:pPr>
      <w:r>
        <w:rPr>
          <w:bCs/>
          <w:b/>
        </w:rPr>
        <w:t xml:space="preserve">Manuscript:</w:t>
      </w:r>
      <w:r>
        <w:t xml:space="preserve"> </w:t>
      </w:r>
      <w:r>
        <w:t xml:space="preserve">Oxygen-Vacancy Energetics and Dopant-Induced Holes in Pr- and Rb-Substituted Anatase TiO₂: A DFT+U Comparison</w:t>
      </w:r>
      <w:r>
        <w:t xml:space="preserve"> </w:t>
      </w:r>
      <w:r>
        <w:rPr>
          <w:bCs/>
          <w:b/>
        </w:rPr>
        <w:t xml:space="preserve">Built:</w:t>
      </w:r>
      <w:r>
        <w:t xml:space="preserve"> </w:t>
      </w:r>
      <w:r>
        <w:t xml:space="preserve">4 October 2026, from branch</w:t>
      </w:r>
      <w:r>
        <w:t xml:space="preserve"> </w:t>
      </w:r>
      <w:r>
        <w:rPr>
          <w:rStyle w:val="VerbatimChar"/>
        </w:rPr>
        <w:t xml:space="preserve">claude/exciting-shannon-z4bl69</w:t>
      </w:r>
      <w:r>
        <w:t xml:space="preserve"> </w:t>
      </w:r>
      <w:r>
        <w:t xml:space="preserve">(PR #5)</w:t>
      </w:r>
    </w:p>
    <w:bookmarkStart w:id="20" w:name="Xb2ce4b2d89462bb3fb4c2672f0b4e451e629aba"/>
    <w:p>
      <w:pPr>
        <w:pStyle w:val="Heading2"/>
      </w:pPr>
      <w:r>
        <w:t xml:space="preserve">Status: almost ready — do not upload until the items in sections A and B are done</w:t>
      </w:r>
    </w:p>
    <w:p>
      <w:pPr>
        <w:pStyle w:val="FirstParagraph"/>
      </w:pPr>
      <w:r>
        <w:t xml:space="preserve">The manuscript still contains</w:t>
      </w:r>
      <w:r>
        <w:t xml:space="preserve"> </w:t>
      </w:r>
      <w:r>
        <w:rPr>
          <w:bCs/>
          <w:b/>
        </w:rPr>
        <w:t xml:space="preserve">34 bold [AUTHOR ACTION] notes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1 [NEEDS CITATION]</w:t>
      </w:r>
      <w:r>
        <w:t xml:space="preserve">, and the Supporting Information</w:t>
      </w:r>
      <w:r>
        <w:t xml:space="preserve"> </w:t>
      </w:r>
      <w:r>
        <w:rPr>
          <w:bCs/>
          <w:b/>
        </w:rPr>
        <w:t xml:space="preserve">21 notes</w:t>
      </w:r>
      <w:r>
        <w:t xml:space="preserve">. Every note must be resolved or deleted before upload; the editor must not see them. They fall into three groups.</w:t>
      </w:r>
    </w:p>
    <w:bookmarkEnd w:id="20"/>
    <w:bookmarkStart w:id="21" w:name="X708cc566707b90ee8fd5de778b936e29c5a5e86"/>
    <w:p>
      <w:pPr>
        <w:pStyle w:val="Heading2"/>
      </w:pPr>
      <w:r>
        <w:t xml:space="preserve">Files in this folder (what to upload, in Elsevier’s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01_Cover_Letter.docx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Addressed to the Editor of Applied Surface Science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02_Manuscript.docx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(editable 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page, abstract (248 words), text, tables, figure captions, references (46).</w:t>
            </w:r>
            <w:r>
              <w:t xml:space="preserve"> </w:t>
            </w:r>
            <w:r>
              <w:rPr>
                <w:rStyle w:val="VerbatimChar"/>
              </w:rPr>
              <w:t xml:space="preserve">02_Manuscript_preview.pdf</w:t>
            </w:r>
            <w:r>
              <w:t xml:space="preserve"> </w:t>
            </w:r>
            <w:r>
              <w:t xml:space="preserve">is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03_Highlights.docx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bullets, each ≤ 85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04_Graphical_Abstract.png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Graphical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1535 × 590 px (Elsevier minimum 1328 × 531 px)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05_Figures/Figure_1–4.pdf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PDF preferred; PNG at 300 dpi as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06_Supporting_Information.docx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Figures S1–S3 and Tables S1–S10. Preview PDF for checking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07_Data_and_scripts_for_Zenodo/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uploaded to the journal</w:t>
            </w:r>
            <w:r>
              <w:t xml:space="preserve"> </w:t>
            </w:r>
            <w:r>
              <w:t xml:space="preserve">— deposit on Zenodo, then put the DOI in the Data availability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ledger + check script (reproduces every formation energy), figure data and plotting scripts. Add your QE input/output files, pseudopotentials and Bader ACF.dat files to the same deposit</w:t>
            </w:r>
          </w:p>
        </w:tc>
      </w:tr>
    </w:tbl>
    <w:bookmarkEnd w:id="21"/>
    <w:bookmarkStart w:id="22" w:name="X0742f24050962ce507c8f9439d81e4fa7ddef21"/>
    <w:p>
      <w:pPr>
        <w:pStyle w:val="Heading2"/>
      </w:pPr>
      <w:r>
        <w:t xml:space="preserve">A. Administrative items (must be done; nobody else can do them)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Funding statement</w:t>
      </w:r>
      <w:r>
        <w:t xml:space="preserve"> </w:t>
      </w:r>
      <w:r>
        <w:t xml:space="preserve">— insert grant numbers, or the standard sentence</w:t>
      </w:r>
      <w:r>
        <w:t xml:space="preserve"> </w:t>
      </w:r>
      <w:r>
        <w:t xml:space="preserve">“</w:t>
      </w:r>
      <w:r>
        <w:t xml:space="preserve">This research did not receive any specific grant…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Zenodo deposit</w:t>
      </w:r>
      <w:r>
        <w:t xml:space="preserve"> </w:t>
      </w:r>
      <w:r>
        <w:t xml:space="preserve">— upload folder 07 plus your QE inputs/outputs, pseudopotentials and ACF.dat files; insert the DOI in the Data availability statement.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Figure S3</w:t>
      </w:r>
      <w:r>
        <w:t xml:space="preserve"> </w:t>
      </w:r>
      <w:r>
        <w:t xml:space="preserve">(force convergence) is still interim artwork with patched labels; regenerate it from the BFGS force lines of the Pr_VO and Rb_VO relaxation outputs (or send me the two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and I will script 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Generative-AI declaration</w:t>
      </w:r>
      <w:r>
        <w:t xml:space="preserve"> </w:t>
      </w:r>
      <w:r>
        <w:t xml:space="preserve">— confirm with the journal that figures plotted from your data by AI-assisted plotting scripts are acceptable (Elsevier forbids AI-created or AI-altered images), or regenerate them with your own scripts; adjust the declaration accordingly.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Indoor-illuminance citation</w:t>
      </w:r>
      <w:r>
        <w:t xml:space="preserve"> </w:t>
      </w:r>
      <w:r>
        <w:t xml:space="preserve">([NEEDS CITATION], Introduction) — put the Pecunia et al. 2021 PDF in your Google Drive so it can be checked, or cite another source you have read.</w:t>
      </w:r>
    </w:p>
    <w:bookmarkEnd w:id="22"/>
    <w:bookmarkStart w:id="23" w:name="Xcb61008c654475ae19dbd59318eb2568fe79b00"/>
    <w:p>
      <w:pPr>
        <w:pStyle w:val="Heading2"/>
      </w:pPr>
      <w:r>
        <w:t xml:space="preserve">B. One-line facts from your input/output files (needed; about one hour with the files)</w:t>
      </w:r>
    </w:p>
    <w:p>
      <w:pPr>
        <w:pStyle w:val="FirstParagraph"/>
      </w:pPr>
      <w:r>
        <w:t xml:space="preserve">Send me the WSL bundle (</w:t>
      </w:r>
      <w:r>
        <w:rPr>
          <w:rStyle w:val="VerbatimChar"/>
        </w:rPr>
        <w:t xml:space="preserve">tio2_needed.tar.gz</w:t>
      </w:r>
      <w:r>
        <w:t xml:space="preserve">) and I can fill all of these myself:</w:t>
      </w:r>
    </w:p>
    <w:p>
      <w:pPr>
        <w:numPr>
          <w:ilvl w:val="0"/>
          <w:numId w:val="1002"/>
        </w:numPr>
        <w:pStyle w:val="Compact"/>
      </w:pPr>
      <w:r>
        <w:t xml:space="preserve">degauss, starting_magnetization, etot_conv_thr / forc_conv_thr, nosym and any tot_magnetization in the production inputs (Methods 2.4–2.6; Table S10)</w:t>
      </w:r>
    </w:p>
    <w:p>
      <w:pPr>
        <w:numPr>
          <w:ilvl w:val="0"/>
          <w:numId w:val="1002"/>
        </w:numPr>
        <w:pStyle w:val="Compact"/>
      </w:pPr>
      <w:r>
        <w:t xml:space="preserve">whether the production</w:t>
      </w:r>
      <w:r>
        <w:t xml:space="preserve"> </w:t>
      </w:r>
      <w:r>
        <w:rPr>
          <w:bCs/>
          <w:b/>
        </w:rPr>
        <w:t xml:space="preserve">Pristine_perfect</w:t>
      </w:r>
      <w:r>
        <w:t xml:space="preserve"> </w:t>
      </w:r>
      <w:r>
        <w:t xml:space="preserve">energy is from a relaxed geometry (Methods 2.6) — if it is not, it must be relaxed and Table 2 updated</w:t>
      </w:r>
    </w:p>
    <w:p>
      <w:pPr>
        <w:numPr>
          <w:ilvl w:val="0"/>
          <w:numId w:val="1002"/>
        </w:numPr>
        <w:pStyle w:val="Compact"/>
      </w:pPr>
      <w:r>
        <w:t xml:space="preserve">k-mesh, cut-off and residual stress of the bulk variable-cell relaxation (Methods 2.3)</w:t>
      </w:r>
    </w:p>
    <w:p>
      <w:pPr>
        <w:numPr>
          <w:ilvl w:val="0"/>
          <w:numId w:val="1002"/>
        </w:numPr>
        <w:pStyle w:val="Compact"/>
      </w:pPr>
      <w:r>
        <w:t xml:space="preserve">Pr dataset MD5 checksum and the</w:t>
      </w:r>
      <w:r>
        <w:t xml:space="preserve"> </w:t>
      </w:r>
      <w:r>
        <w:t xml:space="preserve">“</w:t>
      </w:r>
      <w:r>
        <w:t xml:space="preserve">Valence configuration</w:t>
      </w:r>
      <w:r>
        <w:t xml:space="preserve">”</w:t>
      </w:r>
      <w:r>
        <w:t xml:space="preserve"> </w:t>
      </w:r>
      <w:r>
        <w:t xml:space="preserve">block of each UPF header; the suggested cut-offs in the UPF headers (Methods 2.1; Table S7)</w:t>
      </w:r>
    </w:p>
    <w:p>
      <w:pPr>
        <w:numPr>
          <w:ilvl w:val="0"/>
          <w:numId w:val="1002"/>
        </w:numPr>
        <w:pStyle w:val="Compact"/>
      </w:pPr>
      <w:r>
        <w:t xml:space="preserve">Pr_VO final coordinates (Figure 1 panel c, Pr–O distances, Table S8) and confirmation of the removed oxygen</w:t>
      </w:r>
    </w:p>
    <w:p>
      <w:pPr>
        <w:numPr>
          <w:ilvl w:val="0"/>
          <w:numId w:val="1002"/>
        </w:numPr>
        <w:pStyle w:val="Compact"/>
      </w:pPr>
      <w:r>
        <w:t xml:space="preserve">Pristine_VO Fermi energy (Table 3);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Rb_VO at q = +1 (Section 3.5)</w:t>
      </w:r>
    </w:p>
    <w:p>
      <w:pPr>
        <w:numPr>
          <w:ilvl w:val="0"/>
          <w:numId w:val="1002"/>
        </w:numPr>
        <w:pStyle w:val="Compact"/>
      </w:pPr>
      <w:r>
        <w:t xml:space="preserve">dual-U Rb_perfect / Rb_VO energies in Ry, m</w:t>
      </w:r>
      <w:r>
        <w:rPr>
          <w:vertAlign w:val="subscript"/>
        </w:rPr>
        <w:t xml:space="preserve">abs</w:t>
      </w:r>
      <w:r>
        <w:t xml:space="preserve">, and whether the Rb_VO relaxation finished (Section 3.4; Tables S5, S9)</w:t>
      </w:r>
    </w:p>
    <w:p>
      <w:pPr>
        <w:numPr>
          <w:ilvl w:val="0"/>
          <w:numId w:val="1002"/>
        </w:numPr>
        <w:pStyle w:val="Compact"/>
      </w:pPr>
      <w:r>
        <w:t xml:space="preserve">E</w:t>
      </w:r>
      <w:r>
        <w:rPr>
          <w:vertAlign w:val="subscript"/>
        </w:rPr>
        <w:t xml:space="preserve">tot</w:t>
      </w:r>
      <w:r>
        <w:t xml:space="preserve">, m, m</w:t>
      </w:r>
      <w:r>
        <w:rPr>
          <w:vertAlign w:val="subscript"/>
        </w:rPr>
        <w:t xml:space="preserve">abs</w:t>
      </w:r>
      <w:r>
        <w:t xml:space="preserve"> </w:t>
      </w:r>
      <w:r>
        <w:t xml:space="preserve">of the SCF run before the Rb_VO PDOS (Section 3.3)</w:t>
      </w:r>
    </w:p>
    <w:p>
      <w:pPr>
        <w:numPr>
          <w:ilvl w:val="0"/>
          <w:numId w:val="1002"/>
        </w:numPr>
        <w:pStyle w:val="Compact"/>
      </w:pPr>
      <w:r>
        <w:t xml:space="preserve">Bader: re-extract the four dopant/mean populations from ACF.dat, FFT grid, PAW reconstruction (Section 3.7; Table S3)</w:t>
      </w:r>
    </w:p>
    <w:p>
      <w:pPr>
        <w:numPr>
          <w:ilvl w:val="0"/>
          <w:numId w:val="1002"/>
        </w:numPr>
        <w:pStyle w:val="Compact"/>
      </w:pPr>
      <w:r>
        <w:t xml:space="preserve">HSE06 input details (screening parameter, q-grid, ecutfock, pseudopotentials) (Methods 2.8)</w:t>
      </w:r>
    </w:p>
    <w:p>
      <w:pPr>
        <w:numPr>
          <w:ilvl w:val="0"/>
          <w:numId w:val="1002"/>
        </w:numPr>
        <w:pStyle w:val="Compact"/>
      </w:pPr>
      <w:r>
        <w:t xml:space="preserve">smearing (−TS) lines; occupations near E</w:t>
      </w:r>
      <w:r>
        <w:rPr>
          <w:vertAlign w:val="subscript"/>
        </w:rPr>
        <w:t xml:space="preserve">F</w:t>
      </w:r>
      <w:r>
        <w:t xml:space="preserve"> </w:t>
      </w:r>
      <w:r>
        <w:t xml:space="preserve">of Pr_perfect and Pr_VO (Sections 2.4, 3.3)</w:t>
      </w:r>
    </w:p>
    <w:p>
      <w:pPr>
        <w:numPr>
          <w:ilvl w:val="0"/>
          <w:numId w:val="1002"/>
        </w:numPr>
        <w:pStyle w:val="Compact"/>
      </w:pPr>
      <w:r>
        <w:t xml:space="preserve">run 25 identity (the 0.281 eV reference) and output file names for the run manifest (Table S9/S10)</w:t>
      </w:r>
    </w:p>
    <w:bookmarkEnd w:id="23"/>
    <w:bookmarkStart w:id="24" w:name="Xd9225b1e8755a2b9c1f1bbad24aafb715df527d"/>
    <w:p>
      <w:pPr>
        <w:pStyle w:val="Heading2"/>
      </w:pPr>
      <w:r>
        <w:t xml:space="preserve">C. Optional extra calculations (can instead be stated as limitations)</w:t>
      </w:r>
    </w:p>
    <w:p>
      <w:pPr>
        <w:pStyle w:val="FirstParagraph"/>
      </w:pPr>
      <w:r>
        <w:t xml:space="preserve">Each of these is already described as</w:t>
      </w:r>
      <w:r>
        <w:t xml:space="preserve"> </w:t>
      </w:r>
      <w:r>
        <w:t xml:space="preserve">“</w:t>
      </w:r>
      <w:r>
        <w:t xml:space="preserve">not performed</w:t>
      </w:r>
      <w:r>
        <w:t xml:space="preserve">”</w:t>
      </w:r>
      <w:r>
        <w:t xml:space="preserve"> </w:t>
      </w:r>
      <w:r>
        <w:t xml:space="preserve">in Section 5. If you do not run them, delete the corresponding note (or ask me to convert all of them to plain statements in one pass):</w:t>
      </w:r>
    </w:p>
    <w:p>
      <w:pPr>
        <w:numPr>
          <w:ilvl w:val="0"/>
          <w:numId w:val="1003"/>
        </w:numPr>
        <w:pStyle w:val="Compact"/>
      </w:pPr>
      <w:r>
        <w:t xml:space="preserve">dual-U Pr_VO relaxation and dual-U formation energies (the single most valuable addition)</w:t>
      </w:r>
    </w:p>
    <w:p>
      <w:pPr>
        <w:numPr>
          <w:ilvl w:val="0"/>
          <w:numId w:val="1003"/>
        </w:numPr>
        <w:pStyle w:val="Compact"/>
      </w:pPr>
      <w:r>
        <w:t xml:space="preserve">re-relaxation of the four doped cells to 0.001 Ry/Bohr</w:t>
      </w:r>
    </w:p>
    <w:p>
      <w:pPr>
        <w:numPr>
          <w:ilvl w:val="0"/>
          <w:numId w:val="1003"/>
        </w:numPr>
        <w:pStyle w:val="Compact"/>
      </w:pPr>
      <w:r>
        <w:t xml:space="preserve">D3 single points on Pr_perfect, Rb_perfect and O₂</w:t>
      </w:r>
    </w:p>
    <w:p>
      <w:pPr>
        <w:numPr>
          <w:ilvl w:val="0"/>
          <w:numId w:val="1003"/>
        </w:numPr>
        <w:pStyle w:val="Compact"/>
      </w:pPr>
      <w:r>
        <w:t xml:space="preserve">55 Ry cut-off check; Pristine_VO at 2×2×2; NSCF rerun with</w:t>
      </w:r>
      <w:r>
        <w:t xml:space="preserve"> </w:t>
      </w:r>
      <w:r>
        <w:rPr>
          <w:rStyle w:val="VerbatimChar"/>
        </w:rPr>
        <w:t xml:space="preserve">diago_full_acc = .true.</w:t>
      </w:r>
    </w:p>
    <w:p>
      <w:pPr>
        <w:numPr>
          <w:ilvl w:val="0"/>
          <w:numId w:val="1003"/>
        </w:numPr>
        <w:pStyle w:val="Compact"/>
      </w:pPr>
      <w:r>
        <w:t xml:space="preserve">two extra Rb vacancy sites; core-level alignment of Fermi energies; HSE06 band gaps</w:t>
      </w:r>
    </w:p>
    <w:p>
      <w:pPr>
        <w:numPr>
          <w:ilvl w:val="0"/>
          <w:numId w:val="1003"/>
        </w:numPr>
        <w:pStyle w:val="Compact"/>
      </w:pPr>
      <w:r>
        <w:t xml:space="preserve">Rb_VO spin-density isosurface (optional Figure S4); reading literature V_O values from figures of Arrigoni &amp; Madsen / Boonchun et al.</w:t>
      </w:r>
    </w:p>
    <w:bookmarkEnd w:id="24"/>
    <w:bookmarkStart w:id="25" w:name="before-you-press-submit"/>
    <w:p>
      <w:pPr>
        <w:pStyle w:val="Heading2"/>
      </w:pPr>
      <w:r>
        <w:t xml:space="preserve">Before you press</w:t>
      </w:r>
      <w:r>
        <w:t xml:space="preserve"> </w:t>
      </w:r>
      <w:r>
        <w:t xml:space="preserve">“</w:t>
      </w:r>
      <w:r>
        <w:t xml:space="preserve">submit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Search both Word files for</w:t>
      </w:r>
      <w:r>
        <w:t xml:space="preserve"> </w:t>
      </w:r>
      <w:r>
        <w:rPr>
          <w:rStyle w:val="VerbatimChar"/>
        </w:rPr>
        <w:t xml:space="preserve">AUTHOR 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 CITATION</w:t>
      </w:r>
      <w:r>
        <w:t xml:space="preserve"> </w:t>
      </w:r>
      <w:r>
        <w:t xml:space="preserve">— the count must be zero.</w:t>
      </w:r>
    </w:p>
    <w:p>
      <w:pPr>
        <w:numPr>
          <w:ilvl w:val="0"/>
          <w:numId w:val="1004"/>
        </w:numPr>
        <w:pStyle w:val="Compact"/>
      </w:pPr>
      <w:r>
        <w:t xml:space="preserve">Check author names, affiliations and the corresponding-author e-mail on the title page.</w:t>
      </w:r>
    </w:p>
    <w:p>
      <w:pPr>
        <w:numPr>
          <w:ilvl w:val="0"/>
          <w:numId w:val="1004"/>
        </w:numPr>
        <w:pStyle w:val="Compact"/>
      </w:pPr>
      <w:r>
        <w:t xml:space="preserve">Suggested reviewers (optional in Editorial Manager): choose researchers you have cited but not co-authored with.</w:t>
      </w:r>
    </w:p>
    <w:p>
      <w:pPr>
        <w:numPr>
          <w:ilvl w:val="0"/>
          <w:numId w:val="1004"/>
        </w:numPr>
        <w:pStyle w:val="Compact"/>
      </w:pPr>
      <w:r>
        <w:t xml:space="preserve">The companion device-simulation paper (Pr³⁺:SnO₂ / CsPbBr₃)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this submission; see</w:t>
      </w:r>
      <w:r>
        <w:t xml:space="preserve"> </w:t>
      </w:r>
      <w:r>
        <w:rPr>
          <w:rStyle w:val="VerbatimChar"/>
        </w:rPr>
        <w:t xml:space="preserve">device_paper_review/Device_Manuscript_Audit.docx</w:t>
      </w:r>
      <w:r>
        <w:t xml:space="preserve"> </w:t>
      </w:r>
      <w:r>
        <w:t xml:space="preserve">before sending it anywhere.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2026-10-04T03:02:06Z</dcterms:created>
  <dcterms:modified xsi:type="dcterms:W3CDTF">2026-10-04T03:02:06Z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