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The formation energies of the FINAL draft are unchanged and were re-derived from the Rydberg totals in the Supporting Information; values corrected or added from the authors’ output files are listed in the revision log.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a Löwdin analysis puts 0.59 μ</w:t>
      </w:r>
      <w:r>
        <w:rPr>
          <w:vertAlign w:val="subscript"/>
        </w:rPr>
        <w:t xml:space="preserve">B</w:t>
      </w:r>
      <w:r>
        <w:t xml:space="preserve"> </w:t>
      </w:r>
      <w:r>
        <w:t xml:space="preserve">of its moment on one oxygen bonded to Rb, and the Rb ion lies 1.27 Å off its ideal site, towards the vacancy.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Under the 200–1000 lx illumination typical of indoor spaces the open-circuit voltage is limited by non-radiative recombination</w:t>
      </w:r>
      <w:r>
        <w:t xml:space="preserve"> </w:t>
      </w:r>
      <w:r>
        <w:rPr>
          <w:bCs/>
          <w:b/>
        </w:rPr>
        <w:t xml:space="preserve">[NEEDS CITATION: typical indoor illuminance and the low-light V</w:t>
      </w:r>
      <w:r>
        <w:rPr>
          <w:vertAlign w:val="subscript"/>
          <w:bCs/>
          <w:b/>
        </w:rPr>
        <w:t xml:space="preserve">oc</w:t>
      </w:r>
      <w:r>
        <w:rPr>
          <w:bCs/>
          <w:b/>
        </w:rPr>
        <w:t xml:space="preserve"> </w:t>
      </w:r>
      <w:r>
        <w:rPr>
          <w:bCs/>
          <w:b/>
        </w:rPr>
        <w:t xml:space="preserve">limitation; Pecunia et al. may serve if the full text supports both]</w:t>
      </w:r>
      <w:r>
        <w:t xml:space="preserve">,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Pr>
          <w:vertAlign w:val="subscript"/>
        </w:rPr>
        <w:t xml:space="preserve">2</w:t>
      </w:r>
      <w:r>
        <w:t xml:space="preserve"> </w:t>
      </w:r>
      <w:r>
        <w:t xml:space="preserve">[18],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[27],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and the atomic wavefunctions that projwfc.x reads from each dataset (Ti 3s/3p/3d, O 2s/2p, Pr 5p/5d, Rb 4s); the Pr dataset contains no 4f wavefunction.</w:t>
      </w:r>
      <w:r>
        <w:t xml:space="preserve"> </w:t>
      </w:r>
      <w:r>
        <w:rPr>
          <w:bCs/>
          <w:b/>
        </w:rPr>
        <w:t xml:space="preserve">[AUTHOR ACTION: add the MD5 checksum of the Pr dataset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to Table S7.]</w:t>
      </w:r>
      <w:r>
        <w:t xml:space="preserve"> </w:t>
      </w:r>
      <w:r>
        <w:t xml:space="preserve">Kinetic-energy cut-offs of 40 Ry (wavefunctions) and 320 Ry (charge density) were used throughout. No cut-off convergence test was performed; comparable anatase defect work uses 55 Ry [13], and the consequences are discussed in Section 5.</w:t>
      </w:r>
      <w:r>
        <w:t xml:space="preserve"> </w:t>
      </w:r>
      <w:r>
        <w:rPr>
          <w:bCs/>
          <w:b/>
        </w:rPr>
        <w:t xml:space="preserve">[AUTHOR ACTION: quote the suggested minimum cut-offs printed in the headers of the four UPF files, and run one 55 Ry single point on Pr_perfect and Pr_VO to bound the cut-off error on E</w:t>
      </w:r>
      <w:r>
        <w:rPr>
          <w:vertAlign w:val="subscript"/>
          <w:bCs/>
          <w:b/>
        </w:rPr>
        <w:t xml:space="preserve">f</w:t>
      </w:r>
      <w:r>
        <w:rPr>
          <w:bCs/>
          <w:b/>
        </w:rPr>
        <w:t xml:space="preserve">.]</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[33],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This value is close to the first-principles linear-response value for the Ti-3d subspace of anatase (U = 3.57 eV, U</w:t>
      </w:r>
      <w:r>
        <w:rPr>
          <w:vertAlign w:val="subscript"/>
        </w:rPr>
        <w:t xml:space="preserve">eff</w:t>
      </w:r>
      <w:r>
        <w:t xml:space="preserve"> </w:t>
      </w:r>
      <w:r>
        <w:t xml:space="preserve">=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 The DFT+U approach rests on the formulation of Anisimov et al. [36]; linear-response determination of U [37]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Pr>
          <w:vertAlign w:val="subscript"/>
        </w:rPr>
        <w:t xml:space="preserve">eff</w:t>
      </w:r>
      <w:r>
        <w:t xml:space="preserve"> </w:t>
      </w:r>
      <w:r>
        <w:t xml:space="preserve">= 7.66 eV with LDA [34].</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w:t>
      </w:r>
      <w:r>
        <w:t xml:space="preserve"> </w:t>
      </w:r>
      <w:r>
        <w:rPr>
          <w:bCs/>
          <w:b/>
        </w:rPr>
        <w:t xml:space="preserve">[AUTHOR ACTION: state the k-mesh, cut-off and residual stress of that variable-cell relaxation.]</w:t>
      </w:r>
      <w:r>
        <w:t xml:space="preserve"> </w:t>
      </w:r>
      <w:r>
        <w:t xml:space="preserve">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w:t>
      </w:r>
      <w:r>
        <w:t xml:space="preserve"> </w:t>
      </w:r>
      <w:r>
        <w:rPr>
          <w:bCs/>
          <w:b/>
        </w:rPr>
        <w:t xml:space="preserve">[AUTHOR ACTION: confirm from the Pr_VO input that the same oxygen was removed, and give the relaxed first-shell Pr–O distances in Table S8; the value ≈2.17 Å quoted for the production site in earlier drafts is well below the Shannon-radius sum of 2.39 Å for six-fold Pr</w:t>
      </w:r>
      <w:r>
        <w:rPr>
          <w:vertAlign w:val="superscript"/>
          <w:bCs/>
          <w:b/>
        </w:rPr>
        <w:t xml:space="preserve">3+</w:t>
      </w:r>
      <w:r>
        <w:rPr>
          <w:bCs/>
          <w:b/>
        </w:rPr>
        <w:t xml:space="preserve">–O</w:t>
      </w:r>
      <w:r>
        <w:rPr>
          <w:vertAlign w:val="superscript"/>
          <w:bCs/>
          <w:b/>
        </w:rPr>
        <w:t xml:space="preserve">2−</w:t>
      </w:r>
      <w:r>
        <w:rPr>
          <w:bCs/>
          <w:b/>
        </w:rPr>
        <w:t xml:space="preserve">.]</w:t>
      </w:r>
    </w:p>
    <w:p>
      <w:pPr>
        <w:pStyle w:val="BodyText"/>
      </w:pPr>
      <w:r>
        <w:rPr>
          <w:bCs/>
          <w:b/>
        </w:rPr>
        <w:t xml:space="preserve">2.4 Brillouin-zone sampling and electronic settings.</w:t>
      </w:r>
      <w:r>
        <w:t xml:space="preserve"> </w:t>
      </w:r>
      <w:r>
        <w:t xml:space="preserve">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 because the latter reproduce the production Rb_VO Fermi energy to 0.1 meV, the production value is not established.</w:t>
      </w:r>
      <w:r>
        <w:t xml:space="preserve"> </w:t>
      </w:r>
      <w:r>
        <w:rPr>
          <w:bCs/>
          <w:b/>
        </w:rPr>
        <w:t xml:space="preserve">[AUTHOR ACTION: state degauss of the production relaxations from their input files.]</w:t>
      </w:r>
      <w:r>
        <w:t xml:space="preserve"> </w:t>
      </w:r>
      <w:r>
        <w:t xml:space="preserve">With smearing, the total energy printed by pw.x is the smearing free energy; the entropy term is small when few states lie near the Fermi level but has not been tabulated.</w:t>
      </w:r>
      <w:r>
        <w:t xml:space="preserve"> </w:t>
      </w:r>
      <w:r>
        <w:rPr>
          <w:bCs/>
          <w:b/>
        </w:rPr>
        <w:t xml:space="preserve">[AUTHOR ACTION: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for every cell in Table S10; if it exceeds 0.01 Ry for any defect cell, report internal energies as well.]</w:t>
      </w:r>
      <w:r>
        <w:t xml:space="preserve"> </w:t>
      </w:r>
      <w:r>
        <w:t xml:space="preserve">The electronic self-consistency threshold was 1×10</w:t>
      </w:r>
      <w:r>
        <w:rPr>
          <w:vertAlign w:val="superscript"/>
        </w:rPr>
        <w:t xml:space="preserve">−8</w:t>
      </w:r>
      <w:r>
        <w:t xml:space="preserve"> </w:t>
      </w:r>
      <w:r>
        <w:t xml:space="preserve">Ry. Symmetry was handled by the code’s default detection; the Rb_VO cell retained a mirror plane (two symmetry operations in the pw.x output), so hole configurations that break it, for example localisation on only one of a mirror-related pair of oxygens, were excluded by construction.</w:t>
      </w:r>
      <w:r>
        <w:t xml:space="preserve"> </w:t>
      </w:r>
      <w:r>
        <w:rPr>
          <w:bCs/>
          <w:b/>
        </w:rPr>
        <w:t xml:space="preserve">[AUTHOR ACTION: state whether nosym or any magnetisation constraint (tot_magnetization, constrained_magnetization) was used in any run.]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w:t>
      </w:r>
      <w:r>
        <w:t xml:space="preserve"> </w:t>
      </w:r>
      <w:r>
        <w:rPr>
          <w:bCs/>
          <w:b/>
        </w:rPr>
        <w:t xml:space="preserve">[AUTHOR ACTION: confirm the starting_magnetization values from the production input files.]</w:t>
      </w:r>
      <w:r>
        <w:t xml:space="preserve"> </w:t>
      </w:r>
      <w:r>
        <w:t xml:space="preserve">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run log lists an earlier pristine perfect run as a single-point calculation with a residual force of 0.0225 Ry/Bohr (0.58 eV/Å); if the production pristine energy is also unrelaxed, relaxing it would lower E(Pristine_perfect) and raise the pristine formation energy of Table 2 by the relaxation energy.</w:t>
      </w:r>
      <w:r>
        <w:t xml:space="preserve"> </w:t>
      </w:r>
      <w:r>
        <w:rPr>
          <w:bCs/>
          <w:b/>
        </w:rPr>
        <w:t xml:space="preserve">[AUTHOR ACTION: state whether the production Pristine_perfect energy (−4275.01530 Ry) comes from a relaxed geometry and give its maximum residual force; if not, relax it and update Table 2.]</w:t>
      </w:r>
      <w:r>
        <w:t xml:space="preserve"> </w:t>
      </w:r>
      <w:r>
        <w:t xml:space="preserve">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w:t>
      </w:r>
      <w:r>
        <w:t xml:space="preserve"> </w:t>
      </w:r>
      <w:r>
        <w:rPr>
          <w:bCs/>
          <w:b/>
        </w:rPr>
        <w:t xml:space="preserve">[AUTHOR ACTION: state etot_conv_thr and forc_conv_thr of the production inputs; with the maximum force below 0.005 Ry/Bohr for several steps (Figure S3) and an energy change below 1×10</w:t>
      </w:r>
      <w:r>
        <w:rPr>
          <w:vertAlign w:val="superscript"/>
          <w:bCs/>
          <w:b/>
        </w:rPr>
        <w:t xml:space="preserve">−9</w:t>
      </w:r>
      <w:r>
        <w:rPr>
          <w:bCs/>
          <w:b/>
        </w:rPr>
        <w:t xml:space="preserve"> </w:t>
      </w:r>
      <w:r>
        <w:rPr>
          <w:bCs/>
          <w:b/>
        </w:rPr>
        <w:t xml:space="preserve">Ry, pw.x would normally have terminated by itself unless a tighter threshold was set.]</w:t>
      </w:r>
      <w:r>
        <w:t xml:space="preserve"> </w:t>
      </w:r>
      <w:r>
        <w:t xml:space="preserve">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[38].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[39,40],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ecutfock, the EXX convergence threshold and number of outer iterations, and that the +U term was switched off. The HSE06 total energy (−3926.67 Ry) differs from the PBE+U total of the same cell (−4275.02 Ry) by 348 Ry, which a change of functional alone cannot produce; state which pseudopotential datasets were used in the hybrid run and whether exact exchange was evaluated with the PAW datasets. If different datasets were used, the Fermi-energy comparison in Section 3.6 must be removed.]</w:t>
      </w:r>
      <w:r>
        <w:t xml:space="preserve"> </w:t>
      </w:r>
      <w:r>
        <w:t xml:space="preserve">(iv) Dispersion: single-point energies for Pr_VO and Rb_VO with the Grimme D3 correction and Becke–Johnson damping [41,42], without three-body terms (D3 has been combined with DFT+U for pristine and defective anatase by Torres et al., who used PBEsol-D3 with U = 3 eV for the defective (001) surface [43]); the single points were started from scratch on the production geometries. (v) Alternative vacancy sites: three additional Pr_VO cells with the vacancy at oxygen sites 1, 7 and 17 of the orchestration input (not the pw.x atom numbers used elsewhere). (vi) Bader analysis of Pr_VO and Rb_VO from pp.x charge densities with the Henkelman grid algorithm [44,45].</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available, and the shortest Rb–O distance (2.54 Å) is 0.38 Å below the Shannon-radius sum for six-fold Rb</w:t>
      </w:r>
      <w:r>
        <w:rPr>
          <w:vertAlign w:val="superscript"/>
        </w:rPr>
        <w:t xml:space="preserve">+</w:t>
      </w:r>
      <w:r>
        <w:t xml:space="preserve">–O</w:t>
      </w:r>
      <w:r>
        <w:rPr>
          <w:vertAlign w:val="superscript"/>
        </w:rPr>
        <w:t xml:space="preserve">2−</w:t>
      </w:r>
      <w:r>
        <w:t xml:space="preserve"> </w:t>
      </w:r>
      <w:r>
        <w:t xml:space="preserve">(2.92 Å [26]), as for the short Pr–O distance noted in Section 2.3.</w:t>
      </w:r>
      <w:r>
        <w:t xml:space="preserve"> </w:t>
      </w:r>
      <w:r>
        <w:rPr>
          <w:bCs/>
          <w:b/>
        </w:rPr>
        <w:t xml:space="preserve">[AUTHOR ACTION: the relaxed Pr_VO coordinates were not available for this revision; place the pw.x output of the relaxed Pr_VO cell in figures/data/ so that make_fig1_structures.py adds panel (c), and state the Pr displacement and Pr–O distances here.]</w:t>
      </w:r>
      <w:r>
        <w:t xml:space="preserve"> </w:t>
      </w:r>
      <w:r>
        <w:t xml:space="preserve">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3.45 eV for Pr and 8.81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t xml:space="preserve"> </w:t>
      </w:r>
      <w:r>
        <w:rPr>
          <w:bCs/>
          <w:b/>
        </w:rPr>
        <w:t xml:space="preserve">[AUTHOR ACTION: compute E(Pristine_VO) at 2×2×2 on the Γ geometry and complete this entry.]</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Previous bulk-anatase studies report the neutral-vacancy formation energy at the oxygen-rich limit only graphically, with PBE+U (U = 5.8 eV on Ti-3d) and a reduced-exchange hybrid (HSE15) by Arrigoni and Madsen [14] and with HSE06 in a 108-atom cell by Boonchun et al. [46]; because their protocols differ from the uncorrected PBE+U value at a PBE O</w:t>
      </w:r>
      <w:r>
        <w:rPr>
          <w:vertAlign w:val="subscript"/>
        </w:rPr>
        <w:t xml:space="preserve">2</w:t>
      </w:r>
      <w:r>
        <w:t xml:space="preserve"> </w:t>
      </w:r>
      <w:r>
        <w:t xml:space="preserve">reference used here, a numerical comparison is not attempted, and the pristine value is used only as the internal reference for the two doped hosts.</w:t>
      </w:r>
      <w:r>
        <w:t xml:space="preserve"> </w:t>
      </w:r>
      <w:r>
        <w:rPr>
          <w:bCs/>
          <w:b/>
        </w:rPr>
        <w:t xml:space="preserve">[AUTHOR ACTION: if a numerical comparison is wanted, read the oxygen-rich neutral-V</w:t>
      </w:r>
      <w:r>
        <w:rPr>
          <w:vertAlign w:val="subscript"/>
          <w:bCs/>
          <w:b/>
        </w:rPr>
        <w:t xml:space="preserve">O</w:t>
      </w:r>
      <w:r>
        <w:rPr>
          <w:bCs/>
          <w:b/>
        </w:rPr>
        <w:t xml:space="preserve"> </w:t>
      </w:r>
      <w:r>
        <w:rPr>
          <w:bCs/>
          <w:b/>
        </w:rPr>
        <w:t xml:space="preserve">values from Fig. 5 of Arrigoni and Madsen and Fig. 1 of Boonchun et al. and state them with their chemical-potential definitions.]</w:t>
      </w:r>
      <w:r>
        <w:t xml:space="preserve"> </w:t>
      </w:r>
      <w:r>
        <w:t xml:space="preserve">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w:t>
      </w:r>
      <w:r>
        <w:t xml:space="preserve"> </w:t>
      </w:r>
      <w:r>
        <w:rPr>
          <w:bCs/>
          <w:b/>
        </w:rPr>
        <w:t xml:space="preserve">[AUTHOR ACTION: report the fractional occupations near E</w:t>
      </w:r>
      <w:r>
        <w:rPr>
          <w:vertAlign w:val="subscript"/>
          <w:bCs/>
          <w:b/>
        </w:rPr>
        <w:t xml:space="preserve">F</w:t>
      </w:r>
      <w:r>
        <w:rPr>
          <w:bCs/>
          <w:b/>
        </w:rPr>
        <w:t xml:space="preserve"> </w:t>
      </w:r>
      <w:r>
        <w:rPr>
          <w:bCs/>
          <w:b/>
        </w:rPr>
        <w:t xml:space="preserve">of the non-magnetic Pr_perfect and Pr_VO solutions from their self-consistent outputs.]</w:t>
      </w:r>
      <w:r>
        <w:t xml:space="preserve"> </w:t>
      </w:r>
      <w:r>
        <w:t xml:space="preserve">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Tables S2a and S9). The self-consistent run that preceded the projected densities of states, started from 0.3 on Ti, reproduced the production Fermi energy to 0.1 meV, but the two solutions differ in E</w:t>
      </w:r>
      <w:r>
        <w:rPr>
          <w:vertAlign w:val="subscript"/>
        </w:rPr>
        <w:t xml:space="preserve">F</w:t>
      </w:r>
      <w:r>
        <w:t xml:space="preserve"> </w:t>
      </w:r>
      <w:r>
        <w:t xml:space="preserve">by only 13 meV and that run’s total energy was not compared, so Figure 4 is taken to represent both near-degenerate solutions.</w:t>
      </w:r>
      <w:r>
        <w:t xml:space="preserve"> </w:t>
      </w:r>
      <w:r>
        <w:rPr>
          <w:bCs/>
          <w:b/>
        </w:rPr>
        <w:t xml:space="preserve">[AUTHOR ACTION: report E</w:t>
      </w:r>
      <w:r>
        <w:rPr>
          <w:vertAlign w:val="subscript"/>
          <w:bCs/>
          <w:b/>
        </w:rPr>
        <w:t xml:space="preserve">tot</w:t>
      </w:r>
      <w:r>
        <w:rPr>
          <w:bCs/>
          <w:b/>
        </w:rPr>
        <w:t xml:space="preserve">, m and m</w:t>
      </w:r>
      <w:r>
        <w:rPr>
          <w:vertAlign w:val="subscript"/>
          <w:bCs/>
          <w:b/>
        </w:rPr>
        <w:t xml:space="preserve">abs</w:t>
      </w:r>
      <w:r>
        <w:rPr>
          <w:bCs/>
          <w:b/>
        </w:rPr>
        <w:t xml:space="preserve"> </w:t>
      </w:r>
      <w:r>
        <w:rPr>
          <w:bCs/>
          <w:b/>
        </w:rPr>
        <w:t xml:space="preserve">of the self-consistent run that preceded the Rb_VO projected densities of states.]</w:t>
      </w:r>
      <w:r>
        <w:t xml:space="preserve"> </w:t>
      </w:r>
      <w:r>
        <w:t xml:space="preserve">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essentially all of the 0.24 μ</w:t>
      </w:r>
      <w:r>
        <w:rPr>
          <w:vertAlign w:val="subscript"/>
        </w:rPr>
        <w:t xml:space="preserve">B</w:t>
      </w:r>
      <w:r>
        <w:t xml:space="preserve"> </w:t>
      </w:r>
      <w:r>
        <w:t xml:space="preserve">excess (m</w:t>
      </w:r>
      <w:r>
        <w:rPr>
          <w:vertAlign w:val="subscript"/>
        </w:rPr>
        <w:t xml:space="preserve">abs</w:t>
      </w:r>
      <w:r>
        <w:t xml:space="preserve"> </w:t>
      </w:r>
      <w:r>
        <w:t xml:space="preserve">− |m| is twice the integrated spin density of the minority sign).</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rPr>
                <w:bCs/>
                <w:b/>
              </w:rPr>
              <w:t xml:space="preserve">[AUTHOR ACTION: E</w:t>
            </w:r>
            <w:r>
              <w:rPr>
                <w:vertAlign w:val="subscript"/>
                <w:bCs/>
                <w:b/>
              </w:rPr>
              <w:t xml:space="preserve">F</w:t>
            </w:r>
            <w:r>
              <w:rPr>
                <w:bCs/>
                <w:b/>
              </w:rPr>
              <w:t xml:space="preserve">]</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values were not available for this revision.</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w:t>
      </w:r>
      <w:r>
        <w:t xml:space="preserve"> </w:t>
      </w:r>
      <w:r>
        <w:rPr>
          <w:bCs/>
          <w:b/>
        </w:rPr>
        <w:t xml:space="preserve">[AUTHOR ACTION: confirm from the output whether the dual-U Rb_VO relaxation finished, and give its final energy, m and m</w:t>
      </w:r>
      <w:r>
        <w:rPr>
          <w:vertAlign w:val="subscript"/>
          <w:bCs/>
          <w:b/>
        </w:rPr>
        <w:t xml:space="preserve">abs</w:t>
      </w:r>
      <w:r>
        <w:rPr>
          <w:bCs/>
          <w:b/>
        </w:rPr>
        <w:t xml:space="preserve">.]</w:t>
      </w:r>
      <w:r>
        <w:t xml:space="preserve"> </w:t>
      </w:r>
      <w:r>
        <w:t xml:space="preserve">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w:t>
      </w:r>
      <w:r>
        <w:t xml:space="preserve"> </w:t>
      </w:r>
      <w:r>
        <w:rPr>
          <w:bCs/>
          <w:b/>
        </w:rPr>
        <w:t xml:space="preserve">[AUTHOR ACTION: report m</w:t>
      </w:r>
      <w:r>
        <w:rPr>
          <w:vertAlign w:val="subscript"/>
          <w:bCs/>
          <w:b/>
        </w:rPr>
        <w:t xml:space="preserve">abs</w:t>
      </w:r>
      <w:r>
        <w:rPr>
          <w:bCs/>
          <w:b/>
        </w:rPr>
        <w:t xml:space="preserve"> </w:t>
      </w:r>
      <w:r>
        <w:rPr>
          <w:bCs/>
          <w:b/>
        </w:rPr>
        <w:t xml:space="preserve">and the Löwdin site moments of dual-U Rb_perfect and Pr_perfect (projwfc.x on the existing outputs).]</w:t>
      </w:r>
      <w:r>
        <w:t xml:space="preserve"> </w:t>
      </w:r>
      <w:r>
        <w:t xml:space="preserve">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under the dual-U scheme (the other three dual-U cells exist), extract the dual-U total energies of Rb_perfect and Rb_VO from their outputs,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 A U(O-2p) sensitivity test (e.g. 4.5 and 6.5 eV on Pr_perfect) would show whether the one-hole localisation depends on the transferred value.]</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w:t>
      </w:r>
      <w:r>
        <w:t xml:space="preserve"> </w:t>
      </w:r>
      <w:r>
        <w:rPr>
          <w:bCs/>
          <w:b/>
        </w:rPr>
        <w:t xml:space="preserve">[AUTHOR ACTION: add m</w:t>
      </w:r>
      <w:r>
        <w:rPr>
          <w:vertAlign w:val="subscript"/>
          <w:bCs/>
          <w:b/>
        </w:rPr>
        <w:t xml:space="preserve">abs</w:t>
      </w:r>
      <w:r>
        <w:rPr>
          <w:bCs/>
          <w:b/>
        </w:rPr>
        <w:t xml:space="preserve"> </w:t>
      </w:r>
      <w:r>
        <w:rPr>
          <w:bCs/>
          <w:b/>
        </w:rPr>
        <w:t xml:space="preserve">of the q = +1 Rb_VO cell from its output.]</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−0.75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Pr>
          <w:vertAlign w:val="subscript"/>
        </w:rPr>
        <w:t xml:space="preserve">F</w:t>
      </w:r>
      <w:r>
        <w:t xml:space="preserve"> </w:t>
      </w:r>
      <w:r>
        <w:t xml:space="preserve">− 0.6 eV and E</w:t>
      </w:r>
      <w:r>
        <w:rPr>
          <w:vertAlign w:val="subscript"/>
        </w:rPr>
        <w:t xml:space="preserve">F</w:t>
      </w:r>
      <w:r>
        <w:t xml:space="preserve"> </w:t>
      </w:r>
      <w:r>
        <w:t xml:space="preserve">because of the 0.136 eV Gaussian tails. Equal spin channels and Löwdin moments below 0.001 μ</w:t>
      </w:r>
      <w:r>
        <w:rPr>
          <w:vertAlign w:val="subscript"/>
        </w:rPr>
        <w:t xml:space="preserve">B</w:t>
      </w:r>
      <w:r>
        <w:t xml:space="preserve"> </w:t>
      </w:r>
      <w:r>
        <w:t xml:space="preserve">on every site follow from the m = 0 density on which this run is based (Section 3.3). The Pr-4f states are frozen in the core and cannot appear (Section 2.1). In Rb_VO the Fermi level lies at the top of the O-2p valence band and an empty state lies just above it in one spin channel only. In the eigenvalues it is a single minority-spin band 0.04–0.13 eV above E</w:t>
      </w:r>
      <w:r>
        <w:rPr>
          <w:vertAlign w:val="subscript"/>
        </w:rPr>
        <w:t xml:space="preserve">F</w:t>
      </w:r>
      <w:r>
        <w:t xml:space="preserve">, 2.5 eV below the next minority band; in the broadened DOS it carries 0.79 states between E</w:t>
      </w:r>
      <w:r>
        <w:rPr>
          <w:vertAlign w:val="subscript"/>
        </w:rPr>
        <w:t xml:space="preserve">F</w:t>
      </w:r>
      <w:r>
        <w:t xml:space="preserve"> </w:t>
      </w:r>
      <w:r>
        <w:t xml:space="preserve">and E</w:t>
      </w:r>
      <w:r>
        <w:rPr>
          <w:vertAlign w:val="subscript"/>
        </w:rPr>
        <w:t xml:space="preserve">F</w:t>
      </w:r>
      <w:r>
        <w:t xml:space="preserve"> </w:t>
      </w:r>
      <w:r>
        <w:t xml:space="preserve">+ 0.6 eV in the minority channel and none in the majority channel, 93 % of it O-2p (Ti-3d 5 %). This empty minority-spin band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Pr>
          <w:vertAlign w:val="superscript"/>
        </w:rPr>
        <w:t xml:space="preserve">3+</w:t>
      </w:r>
      <w:r>
        <w:t xml:space="preserve"> </w:t>
      </w:r>
      <w:r>
        <w:t xml:space="preserve">centre forms. Because the relaxation retained the mirror plane of the cell (Section 2.4), configurations in which the hole sits on only one oxygen of a mirror-related pair were not sampled.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Kohn–Sham gap of Rb_VO from the non-self-consistent eigenvalues is 2.87 eV in the majority channel (valence-band top 0.22 eV below E</w:t>
      </w:r>
      <w:r>
        <w:rPr>
          <w:vertAlign w:val="subscript"/>
        </w:rPr>
        <w:t xml:space="preserve">F</w:t>
      </w:r>
      <w:r>
        <w:t xml:space="preserve">, conduction-band minimum 2.65 eV above it); in the broadened DOS of Pr_VO the valence-band top and the conduction-band onset are 2.46 eV apart at a threshold of 0.5 states eV</w:t>
      </w:r>
      <w:r>
        <w:rPr>
          <w:vertAlign w:val="superscript"/>
        </w:rPr>
        <w:t xml:space="preserve">−1</w:t>
      </w:r>
      <w:r>
        <w:t xml:space="preserve">, which underestimates the eigenvalue gap because of the broadening. In the run used for Figure 4 the net moment is positive, so the hole appears in the spin-down channel; the sign of m is arbitrary in a collinear calculation (the production relaxation has m = −0.97 μ</w:t>
      </w:r>
      <w:r>
        <w:rPr>
          <w:vertAlign w:val="subscript"/>
        </w:rPr>
        <w:t xml:space="preserve">B</w:t>
      </w:r>
      <w:r>
        <w:t xml:space="preserve">).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w:t>
      </w:r>
      <w:r>
        <w:t xml:space="preserve"> </w:t>
      </w:r>
      <w:r>
        <w:rPr>
          <w:bCs/>
          <w:b/>
        </w:rPr>
        <w:t xml:space="preserve">[AUTHOR ACTION: repeat the non-self-consistent step with diago_full_acc = .true., and report the eigenvalue gap of Pr_VO.]</w:t>
      </w:r>
      <w:r>
        <w:t xml:space="preserve"> </w:t>
      </w:r>
      <w:r>
        <w:rPr>
          <w:bCs/>
          <w:b/>
        </w:rPr>
        <w:t xml:space="preserve">[AUTHOR ACTION (optional): add the Rb_VO spin-density isosurface (pp.x, plot_num = 6) as Figure S4 to complement the Löwdin moments.]</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Pr>
          <w:vertAlign w:val="subscript"/>
          <w:iCs/>
          <w:i/>
        </w:rPr>
        <w:t xml:space="preserve">F</w:t>
      </w:r>
      <w:r>
        <w:rPr>
          <w:iCs/>
          <w:i/>
        </w:rPr>
        <w:t xml:space="preserve"> </w:t>
      </w:r>
      <w:r>
        <w:rPr>
          <w:iCs/>
          <w:i/>
        </w:rPr>
        <w:t xml:space="preserve">for 0.5 electrons). In (d) the empty band just above E</w:t>
      </w:r>
      <w:r>
        <w:rPr>
          <w:vertAlign w:val="subscript"/>
          <w:iCs/>
          <w:i/>
        </w:rPr>
        <w:t xml:space="preserve">F</w:t>
      </w:r>
      <w:r>
        <w:rPr>
          <w:iCs/>
          <w:i/>
        </w:rPr>
        <w:t xml:space="preserve"> </w:t>
      </w:r>
      <w:r>
        <w:rPr>
          <w:iCs/>
          <w:i/>
        </w:rPr>
        <w:t xml:space="preserve">(0.04–0.13 eV in the eigenvalues) appears in the spin-down channel only (93 % O-2p; broadened weight 0.79 states between E</w:t>
      </w:r>
      <w:r>
        <w:rPr>
          <w:vertAlign w:val="subscript"/>
          <w:iCs/>
          <w:i/>
        </w:rPr>
        <w:t xml:space="preserve">F</w:t>
      </w:r>
      <w:r>
        <w:rPr>
          <w:iCs/>
          <w:i/>
        </w:rPr>
        <w:t xml:space="preserve"> </w:t>
      </w:r>
      <w:r>
        <w:rPr>
          <w:iCs/>
          <w:i/>
        </w:rPr>
        <w:t xml:space="preserve">and +0.6 eV).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gave a non-magnetic solution (m = 0.00 μ</w:t>
      </w:r>
      <w:r>
        <w:rPr>
          <w:vertAlign w:val="subscript"/>
        </w:rPr>
        <w:t xml:space="preserve">B</w:t>
      </w:r>
      <w:r>
        <w:t xml:space="preserve">), a total energy of −3926.66858 Ry and a Fermi energy of 8.286 eV, 0.40 eV above the PBE+U value. The shift of the printed Fermi energy is not a band-gap measurement, and the hybrid total energy is not comparable with the PBE+U totals (Section 2.8).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 and resolve the pseudopotential question raised in Section 2.8.]</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is common to the from-scratch single points and is not caused by the D3 term; its origin (a different smeared solution, a smearing difference or the manually stopped relaxation) has not been established.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r>
        <w:t xml:space="preserve"> </w:t>
      </w:r>
      <w:r>
        <w:rPr>
          <w:bCs/>
          <w:b/>
        </w:rPr>
        <w:t xml:space="preserve">[AUTHOR ACTION: run D3 single points on Pr_perfect, Rb_perfect and the O</w:t>
      </w:r>
      <w:r>
        <w:rPr>
          <w:vertAlign w:val="subscript"/>
          <w:bCs/>
          <w:b/>
        </w:rPr>
        <w:t xml:space="preserve">2</w:t>
      </w:r>
      <w:r>
        <w:rPr>
          <w:bCs/>
          <w:b/>
        </w:rPr>
        <w:t xml:space="preserve"> </w:t>
      </w:r>
      <w:r>
        <w:rPr>
          <w:bCs/>
          <w:b/>
        </w:rPr>
        <w:t xml:space="preserve">reference (about 6 h per cell on the hardware listed in Table S6) so that both the individual formation energies and their difference can be corrected, or delete this paragraph.]</w:t>
      </w:r>
    </w:p>
    <w:p>
      <w:pPr>
        <w:pStyle w:val="BodyText"/>
      </w:pPr>
      <w:r>
        <w:rPr>
          <w:iCs/>
          <w:i/>
        </w:rPr>
        <w:t xml:space="preserve">Alternative vacancy sites in the Pr cell.</w:t>
      </w:r>
      <w:r>
        <w:t xml:space="preserve"> </w:t>
      </w:r>
      <w:r>
        <w:t xml:space="preserve">Three further Pr_VO cells were relaxed with the vacancy at oxygen sites 1, 7 and 17 of the orchestration input (Table S4; these labels are not the pw.x atom numbers used elsewhere). Sites 1 and 17 are symmetry-equivalent second-shell positions (Pr–O = 3.99 Å) and give E</w:t>
      </w:r>
      <w:r>
        <w:rPr>
          <w:vertAlign w:val="subscript"/>
        </w:rPr>
        <w:t xml:space="preserve">f</w:t>
      </w:r>
      <w:r>
        <w:t xml:space="preserve"> </w:t>
      </w:r>
      <w:r>
        <w:t xml:space="preserve">= +2.07 eV each, agreeing to 0.1 meV; the more distant site 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r>
        <w:t xml:space="preserve"> </w:t>
      </w:r>
      <w:r>
        <w:rPr>
          <w:bCs/>
          <w:b/>
        </w:rPr>
        <w:t xml:space="preserve">[AUTHOR ACTION: if possible, add two Rb_VO sites (a second first-shell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w:t>
      </w:r>
      <w:r>
        <w:t xml:space="preserve"> </w:t>
      </w:r>
      <w:r>
        <w:rPr>
          <w:bCs/>
          <w:b/>
        </w:rPr>
        <w:t xml:space="preserve">[AUTHOR ACTION: these two values are inconsistent with the mean Ti and O populations of Table S3, from which the sum rule gives +2.04 e (Pr) and +0.87 e (Rb); re-extract all four numbers from ACF.dat. Also report the grid used; Bader grid convergence was not tested.]</w:t>
      </w:r>
      <w:r>
        <w:t xml:space="preserve"> </w:t>
      </w:r>
      <w:r>
        <w:t xml:space="preserve">Relative to the Pr_VO cell, the 31 oxygen atoms of Rb_VO hold 0.97 e less in total, with the depletion concentrated on one oxygen bonded to the displaced Rb ion (−0.26 e, O8; Rb–O8 = 2.56 Å, 3.39 Å from the vacant site) and a second oxygen (−0.14 e, O30; 3.07 Å from Rb), with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(3.45 eV for one electron in the Pr cell, 8.81 eV for two in the Rb cell) are of that order but not equal per electron. The Kohn–Sham gap of the Rb_VO cell is 2.87 eV and the band separation in the broadened densities of states of Pr_VO about 2.5 eV (Section 3.6), both smaller than either per-electron reduction (3.45 eV for Pr, 4.40 eV per electron for Rb), so electron transfer across the gap does not account for the reductions on its own. The remainder would have to come from other contributions, for example the electrostatic interaction between the vacancy and the dopant, which the dependence of E</w:t>
      </w:r>
      <w:r>
        <w:rPr>
          <w:vertAlign w:val="subscript"/>
        </w:rPr>
        <w:t xml:space="preserve">f</w:t>
      </w:r>
      <w:r>
        <w:t xml:space="preserve"> </w:t>
      </w:r>
      <w:r>
        <w:t xml:space="preserve">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[26]),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channel exists: the Rb ion lies 1.27 Å off its ideal site, in the space vacated by the adjacent oxygen (Section 3.1), but the energy of this relaxation has not been separated from the electronic contribution, and the corresponding Pr geometry has not been analysed.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[26])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Whether the production pristine perfect cell was relaxed has to be confirmed (Section 2.6); if it was not, the pristine formation energy and the reductions relative to it are underestimated by its relaxation energy. The effect of tighter relaxation on the energetics and on the localisation results has not been tested.</w:t>
      </w:r>
      <w:r>
        <w:t xml:space="preserve"> </w:t>
      </w:r>
      <w:r>
        <w:rPr>
          <w:bCs/>
          <w:b/>
        </w:rPr>
        <w:t xml:space="preserve">[AUTHOR ACTION: re-relax Pr_VO, Pr_perfect, Rb_VO and Rb_perfect to 0.001 Ry/Bohr and report the change in E</w:t>
      </w:r>
      <w:r>
        <w:rPr>
          <w:vertAlign w:val="subscript"/>
          <w:bCs/>
          <w:b/>
        </w:rPr>
        <w:t xml:space="preserve">f</w:t>
      </w:r>
      <w:r>
        <w:rPr>
          <w:bCs/>
          <w:b/>
        </w:rPr>
        <w:t xml:space="preserve"> </w:t>
      </w:r>
      <w:r>
        <w:rPr>
          <w:bCs/>
          <w:b/>
        </w:rPr>
        <w:t xml:space="preserve">and in m</w:t>
      </w:r>
      <w:r>
        <w:rPr>
          <w:vertAlign w:val="subscript"/>
          <w:bCs/>
          <w:b/>
        </w:rPr>
        <w:t xml:space="preserve">abs</w:t>
      </w:r>
      <w:r>
        <w:rPr>
          <w:bCs/>
          <w:b/>
        </w:rPr>
        <w:t xml:space="preserve">.]</w:t>
      </w:r>
      <w:r>
        <w:t xml:space="preserve"> </w:t>
      </w:r>
      <w:r>
        <w:t xml:space="preserve">(v)</w:t>
      </w:r>
      <w:r>
        <w:t xml:space="preserve"> </w:t>
      </w:r>
      <w:r>
        <w:rPr>
          <w:iCs/>
          <w:i/>
        </w:rPr>
        <w:t xml:space="preserve">Spin search.</w:t>
      </w:r>
      <w:r>
        <w:t xml:space="preserve"> </w:t>
      </w:r>
      <w:r>
        <w:t xml:space="preserve">The production relaxations of the doped cells started from zero magnetisation (the pristine V</w:t>
      </w:r>
      <w:r>
        <w:rPr>
          <w:vertAlign w:val="subscript"/>
        </w:rPr>
        <w:t xml:space="preserve">O</w:t>
      </w:r>
      <w:r>
        <w:t xml:space="preserve"> </w:t>
      </w:r>
      <w:r>
        <w:t xml:space="preserve">cell from 0.05;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(experimental in-plane value, 5.82, as tabulated by Arrigoni and Madsen [14]) would give a first-order monopole correction [38]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phases were not evaluated, so no statement about the synthesisable phase of Rb-doped anatase is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so hole configurations that break it were not sampled;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band whose Löwdin moment sits mainly on one oxygen bonded to the Rb ion (0.59 of 1.01 μ</w:t>
      </w:r>
      <w:r>
        <w:rPr>
          <w:vertAlign w:val="subscript"/>
        </w:rPr>
        <w:t xml:space="preserve">B</w:t>
      </w:r>
      <w:r>
        <w:t xml:space="preserve">), and the Rb ion lies 1.27 Å off its ideal site towards the vacancy;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plotting scripts that draw Figures 1–4, S1 and S2 and the graphical abstract directly from the authors’ Quantum ESPRESSO outputs and computed values, without altering any data.</w:t>
      </w:r>
      <w:r>
        <w:t xml:space="preserve"> </w:t>
      </w:r>
      <w:r>
        <w:rPr>
          <w:bCs/>
          <w:b/>
        </w:rPr>
        <w:t xml:space="preserve">[AUTHOR ACTION: Figure S3 is still interim artwork whose text labels were raster-patched by figures/patch_labels.py; regenerate it from the force data of the relaxation outputs. Elsevier does not permit generative-AI or AI-assisted tools to create or alter images or to produce graphical-abstract artwork; confirm with the editorial office that data plots drawn by AI-assisted plotting scripts are acceptable, or regenerate them with the authors’ own scripts, and amend this statement accordingly.]</w:t>
      </w:r>
      <w:r>
        <w:t xml:space="preserve"> </w:t>
      </w:r>
      <w:r>
        <w:t xml:space="preserve">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 Wen, B.; Ge, Q.; Wei, X.; Teobaldi, G.; Liu, L.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Hu, X.; Li, J.;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Chen, W.; Yuan, P.; Zhang, S.; Sun, Q.; Liang, E.; Jia, Y. Electronic Properties of Anatase TiO2 Doped by Lanthanides: A DFT+U Study. Physica B 2012, 407, 1038–1043. DOI: 10.1016/j.physb.2012.01.085.</w:t>
      </w:r>
    </w:p>
    <w:p>
      <w:pPr>
        <w:pStyle w:val="BodyText"/>
      </w:pPr>
      <w:r>
        <w:t xml:space="preserve">[20]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[21] Chen, H.; Yao, L.; Yang, S.; Wang, Y.; Liang, X.; Huang, Y. First-Principles Study on Electronic and Optical Properties in Pr-Doped Anatase TiO2. Adv. Mater. Res. 2014, 924, 260–268. DOI: 10.4028/www.scientific.net/AMR.924.260.</w:t>
      </w:r>
    </w:p>
    <w:p>
      <w:pPr>
        <w:pStyle w:val="BodyText"/>
      </w:pPr>
      <w:r>
        <w:t xml:space="preserve">[22] Polliotto, V.; Albanese, E.; Livraghi, S.; Agnoli, S.; Pacchioni, G.; Giamello, E. Structural, Electronic and Photochemical Properties of Cerium-Doped Zirconium Titanate. Catal. Today 2020, 340, 49–57. DOI: 10.1016/j.cattod.2018.09.026.</w:t>
      </w:r>
    </w:p>
    <w:p>
      <w:pPr>
        <w:pStyle w:val="BodyText"/>
      </w:pPr>
      <w:r>
        <w:t xml:space="preserve">[23]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[24] Bahmanrokh, G.; Cazorla, C.; Mofarah, S. S.; Shahmiri, R.; Yao, Y.; Ismail, I.; Chen, W.-F.; Koshy, P.; Sorrell, C. C. Band Gap Engineering of Ce-Doped Anatase TiO2 through Solid Solubility Mechanisms and New Defect Equilibria Formalism. Nanoscale 2020, 12, 4916–4934. DOI: 10.1039/c9nr08604h.</w:t>
      </w:r>
    </w:p>
    <w:p>
      <w:pPr>
        <w:pStyle w:val="BodyText"/>
      </w:pPr>
      <w:r>
        <w:t xml:space="preserve">[25]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[26] Shannon, R. D. Revised Effective Ionic Radii and Systematic Studies of Interatomic Distances in Halides and Chalcogenides. Acta Crystallogr., Sect. A 1976, 32, 751–767. DOI: 10.1107/S0567739476001551.</w:t>
      </w:r>
    </w:p>
    <w:p>
      <w:pPr>
        <w:pStyle w:val="BodyText"/>
      </w:pPr>
      <w:r>
        <w:t xml:space="preserve">[27]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[28] Kröger, F. A.; Vink, H. J. Relations between the Concentrations of Imperfections in Crystalline Solids. Solid State Phys. 1956, 3, 307–435. DOI: 10.1016/S0081-1947(08)60135-6.</w:t>
      </w:r>
    </w:p>
    <w:p>
      <w:pPr>
        <w:pStyle w:val="BodyText"/>
      </w:pPr>
      <w:r>
        <w:t xml:space="preserve">[29] Giannozzi, P.; Andreussi, O.; Brumme, T.; Bunau, O.; et al. Advanced Capabilities for Materials Modelling with Quantum ESPRESSO. J. Phys.: Condens. Matter 2017, 29, 465901. DOI: 10.1088/1361-648X/aa8f79.</w:t>
      </w:r>
    </w:p>
    <w:p>
      <w:pPr>
        <w:pStyle w:val="BodyText"/>
      </w:pPr>
      <w:r>
        <w:t xml:space="preserve">[30] Giannozzi, P.; Baseggio, O.; Bonfà, P.; Brunato, D.; et al. Quantum ESPRESSO toward the Exascale. J. Chem. Phys. 2020, 152, 154105. DOI: 10.1063/5.0005082.</w:t>
      </w:r>
    </w:p>
    <w:p>
      <w:pPr>
        <w:pStyle w:val="BodyText"/>
      </w:pPr>
      <w:r>
        <w:t xml:space="preserve">[31] Perdew, J. P.; Burke, K.; Ernzerhof, M. Generalized Gradient Approximation Made Simple. Phys. Rev. Lett. 1996, 77, 3865–3868. DOI: 10.1103/PhysRevLett.77.3865.</w:t>
      </w:r>
    </w:p>
    <w:p>
      <w:pPr>
        <w:pStyle w:val="BodyText"/>
      </w:pPr>
      <w:r>
        <w:t xml:space="preserve">[32]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[33] Dudarev, S. L.; Botton, G. A.; Savrasov, S. Y.; Humphreys, C. J.; Sutton, A. P. Electron-Energy-Loss Spectra and the Structural Stability of Nickel Oxide: An LSDA+U Study. Phys. Rev. B 1998, 57, 1505–1509. DOI: 10.1103/PhysRevB.57.1505.</w:t>
      </w:r>
    </w:p>
    <w:p>
      <w:pPr>
        <w:pStyle w:val="BodyText"/>
      </w:pPr>
      <w:r>
        <w:t xml:space="preserve">[34] Orhan, O. K.; O’Regan, D. D. First-Principles Hubbard U and Hund’s J Corrected Approximate Density Functional Theory Predicts an Accurate Fundamental Gap in Rutile and Anatase TiO2. Phys. Rev. B 2020, 101, 245137. DOI: 10.1103/PhysRevB.101.245137.</w:t>
      </w:r>
    </w:p>
    <w:p>
      <w:pPr>
        <w:pStyle w:val="BodyText"/>
      </w:pPr>
      <w:r>
        <w:t xml:space="preserve">[35] Morgan, B. J.; Watson, G. W. A DFT+U Description of Oxygen Vacancies at the TiO2 Rutile (110) Surface. Surf. Sci. 2007, 601, 5034–5041. DOI: 10.1016/j.susc.2007.08.025.</w:t>
      </w:r>
    </w:p>
    <w:p>
      <w:pPr>
        <w:pStyle w:val="BodyText"/>
      </w:pPr>
      <w:r>
        <w:t xml:space="preserve">[36] Anisimov, V. I.; Zaanen, J.; Andersen, O. K. Band Theory and Mott Insulators: Hubbard U Instead of Stoner I. Phys. Rev. B 1991, 44, 943–954. DOI: 10.1103/PhysRevB.44.943.</w:t>
      </w:r>
    </w:p>
    <w:p>
      <w:pPr>
        <w:pStyle w:val="BodyText"/>
      </w:pPr>
      <w:r>
        <w:t xml:space="preserve">[37] Cococcioni, M.; de Gironcoli, S. Linear Response Approach to the Calculation of the Effective Interaction Parameters in the LDA+U Method. Phys. Rev. B 2005, 71, 035105. DOI: 10.1103/PhysRevB.71.035105.</w:t>
      </w:r>
    </w:p>
    <w:p>
      <w:pPr>
        <w:pStyle w:val="BodyText"/>
      </w:pPr>
      <w:r>
        <w:t xml:space="preserve">[38] Freysoldt, C.; Grabowski, B.; Hickel, T.; Neugebauer, J.; Kresse, G.; Janotti, A.; Van de Walle, C. G. First-Principles Calculations for Point Defects in Solids. Rev. Mod. Phys. 2014, 86, 253–305. DOI: 10.1103/RevModPhys.86.253.</w:t>
      </w:r>
    </w:p>
    <w:p>
      <w:pPr>
        <w:pStyle w:val="BodyText"/>
      </w:pPr>
      <w:r>
        <w:t xml:space="preserve">[39] Heyd, J.; Scuseria, G. E.; Ernzerhof, M. Hybrid Functionals Based on a Screened Coulomb Potential. J. Chem. Phys. 2003, 118, 8207–8215. DOI: 10.1063/1.1564060.</w:t>
      </w:r>
    </w:p>
    <w:p>
      <w:pPr>
        <w:pStyle w:val="BodyText"/>
      </w:pPr>
      <w:r>
        <w:t xml:space="preserve">[40] Krukau, A. V.; Vydrov, O. A.; Izmaylov, A. F.; Scuseria, G. E. Influence of the Exchange Screening Parameter on the Performance of Screened Hybrid Functionals. J. Chem. Phys. 2006, 125, 224106. DOI: 10.1063/1.2404663.</w:t>
      </w:r>
    </w:p>
    <w:p>
      <w:pPr>
        <w:pStyle w:val="BodyText"/>
      </w:pPr>
      <w:r>
        <w:t xml:space="preserve">[41] Grimme, S.; Antony, J.; Ehrlich, S.; Krieg, H. A Consistent and Accurate Ab Initio Parametrization of Density Functional Dispersion Correction (DFT-D) for the 94 Elements H–Pu. J. Chem. Phys. 2010, 132, 154104. DOI: 10.1063/1.3382344.</w:t>
      </w:r>
    </w:p>
    <w:p>
      <w:pPr>
        <w:pStyle w:val="BodyText"/>
      </w:pPr>
      <w:r>
        <w:t xml:space="preserve">[42] Grimme, S.; Ehrlich, S.; Goerigk, L. Effect of the Damping Function in Dispersion Corrected Density Functional Theory. J. Comput. Chem. 2011, 32, 1456–1465. DOI: 10.1002/jcc.21759.</w:t>
      </w:r>
    </w:p>
    <w:p>
      <w:pPr>
        <w:pStyle w:val="BodyText"/>
      </w:pPr>
      <w:r>
        <w:t xml:space="preserve">[43]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[44] Henkelman, G.; Arnaldsson, A.; Jónsson, H. A Fast and Robust Algorithm for Bader Decomposition of Charge Density. Comput. Mater. Sci. 2006, 36, 354–360. DOI: 10.1016/j.commatsci.2005.04.010.</w:t>
      </w:r>
    </w:p>
    <w:p>
      <w:pPr>
        <w:pStyle w:val="BodyText"/>
      </w:pPr>
      <w:r>
        <w:t xml:space="preserve">[45] Tang, W.; Sanville, E.; Henkelman, G. A Grid-Based Bader Analysis Algorithm without Lattice Bias. J. Phys.: Condens. Matter 2009, 21, 084204. DOI: 10.1088/0953-8984/21/8/084204.</w:t>
      </w:r>
    </w:p>
    <w:p>
      <w:pPr>
        <w:pStyle w:val="BodyText"/>
      </w:pPr>
      <w:r>
        <w:t xml:space="preserve">[46] Boonchun, A.; Reunchan, P.; Umezawa, N. Energetics of Native Defects in Anatase TiO2: A Hybrid Density Functional Study. Phys. Chem. Chem. Phys. 2016, 18, 30040–30046. DOI: 10.1039/c6cp05798e.</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2026-10-03T15:24:30Z</dcterms:created>
  <dcterms:modified xsi:type="dcterms:W3CDTF">2026-10-03T15:24:30Z</dcterms:modified>
</cp:coreProperties>
</file>

<file path=docProps/custom.xml><?xml version="1.0" encoding="utf-8"?>
<Properties xmlns="http://schemas.openxmlformats.org/officeDocument/2006/custom-properties" xmlns:vt="http://schemas.openxmlformats.org/officeDocument/2006/docPropsVTypes"/>
</file>